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539" w:rsidRPr="00771B1D" w:rsidRDefault="00970539" w:rsidP="00970539">
      <w:pPr>
        <w:pStyle w:val="a3"/>
        <w:tabs>
          <w:tab w:val="center" w:pos="4536"/>
          <w:tab w:val="right" w:pos="9356"/>
          <w:tab w:val="right" w:pos="9781"/>
        </w:tabs>
        <w:ind w:right="-58"/>
        <w:rPr>
          <w:rFonts w:cs="Arial"/>
          <w:bCs/>
          <w:sz w:val="28"/>
          <w:lang w:eastAsia="zh-TW"/>
        </w:rPr>
      </w:pPr>
      <w:bookmarkStart w:id="0" w:name="historyclause"/>
      <w:bookmarkStart w:id="1" w:name="_Toc383764588"/>
      <w:r w:rsidRPr="00771B1D">
        <w:rPr>
          <w:rFonts w:cs="Arial"/>
          <w:bCs/>
          <w:sz w:val="28"/>
        </w:rPr>
        <w:t>3GPP TSG RAN WG1</w:t>
      </w:r>
      <w:r w:rsidRPr="00771B1D">
        <w:rPr>
          <w:rFonts w:cs="Arial"/>
          <w:sz w:val="28"/>
        </w:rPr>
        <w:t xml:space="preserve"> </w:t>
      </w:r>
      <w:r w:rsidRPr="00771B1D">
        <w:rPr>
          <w:rFonts w:cs="Arial"/>
          <w:bCs/>
          <w:sz w:val="28"/>
        </w:rPr>
        <w:t>#110</w:t>
      </w:r>
      <w:r w:rsidRPr="00771B1D">
        <w:rPr>
          <w:rFonts w:cs="Arial"/>
          <w:bCs/>
          <w:sz w:val="28"/>
          <w:lang w:eastAsia="zh-TW"/>
        </w:rPr>
        <w:tab/>
      </w:r>
      <w:r w:rsidRPr="00771B1D">
        <w:rPr>
          <w:rFonts w:cs="Arial"/>
          <w:bCs/>
          <w:sz w:val="28"/>
          <w:lang w:eastAsia="zh-TW"/>
        </w:rPr>
        <w:tab/>
        <w:t>R1-</w:t>
      </w:r>
      <w:r w:rsidR="00766263" w:rsidRPr="00766263">
        <w:t xml:space="preserve"> </w:t>
      </w:r>
      <w:r w:rsidR="00766263" w:rsidRPr="00766263">
        <w:rPr>
          <w:rFonts w:cs="Arial"/>
          <w:bCs/>
          <w:sz w:val="28"/>
          <w:lang w:eastAsia="zh-TW"/>
        </w:rPr>
        <w:t>2207368</w:t>
      </w:r>
    </w:p>
    <w:p w:rsidR="00970539" w:rsidRPr="00771B1D" w:rsidRDefault="00775BFB" w:rsidP="00970539">
      <w:pPr>
        <w:pStyle w:val="a3"/>
        <w:tabs>
          <w:tab w:val="center" w:pos="4536"/>
          <w:tab w:val="right" w:pos="8280"/>
          <w:tab w:val="right" w:pos="9781"/>
        </w:tabs>
        <w:spacing w:after="240"/>
        <w:ind w:right="-58"/>
        <w:rPr>
          <w:rFonts w:cs="Arial"/>
          <w:bCs/>
          <w:sz w:val="28"/>
          <w:lang w:eastAsia="zh-TW"/>
        </w:rPr>
      </w:pPr>
      <w:r w:rsidRPr="00771B1D">
        <w:rPr>
          <w:rFonts w:cs="Arial"/>
          <w:bCs/>
          <w:sz w:val="28"/>
          <w:lang w:eastAsia="zh-TW"/>
        </w:rPr>
        <w:t xml:space="preserve">Toulouse, France, </w:t>
      </w:r>
      <w:r w:rsidR="00970539" w:rsidRPr="00771B1D">
        <w:rPr>
          <w:rFonts w:cs="Arial"/>
          <w:bCs/>
          <w:sz w:val="28"/>
          <w:lang w:eastAsia="zh-TW"/>
        </w:rPr>
        <w:t>August 22</w:t>
      </w:r>
      <w:r w:rsidR="00970539" w:rsidRPr="00771B1D">
        <w:rPr>
          <w:rFonts w:cs="Arial"/>
          <w:bCs/>
          <w:sz w:val="28"/>
          <w:vertAlign w:val="superscript"/>
          <w:lang w:eastAsia="zh-TW"/>
        </w:rPr>
        <w:t>nd</w:t>
      </w:r>
      <w:r w:rsidR="00970539" w:rsidRPr="00771B1D">
        <w:rPr>
          <w:rFonts w:cs="Arial"/>
          <w:bCs/>
          <w:sz w:val="28"/>
          <w:lang w:eastAsia="zh-TW"/>
        </w:rPr>
        <w:t xml:space="preserve"> – 26</w:t>
      </w:r>
      <w:r w:rsidR="00970539" w:rsidRPr="00771B1D">
        <w:rPr>
          <w:rFonts w:cs="Arial"/>
          <w:bCs/>
          <w:sz w:val="28"/>
          <w:vertAlign w:val="superscript"/>
          <w:lang w:eastAsia="zh-TW"/>
        </w:rPr>
        <w:t>th</w:t>
      </w:r>
      <w:r w:rsidR="00970539" w:rsidRPr="00771B1D">
        <w:rPr>
          <w:rFonts w:cs="Arial"/>
          <w:bCs/>
          <w:sz w:val="28"/>
          <w:lang w:eastAsia="zh-TW"/>
        </w:rPr>
        <w:t>, 2022</w:t>
      </w:r>
    </w:p>
    <w:bookmarkEnd w:id="0"/>
    <w:bookmarkEnd w:id="1"/>
    <w:p w:rsidR="00FA5FA6" w:rsidRPr="00771B1D" w:rsidRDefault="00FA5FA6" w:rsidP="00FA5FA6">
      <w:pPr>
        <w:tabs>
          <w:tab w:val="left" w:pos="1985"/>
        </w:tabs>
        <w:spacing w:after="120"/>
        <w:jc w:val="both"/>
        <w:rPr>
          <w:rFonts w:ascii="Arial" w:hAnsi="Arial" w:cs="Arial"/>
          <w:sz w:val="22"/>
        </w:rPr>
      </w:pPr>
      <w:r w:rsidRPr="00771B1D">
        <w:rPr>
          <w:rFonts w:ascii="Arial" w:hAnsi="Arial" w:cs="Arial"/>
          <w:b/>
          <w:sz w:val="22"/>
        </w:rPr>
        <w:t>Agenda item:</w:t>
      </w:r>
      <w:r w:rsidRPr="00771B1D">
        <w:rPr>
          <w:rFonts w:ascii="Arial" w:hAnsi="Arial" w:cs="Arial"/>
          <w:sz w:val="22"/>
        </w:rPr>
        <w:tab/>
        <w:t>9.3.2</w:t>
      </w:r>
    </w:p>
    <w:p w:rsidR="00FA5FA6" w:rsidRPr="00771B1D" w:rsidRDefault="00FA5FA6" w:rsidP="00FA5FA6">
      <w:pPr>
        <w:tabs>
          <w:tab w:val="left" w:pos="1985"/>
        </w:tabs>
        <w:spacing w:after="120"/>
        <w:jc w:val="both"/>
        <w:rPr>
          <w:rFonts w:ascii="Arial" w:hAnsi="Arial" w:cs="Arial"/>
          <w:sz w:val="22"/>
        </w:rPr>
      </w:pPr>
      <w:r w:rsidRPr="00771B1D">
        <w:rPr>
          <w:rFonts w:ascii="Arial" w:hAnsi="Arial" w:cs="Arial"/>
          <w:b/>
          <w:sz w:val="22"/>
        </w:rPr>
        <w:t xml:space="preserve">Source: </w:t>
      </w:r>
      <w:r w:rsidRPr="00771B1D">
        <w:rPr>
          <w:rFonts w:ascii="Arial" w:hAnsi="Arial" w:cs="Arial"/>
          <w:b/>
          <w:sz w:val="22"/>
        </w:rPr>
        <w:tab/>
      </w:r>
      <w:r w:rsidRPr="00771B1D">
        <w:rPr>
          <w:rFonts w:ascii="Arial" w:hAnsi="Arial" w:cs="Arial"/>
          <w:sz w:val="22"/>
        </w:rPr>
        <w:t>KDDI Corporation</w:t>
      </w:r>
      <w:bookmarkStart w:id="2" w:name="_GoBack"/>
      <w:bookmarkEnd w:id="2"/>
    </w:p>
    <w:p w:rsidR="00FA5FA6" w:rsidRPr="00771B1D" w:rsidRDefault="00FA5FA6" w:rsidP="00FA5FA6">
      <w:pPr>
        <w:spacing w:after="120"/>
        <w:ind w:left="1988" w:hanging="1988"/>
        <w:rPr>
          <w:rFonts w:ascii="Arial" w:hAnsi="Arial" w:cs="Arial"/>
          <w:sz w:val="22"/>
        </w:rPr>
      </w:pPr>
      <w:r w:rsidRPr="00771B1D">
        <w:rPr>
          <w:rFonts w:ascii="Arial" w:hAnsi="Arial" w:cs="Arial"/>
          <w:b/>
          <w:sz w:val="22"/>
        </w:rPr>
        <w:t>Title:</w:t>
      </w:r>
      <w:r w:rsidRPr="00771B1D">
        <w:rPr>
          <w:rFonts w:ascii="Arial" w:hAnsi="Arial" w:cs="Arial"/>
          <w:sz w:val="22"/>
        </w:rPr>
        <w:t xml:space="preserve"> </w:t>
      </w:r>
      <w:r w:rsidRPr="00771B1D">
        <w:rPr>
          <w:rFonts w:ascii="Arial" w:hAnsi="Arial" w:cs="Arial"/>
          <w:sz w:val="22"/>
        </w:rPr>
        <w:tab/>
        <w:t xml:space="preserve">Discussion on subband </w:t>
      </w:r>
      <w:r w:rsidR="007A2633">
        <w:rPr>
          <w:rFonts w:ascii="Arial" w:hAnsi="Arial" w:cs="Arial"/>
          <w:sz w:val="22"/>
        </w:rPr>
        <w:t>non-overlapping full duplex</w:t>
      </w:r>
    </w:p>
    <w:p w:rsidR="00FA5FA6" w:rsidRDefault="00FA5FA6" w:rsidP="00FA5FA6">
      <w:pPr>
        <w:spacing w:after="120"/>
        <w:ind w:left="1988" w:hanging="1988"/>
        <w:jc w:val="both"/>
        <w:rPr>
          <w:rFonts w:ascii="Arial" w:hAnsi="Arial" w:cs="Arial"/>
          <w:sz w:val="22"/>
        </w:rPr>
      </w:pPr>
      <w:r w:rsidRPr="00771B1D">
        <w:rPr>
          <w:rFonts w:ascii="Arial" w:hAnsi="Arial" w:cs="Arial"/>
          <w:b/>
          <w:sz w:val="22"/>
        </w:rPr>
        <w:t>Document for:</w:t>
      </w:r>
      <w:r w:rsidR="005B15E1">
        <w:rPr>
          <w:rFonts w:ascii="Arial" w:hAnsi="Arial" w:cs="Arial"/>
          <w:sz w:val="22"/>
        </w:rPr>
        <w:tab/>
        <w:t>Discussion</w:t>
      </w:r>
    </w:p>
    <w:p w:rsidR="002038C8" w:rsidRPr="00771B1D" w:rsidRDefault="002038C8" w:rsidP="00FA5FA6">
      <w:pPr>
        <w:spacing w:after="120"/>
        <w:ind w:left="1988" w:hanging="1988"/>
        <w:jc w:val="both"/>
        <w:rPr>
          <w:rFonts w:ascii="Arial" w:hAnsi="Arial" w:cs="Arial"/>
          <w:sz w:val="22"/>
        </w:rPr>
      </w:pPr>
    </w:p>
    <w:p w:rsidR="00970539" w:rsidRPr="0069513C" w:rsidRDefault="00970539" w:rsidP="00970539">
      <w:pPr>
        <w:pStyle w:val="1"/>
        <w:rPr>
          <w:b/>
        </w:rPr>
      </w:pPr>
      <w:r w:rsidRPr="0069513C">
        <w:rPr>
          <w:b/>
        </w:rPr>
        <w:t>Introduction</w:t>
      </w:r>
    </w:p>
    <w:p w:rsidR="00970539" w:rsidRPr="00400189" w:rsidRDefault="00970539" w:rsidP="00970539">
      <w:pPr>
        <w:spacing w:after="120"/>
        <w:jc w:val="both"/>
        <w:textAlignment w:val="center"/>
        <w:rPr>
          <w:rFonts w:eastAsiaTheme="minorEastAsia"/>
          <w:lang w:eastAsia="ja-JP"/>
        </w:rPr>
      </w:pPr>
      <w:r w:rsidRPr="00400189">
        <w:rPr>
          <w:rFonts w:eastAsia="SimSun"/>
          <w:lang w:eastAsia="zh-CN"/>
        </w:rPr>
        <w:t xml:space="preserve">A study item on evolution of NR duplex operation </w:t>
      </w:r>
      <w:r w:rsidR="00575F7B" w:rsidRPr="00400189">
        <w:rPr>
          <w:rFonts w:eastAsia="SimSun"/>
          <w:lang w:eastAsia="zh-CN"/>
        </w:rPr>
        <w:t xml:space="preserve">with minor update </w:t>
      </w:r>
      <w:r w:rsidRPr="00400189">
        <w:rPr>
          <w:rFonts w:eastAsia="SimSun"/>
          <w:lang w:eastAsia="zh-CN"/>
        </w:rPr>
        <w:t>was approved in RAN#</w:t>
      </w:r>
      <w:r w:rsidRPr="00400189">
        <w:rPr>
          <w:rFonts w:eastAsia="SimSun"/>
          <w:color w:val="000000" w:themeColor="text1"/>
          <w:lang w:eastAsia="zh-CN"/>
        </w:rPr>
        <w:t>9</w:t>
      </w:r>
      <w:r w:rsidR="00575F7B" w:rsidRPr="00400189">
        <w:rPr>
          <w:rFonts w:eastAsia="SimSun"/>
          <w:color w:val="000000" w:themeColor="text1"/>
          <w:lang w:eastAsia="zh-CN"/>
        </w:rPr>
        <w:t xml:space="preserve">6 </w:t>
      </w:r>
      <w:r w:rsidRPr="00400189">
        <w:rPr>
          <w:rFonts w:eastAsia="SimSun"/>
          <w:lang w:eastAsia="zh-CN"/>
        </w:rPr>
        <w:t xml:space="preserve">with the following objective </w:t>
      </w:r>
      <w:r w:rsidRPr="00400189">
        <w:rPr>
          <w:rFonts w:eastAsia="SimSun"/>
          <w:lang w:eastAsia="zh-CN"/>
        </w:rPr>
        <w:fldChar w:fldCharType="begin"/>
      </w:r>
      <w:r w:rsidRPr="00400189">
        <w:rPr>
          <w:rFonts w:eastAsia="SimSun"/>
          <w:lang w:eastAsia="zh-CN"/>
        </w:rPr>
        <w:instrText xml:space="preserve"> REF _Ref47545028 \r \h </w:instrText>
      </w:r>
      <w:r w:rsidR="002D6C09" w:rsidRPr="00400189">
        <w:rPr>
          <w:rFonts w:eastAsia="SimSun"/>
          <w:lang w:eastAsia="zh-CN"/>
        </w:rPr>
        <w:instrText xml:space="preserve"> \* MERGEFORMAT </w:instrText>
      </w:r>
      <w:r w:rsidRPr="00400189">
        <w:rPr>
          <w:rFonts w:eastAsia="SimSun"/>
          <w:lang w:eastAsia="zh-CN"/>
        </w:rPr>
      </w:r>
      <w:r w:rsidRPr="00400189">
        <w:rPr>
          <w:rFonts w:eastAsia="SimSun"/>
          <w:lang w:eastAsia="zh-CN"/>
        </w:rPr>
        <w:fldChar w:fldCharType="separate"/>
      </w:r>
      <w:r w:rsidRPr="00400189">
        <w:rPr>
          <w:rFonts w:eastAsia="SimSun"/>
          <w:lang w:eastAsia="zh-CN"/>
        </w:rPr>
        <w:t>[1]</w:t>
      </w:r>
      <w:r w:rsidRPr="00400189">
        <w:rPr>
          <w:rFonts w:eastAsia="SimSun"/>
          <w:lang w:eastAsia="zh-CN"/>
        </w:rPr>
        <w:fldChar w:fldCharType="end"/>
      </w:r>
      <w:r w:rsidR="000C60F3" w:rsidRPr="00400189">
        <w:rPr>
          <w:rFonts w:eastAsiaTheme="minorEastAsia" w:hint="eastAsia"/>
          <w:lang w:eastAsia="ja-JP"/>
        </w:rPr>
        <w:t>.</w:t>
      </w:r>
      <w:r w:rsidR="000C60F3" w:rsidRPr="00400189">
        <w:rPr>
          <w:rFonts w:eastAsiaTheme="minorEastAsia"/>
          <w:lang w:eastAsia="ja-JP"/>
        </w:rPr>
        <w:t xml:space="preserve"> The objective of this study is to identify and evaluate the potential enhancements to support duplex operation for NR TDD unpaired spectrum with following assumptions: </w:t>
      </w:r>
    </w:p>
    <w:p w:rsidR="000C60F3" w:rsidRPr="00400189" w:rsidRDefault="000C60F3" w:rsidP="000C60F3">
      <w:pPr>
        <w:pStyle w:val="a5"/>
        <w:numPr>
          <w:ilvl w:val="0"/>
          <w:numId w:val="16"/>
        </w:numPr>
        <w:spacing w:after="120"/>
        <w:jc w:val="both"/>
        <w:textAlignment w:val="center"/>
        <w:rPr>
          <w:rFonts w:eastAsiaTheme="minorEastAsia"/>
          <w:lang w:eastAsia="ja-JP"/>
        </w:rPr>
      </w:pPr>
      <w:r w:rsidRPr="00400189">
        <w:rPr>
          <w:rFonts w:eastAsiaTheme="minorEastAsia" w:hint="eastAsia"/>
          <w:lang w:eastAsia="ja-JP"/>
        </w:rPr>
        <w:t>D</w:t>
      </w:r>
      <w:r w:rsidRPr="00400189">
        <w:rPr>
          <w:rFonts w:eastAsiaTheme="minorEastAsia"/>
          <w:lang w:eastAsia="ja-JP"/>
        </w:rPr>
        <w:t>uplex enhancement at gNB side</w:t>
      </w:r>
    </w:p>
    <w:p w:rsidR="000C60F3" w:rsidRPr="00400189" w:rsidRDefault="000C60F3" w:rsidP="000C60F3">
      <w:pPr>
        <w:pStyle w:val="a5"/>
        <w:numPr>
          <w:ilvl w:val="0"/>
          <w:numId w:val="16"/>
        </w:numPr>
        <w:spacing w:after="120"/>
        <w:jc w:val="both"/>
        <w:textAlignment w:val="center"/>
        <w:rPr>
          <w:rFonts w:eastAsiaTheme="minorEastAsia"/>
          <w:lang w:eastAsia="ja-JP"/>
        </w:rPr>
      </w:pPr>
      <w:r w:rsidRPr="00400189">
        <w:rPr>
          <w:rFonts w:eastAsiaTheme="minorEastAsia"/>
          <w:lang w:eastAsia="ja-JP"/>
        </w:rPr>
        <w:t>Half duplex operation at the UE side</w:t>
      </w:r>
    </w:p>
    <w:p w:rsidR="000C60F3" w:rsidRPr="00400189" w:rsidRDefault="000C60F3" w:rsidP="000C60F3">
      <w:pPr>
        <w:pStyle w:val="a5"/>
        <w:numPr>
          <w:ilvl w:val="0"/>
          <w:numId w:val="16"/>
        </w:numPr>
        <w:spacing w:after="120"/>
        <w:jc w:val="both"/>
        <w:textAlignment w:val="center"/>
        <w:rPr>
          <w:rFonts w:eastAsiaTheme="minorEastAsia"/>
          <w:lang w:eastAsia="ja-JP"/>
        </w:rPr>
      </w:pPr>
      <w:r w:rsidRPr="00400189">
        <w:rPr>
          <w:rFonts w:eastAsiaTheme="minorEastAsia" w:hint="eastAsia"/>
          <w:lang w:eastAsia="ja-JP"/>
        </w:rPr>
        <w:t>N</w:t>
      </w:r>
      <w:r w:rsidRPr="00400189">
        <w:rPr>
          <w:rFonts w:eastAsiaTheme="minorEastAsia"/>
          <w:lang w:eastAsia="ja-JP"/>
        </w:rPr>
        <w:t>o restriction of frequency ranges</w:t>
      </w:r>
    </w:p>
    <w:p w:rsidR="000C60F3" w:rsidRPr="00400189" w:rsidRDefault="000C60F3" w:rsidP="000C60F3">
      <w:pPr>
        <w:spacing w:after="120"/>
        <w:jc w:val="both"/>
        <w:textAlignment w:val="center"/>
        <w:rPr>
          <w:rFonts w:eastAsiaTheme="minorEastAsia"/>
          <w:lang w:eastAsia="ja-JP"/>
        </w:rPr>
      </w:pPr>
    </w:p>
    <w:tbl>
      <w:tblPr>
        <w:tblStyle w:val="a7"/>
        <w:tblW w:w="0" w:type="auto"/>
        <w:tblLook w:val="04A0" w:firstRow="1" w:lastRow="0" w:firstColumn="1" w:lastColumn="0" w:noHBand="0" w:noVBand="1"/>
      </w:tblPr>
      <w:tblGrid>
        <w:gridCol w:w="9631"/>
      </w:tblGrid>
      <w:tr w:rsidR="00970539" w:rsidRPr="00400189" w:rsidTr="00170F2A">
        <w:tc>
          <w:tcPr>
            <w:tcW w:w="9631" w:type="dxa"/>
          </w:tcPr>
          <w:p w:rsidR="00C5494B" w:rsidRPr="00C5494B" w:rsidRDefault="00C5494B" w:rsidP="00C5494B">
            <w:pPr>
              <w:numPr>
                <w:ilvl w:val="0"/>
                <w:numId w:val="4"/>
              </w:numPr>
              <w:overflowPunct w:val="0"/>
              <w:autoSpaceDE w:val="0"/>
              <w:autoSpaceDN w:val="0"/>
              <w:spacing w:after="60"/>
            </w:pPr>
            <w:r w:rsidRPr="00C5494B">
              <w:t>Identify applicable and relevant deployment scenarios (RAN1).</w:t>
            </w:r>
          </w:p>
          <w:p w:rsidR="00C5494B" w:rsidRPr="00C5494B" w:rsidRDefault="00C5494B" w:rsidP="00C5494B">
            <w:pPr>
              <w:numPr>
                <w:ilvl w:val="0"/>
                <w:numId w:val="4"/>
              </w:numPr>
              <w:overflowPunct w:val="0"/>
              <w:autoSpaceDE w:val="0"/>
              <w:autoSpaceDN w:val="0"/>
              <w:spacing w:after="60"/>
            </w:pPr>
            <w:r w:rsidRPr="00C5494B">
              <w:t>Develop evaluation methodology for duplex enhancement (RAN1).</w:t>
            </w:r>
          </w:p>
          <w:p w:rsidR="00C5494B" w:rsidRPr="00C5494B" w:rsidRDefault="00C5494B" w:rsidP="00C5494B">
            <w:pPr>
              <w:numPr>
                <w:ilvl w:val="0"/>
                <w:numId w:val="4"/>
              </w:numPr>
              <w:overflowPunct w:val="0"/>
              <w:autoSpaceDE w:val="0"/>
              <w:autoSpaceDN w:val="0"/>
              <w:spacing w:after="60"/>
            </w:pPr>
            <w:r w:rsidRPr="00C5494B">
              <w:rPr>
                <w:rFonts w:hint="eastAsia"/>
              </w:rPr>
              <w:t xml:space="preserve">Study </w:t>
            </w:r>
            <w:r w:rsidRPr="00C5494B">
              <w:t xml:space="preserve">the subband non-overlapping full duplex and </w:t>
            </w:r>
            <w:bookmarkStart w:id="3" w:name="_Hlk89796625"/>
            <w:r w:rsidRPr="00C5494B">
              <w:t>potential enhancements on dynamic/flexible TDD</w:t>
            </w:r>
            <w:bookmarkEnd w:id="3"/>
            <w:r w:rsidRPr="00C5494B">
              <w:t xml:space="preserve"> (RAN1, RAN4).</w:t>
            </w:r>
          </w:p>
          <w:p w:rsidR="00C5494B" w:rsidRPr="00C5494B" w:rsidRDefault="00C5494B" w:rsidP="00C5494B">
            <w:pPr>
              <w:numPr>
                <w:ilvl w:val="1"/>
                <w:numId w:val="4"/>
              </w:numPr>
              <w:overflowPunct w:val="0"/>
              <w:autoSpaceDE w:val="0"/>
              <w:autoSpaceDN w:val="0"/>
              <w:spacing w:after="60"/>
            </w:pPr>
            <w:r w:rsidRPr="00C5494B">
              <w:t>Identify possible schemes and evaluate their feasibility and performances (RAN1).</w:t>
            </w:r>
          </w:p>
          <w:p w:rsidR="00C5494B" w:rsidRPr="00C5494B" w:rsidRDefault="00C5494B" w:rsidP="00C5494B">
            <w:pPr>
              <w:numPr>
                <w:ilvl w:val="1"/>
                <w:numId w:val="4"/>
              </w:numPr>
              <w:overflowPunct w:val="0"/>
              <w:autoSpaceDE w:val="0"/>
              <w:autoSpaceDN w:val="0"/>
              <w:spacing w:after="60"/>
            </w:pPr>
            <w:r w:rsidRPr="00C5494B">
              <w:t xml:space="preserve">Study inter-gNB and inter-UE CLI handling and identify solutions to manage them (RAN1). </w:t>
            </w:r>
          </w:p>
          <w:p w:rsidR="00C5494B" w:rsidRPr="00C5494B" w:rsidRDefault="00C5494B" w:rsidP="00C5494B">
            <w:pPr>
              <w:numPr>
                <w:ilvl w:val="2"/>
                <w:numId w:val="4"/>
              </w:numPr>
              <w:overflowPunct w:val="0"/>
              <w:autoSpaceDE w:val="0"/>
              <w:autoSpaceDN w:val="0"/>
              <w:spacing w:after="60"/>
            </w:pPr>
            <w:r w:rsidRPr="00C5494B">
              <w:t>Consider intra-subband CLI and inter-subband CLI in case of the subband non-overlapping full duplex.</w:t>
            </w:r>
          </w:p>
          <w:p w:rsidR="00C5494B" w:rsidRPr="00C5494B" w:rsidRDefault="00C5494B" w:rsidP="00C5494B">
            <w:pPr>
              <w:numPr>
                <w:ilvl w:val="1"/>
                <w:numId w:val="4"/>
              </w:numPr>
              <w:overflowPunct w:val="0"/>
              <w:autoSpaceDE w:val="0"/>
              <w:autoSpaceDN w:val="0"/>
              <w:spacing w:after="60"/>
            </w:pPr>
            <w:r w:rsidRPr="00C5494B">
              <w:t>Study the performance of the identified schemes as well as the impact on legacy operation assuming their co-existence in co-channel and adjacent channels (RAN1).</w:t>
            </w:r>
          </w:p>
          <w:p w:rsidR="00C5494B" w:rsidRPr="00C5494B" w:rsidRDefault="00C5494B" w:rsidP="00C5494B">
            <w:pPr>
              <w:numPr>
                <w:ilvl w:val="1"/>
                <w:numId w:val="4"/>
              </w:numPr>
              <w:overflowPunct w:val="0"/>
              <w:autoSpaceDE w:val="0"/>
              <w:autoSpaceDN w:val="0"/>
              <w:spacing w:after="60"/>
            </w:pPr>
            <w:r w:rsidRPr="00C5494B">
              <w:t>Study the feasibility of and impact on RF requirements considering adjacent-channel co-existence with the legacy operation (RAN4).</w:t>
            </w:r>
          </w:p>
          <w:p w:rsidR="00C5494B" w:rsidRPr="00C5494B" w:rsidRDefault="00C5494B" w:rsidP="00C5494B">
            <w:pPr>
              <w:numPr>
                <w:ilvl w:val="1"/>
                <w:numId w:val="4"/>
              </w:numPr>
              <w:overflowPunct w:val="0"/>
              <w:autoSpaceDE w:val="0"/>
              <w:autoSpaceDN w:val="0"/>
              <w:spacing w:after="60"/>
            </w:pPr>
            <w:r w:rsidRPr="00C5494B">
              <w:t>Study the feasibility of and impact on RF requirements considering the self-interference, the inter-subband CLI, and the inter-operator CLI at gNB and the inter-subband CLI and inter-operator CLI at UE (RAN4).</w:t>
            </w:r>
          </w:p>
          <w:p w:rsidR="00C5494B" w:rsidRPr="00C5494B" w:rsidRDefault="00C5494B" w:rsidP="00C5494B">
            <w:pPr>
              <w:numPr>
                <w:ilvl w:val="1"/>
                <w:numId w:val="4"/>
              </w:numPr>
              <w:overflowPunct w:val="0"/>
              <w:autoSpaceDE w:val="0"/>
              <w:autoSpaceDN w:val="0"/>
              <w:spacing w:after="60"/>
            </w:pPr>
            <w:r w:rsidRPr="00C5494B">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C5494B" w:rsidRPr="00400189" w:rsidRDefault="00C5494B" w:rsidP="00C5494B">
            <w:pPr>
              <w:numPr>
                <w:ilvl w:val="1"/>
                <w:numId w:val="4"/>
              </w:numPr>
              <w:overflowPunct w:val="0"/>
              <w:autoSpaceDE w:val="0"/>
              <w:autoSpaceDN w:val="0"/>
              <w:spacing w:after="60"/>
            </w:pPr>
            <w:r w:rsidRPr="00C5494B">
              <w:t>Summarize the regulatory aspects that have to be considered for deploying the identified duplex enhancements in TDD unpaired spectrum (RAN4).</w:t>
            </w:r>
          </w:p>
        </w:tc>
      </w:tr>
    </w:tbl>
    <w:p w:rsidR="000C60F3" w:rsidRPr="00400189" w:rsidRDefault="000C60F3" w:rsidP="00970539">
      <w:pPr>
        <w:spacing w:before="120" w:after="120"/>
        <w:jc w:val="both"/>
        <w:textAlignment w:val="center"/>
        <w:rPr>
          <w:rFonts w:eastAsia="SimSun"/>
          <w:color w:val="000000" w:themeColor="text1"/>
          <w:lang w:eastAsia="zh-CN"/>
        </w:rPr>
      </w:pPr>
    </w:p>
    <w:p w:rsidR="00400189" w:rsidRDefault="00970539" w:rsidP="00970539">
      <w:pPr>
        <w:spacing w:before="120" w:after="120"/>
        <w:jc w:val="both"/>
        <w:textAlignment w:val="center"/>
        <w:rPr>
          <w:rFonts w:eastAsia="SimSun"/>
          <w:color w:val="000000" w:themeColor="text1"/>
          <w:lang w:eastAsia="zh-CN"/>
        </w:rPr>
      </w:pPr>
      <w:r w:rsidRPr="00400189">
        <w:rPr>
          <w:rFonts w:eastAsia="SimSun"/>
          <w:color w:val="000000" w:themeColor="text1"/>
          <w:lang w:eastAsia="zh-CN"/>
        </w:rPr>
        <w:t xml:space="preserve">In this contribution, we discuss the </w:t>
      </w:r>
      <w:r w:rsidR="00FA5FA6" w:rsidRPr="00400189">
        <w:rPr>
          <w:rFonts w:eastAsia="SimSun"/>
          <w:color w:val="000000" w:themeColor="text1"/>
          <w:lang w:eastAsia="zh-CN"/>
        </w:rPr>
        <w:t xml:space="preserve">methods of indication of UL/DL resource partition for </w:t>
      </w:r>
      <w:r w:rsidRPr="00400189">
        <w:rPr>
          <w:rFonts w:eastAsia="SimSun"/>
          <w:color w:val="000000" w:themeColor="text1"/>
          <w:lang w:eastAsia="zh-CN"/>
        </w:rPr>
        <w:t xml:space="preserve">SBFD </w:t>
      </w:r>
      <w:r w:rsidR="00FA5FA6" w:rsidRPr="00400189">
        <w:rPr>
          <w:rFonts w:eastAsia="SimSun"/>
          <w:color w:val="000000" w:themeColor="text1"/>
          <w:lang w:eastAsia="zh-CN"/>
        </w:rPr>
        <w:t>operation for both legacy UE</w:t>
      </w:r>
      <w:r w:rsidR="00483E33" w:rsidRPr="00400189">
        <w:rPr>
          <w:rFonts w:eastAsia="SimSun"/>
          <w:color w:val="000000" w:themeColor="text1"/>
          <w:lang w:eastAsia="zh-CN"/>
        </w:rPr>
        <w:t>s</w:t>
      </w:r>
      <w:r w:rsidR="00FA5FA6" w:rsidRPr="00400189">
        <w:rPr>
          <w:rFonts w:eastAsia="SimSun"/>
          <w:color w:val="000000" w:themeColor="text1"/>
          <w:lang w:eastAsia="zh-CN"/>
        </w:rPr>
        <w:t xml:space="preserve"> and SBFD capable UE</w:t>
      </w:r>
      <w:r w:rsidR="00483E33" w:rsidRPr="00400189">
        <w:rPr>
          <w:rFonts w:eastAsia="SimSun"/>
          <w:color w:val="000000" w:themeColor="text1"/>
          <w:lang w:eastAsia="zh-CN"/>
        </w:rPr>
        <w:t>s</w:t>
      </w:r>
      <w:r w:rsidR="00FA5FA6" w:rsidRPr="00400189">
        <w:rPr>
          <w:rFonts w:eastAsia="SimSun"/>
          <w:color w:val="000000" w:themeColor="text1"/>
          <w:lang w:eastAsia="zh-CN"/>
        </w:rPr>
        <w:t xml:space="preserve">, and provide proposals to proceed the study in this </w:t>
      </w:r>
      <w:r w:rsidR="00971B94" w:rsidRPr="00400189">
        <w:rPr>
          <w:rFonts w:eastAsia="SimSun"/>
          <w:color w:val="000000" w:themeColor="text1"/>
          <w:lang w:eastAsia="zh-CN"/>
        </w:rPr>
        <w:t>point of view</w:t>
      </w:r>
      <w:r w:rsidR="00FA5FA6" w:rsidRPr="00400189">
        <w:rPr>
          <w:rFonts w:eastAsia="SimSun"/>
          <w:color w:val="000000" w:themeColor="text1"/>
          <w:lang w:eastAsia="zh-CN"/>
        </w:rPr>
        <w:t xml:space="preserve">. </w:t>
      </w:r>
    </w:p>
    <w:p w:rsidR="00400189" w:rsidRDefault="00400189">
      <w:pPr>
        <w:spacing w:after="0"/>
        <w:rPr>
          <w:rFonts w:eastAsia="SimSun"/>
          <w:color w:val="000000" w:themeColor="text1"/>
          <w:lang w:eastAsia="zh-CN"/>
        </w:rPr>
      </w:pPr>
      <w:r>
        <w:rPr>
          <w:rFonts w:eastAsia="SimSun"/>
          <w:color w:val="000000" w:themeColor="text1"/>
          <w:lang w:eastAsia="zh-CN"/>
        </w:rPr>
        <w:br w:type="page"/>
      </w:r>
    </w:p>
    <w:p w:rsidR="00970539" w:rsidRPr="0069513C" w:rsidRDefault="00AD388E" w:rsidP="00970539">
      <w:pPr>
        <w:pStyle w:val="1"/>
        <w:rPr>
          <w:b/>
        </w:rPr>
      </w:pPr>
      <w:r w:rsidRPr="0069513C">
        <w:rPr>
          <w:b/>
        </w:rPr>
        <w:lastRenderedPageBreak/>
        <w:t>Indication of UL/DL resource partition</w:t>
      </w:r>
      <w:r w:rsidR="00970539" w:rsidRPr="0069513C">
        <w:rPr>
          <w:b/>
        </w:rPr>
        <w:t xml:space="preserve"> </w:t>
      </w:r>
    </w:p>
    <w:p w:rsidR="00CC4118" w:rsidRPr="00400189" w:rsidRDefault="008B48AE" w:rsidP="000C60F3">
      <w:pPr>
        <w:pStyle w:val="a5"/>
        <w:spacing w:before="180" w:after="0"/>
        <w:ind w:left="0"/>
        <w:jc w:val="both"/>
        <w:rPr>
          <w:rFonts w:eastAsiaTheme="minorEastAsia"/>
          <w:lang w:eastAsia="ja-JP"/>
        </w:rPr>
      </w:pPr>
      <w:r w:rsidRPr="00400189">
        <w:rPr>
          <w:rFonts w:eastAsiaTheme="minorEastAsia" w:hint="eastAsia"/>
          <w:lang w:eastAsia="ja-JP"/>
        </w:rPr>
        <w:t>I</w:t>
      </w:r>
      <w:r w:rsidRPr="00400189">
        <w:rPr>
          <w:rFonts w:eastAsiaTheme="minorEastAsia"/>
          <w:lang w:eastAsia="ja-JP"/>
        </w:rPr>
        <w:t xml:space="preserve">n Rel-18 SBFD, DL transmission and UL reception are performed simultaneously in the frequency domain separated by subbands from gNB perspective. </w:t>
      </w:r>
      <w:r w:rsidR="00CC0F71" w:rsidRPr="00400189">
        <w:rPr>
          <w:rFonts w:eastAsiaTheme="minorEastAsia"/>
          <w:lang w:eastAsia="ja-JP"/>
        </w:rPr>
        <w:t xml:space="preserve">From </w:t>
      </w:r>
      <w:r w:rsidR="0065066E" w:rsidRPr="00400189">
        <w:rPr>
          <w:rFonts w:eastAsiaTheme="minorEastAsia"/>
          <w:lang w:eastAsia="ja-JP"/>
        </w:rPr>
        <w:t xml:space="preserve">UEs perspective, legacy UEs and SBFD capable UEs </w:t>
      </w:r>
      <w:r w:rsidR="002C703C" w:rsidRPr="00400189">
        <w:rPr>
          <w:rFonts w:eastAsiaTheme="minorEastAsia"/>
          <w:lang w:eastAsia="ja-JP"/>
        </w:rPr>
        <w:t xml:space="preserve">are in the same serving cell operating SBFD and they </w:t>
      </w:r>
      <w:r w:rsidR="0065066E" w:rsidRPr="00400189">
        <w:rPr>
          <w:rFonts w:eastAsiaTheme="minorEastAsia"/>
          <w:lang w:eastAsia="ja-JP"/>
        </w:rPr>
        <w:t xml:space="preserve">may be expected to have different recognition of configured TDD pattern and resources. </w:t>
      </w:r>
      <w:r w:rsidRPr="00400189">
        <w:rPr>
          <w:rFonts w:eastAsiaTheme="minorEastAsia"/>
          <w:lang w:eastAsia="ja-JP"/>
        </w:rPr>
        <w:t xml:space="preserve">Therefore, </w:t>
      </w:r>
      <w:r w:rsidR="00A52361" w:rsidRPr="00400189">
        <w:rPr>
          <w:rFonts w:eastAsiaTheme="minorEastAsia"/>
          <w:lang w:eastAsia="ja-JP"/>
        </w:rPr>
        <w:t xml:space="preserve">a </w:t>
      </w:r>
      <w:r w:rsidRPr="00400189">
        <w:rPr>
          <w:rFonts w:eastAsiaTheme="minorEastAsia"/>
          <w:lang w:eastAsia="ja-JP"/>
        </w:rPr>
        <w:t>method of indicating resources in the subband to UE</w:t>
      </w:r>
      <w:r w:rsidR="00A52361" w:rsidRPr="00400189">
        <w:rPr>
          <w:rFonts w:eastAsiaTheme="minorEastAsia"/>
          <w:lang w:eastAsia="ja-JP"/>
        </w:rPr>
        <w:t>s</w:t>
      </w:r>
      <w:r w:rsidRPr="00400189">
        <w:rPr>
          <w:rFonts w:eastAsiaTheme="minorEastAsia"/>
          <w:lang w:eastAsia="ja-JP"/>
        </w:rPr>
        <w:t xml:space="preserve"> is an important perspective to consider in the study. </w:t>
      </w:r>
    </w:p>
    <w:p w:rsidR="008B48AE" w:rsidRPr="00400189" w:rsidRDefault="008B48AE" w:rsidP="000C60F3">
      <w:pPr>
        <w:pStyle w:val="a5"/>
        <w:spacing w:before="180" w:after="0"/>
        <w:ind w:left="0"/>
        <w:jc w:val="both"/>
        <w:rPr>
          <w:rFonts w:eastAsiaTheme="minorEastAsia"/>
          <w:lang w:eastAsia="ja-JP"/>
        </w:rPr>
      </w:pPr>
      <w:r w:rsidRPr="00400189">
        <w:rPr>
          <w:rFonts w:eastAsiaTheme="minorEastAsia"/>
          <w:lang w:eastAsia="ja-JP"/>
        </w:rPr>
        <w:t>At the last meeting, various methods for indication of UL/DL resources in SBFD were proposed, but no agreement has been reached on method</w:t>
      </w:r>
      <w:r w:rsidR="00A41238" w:rsidRPr="00400189">
        <w:rPr>
          <w:rFonts w:eastAsiaTheme="minorEastAsia"/>
          <w:lang w:eastAsia="ja-JP"/>
        </w:rPr>
        <w:t>s</w:t>
      </w:r>
      <w:r w:rsidRPr="00400189">
        <w:rPr>
          <w:rFonts w:eastAsiaTheme="minorEastAsia"/>
          <w:lang w:eastAsia="ja-JP"/>
        </w:rPr>
        <w:t xml:space="preserve"> for further study. </w:t>
      </w:r>
    </w:p>
    <w:p w:rsidR="000C60F3" w:rsidRPr="00400189" w:rsidRDefault="000C60F3" w:rsidP="000C60F3">
      <w:pPr>
        <w:pStyle w:val="a5"/>
        <w:spacing w:before="180" w:after="0"/>
        <w:ind w:left="0"/>
        <w:jc w:val="both"/>
        <w:rPr>
          <w:rFonts w:eastAsiaTheme="minorEastAsia"/>
          <w:lang w:eastAsia="ja-JP"/>
        </w:rPr>
      </w:pPr>
    </w:p>
    <w:p w:rsidR="00970539" w:rsidRPr="0069513C" w:rsidRDefault="00AD388E" w:rsidP="00970539">
      <w:pPr>
        <w:pStyle w:val="2"/>
        <w:rPr>
          <w:b/>
          <w:lang w:eastAsia="zh-TW"/>
        </w:rPr>
      </w:pPr>
      <w:r w:rsidRPr="0069513C">
        <w:rPr>
          <w:b/>
          <w:lang w:eastAsia="zh-TW"/>
        </w:rPr>
        <w:t>Legacy UE</w:t>
      </w:r>
      <w:r w:rsidR="00F7094B" w:rsidRPr="0069513C">
        <w:rPr>
          <w:b/>
          <w:lang w:eastAsia="zh-TW"/>
        </w:rPr>
        <w:t>s</w:t>
      </w:r>
    </w:p>
    <w:p w:rsidR="0014003B" w:rsidRPr="00400189" w:rsidRDefault="0009529D" w:rsidP="00970539">
      <w:pPr>
        <w:pStyle w:val="a5"/>
        <w:spacing w:before="180" w:after="0"/>
        <w:ind w:left="0"/>
        <w:jc w:val="both"/>
        <w:rPr>
          <w:rFonts w:eastAsiaTheme="minorEastAsia"/>
          <w:lang w:eastAsia="ja-JP"/>
        </w:rPr>
      </w:pPr>
      <w:r w:rsidRPr="00400189">
        <w:rPr>
          <w:rFonts w:eastAsiaTheme="minorEastAsia"/>
          <w:lang w:eastAsia="ja-JP"/>
        </w:rPr>
        <w:t>In the current specification, legacy UE</w:t>
      </w:r>
      <w:r w:rsidR="00F7094B" w:rsidRPr="00400189">
        <w:rPr>
          <w:rFonts w:eastAsiaTheme="minorEastAsia"/>
          <w:lang w:eastAsia="ja-JP"/>
        </w:rPr>
        <w:t>s</w:t>
      </w:r>
      <w:r w:rsidRPr="00400189">
        <w:rPr>
          <w:rFonts w:eastAsiaTheme="minorEastAsia"/>
          <w:lang w:eastAsia="ja-JP"/>
        </w:rPr>
        <w:t xml:space="preserve"> recognizes that the entire BWP is DL or UL according to the cell-specific TDD pattern. During the SBFD operation, </w:t>
      </w:r>
      <w:r w:rsidR="0098043D" w:rsidRPr="00400189">
        <w:rPr>
          <w:rFonts w:eastAsiaTheme="minorEastAsia"/>
          <w:lang w:eastAsia="ja-JP"/>
        </w:rPr>
        <w:t xml:space="preserve">signals such as PDSCH that support non-contiguous frequency domain resource allocation (FDRA) can be scheduled for multiple DL subbands. The other signals that support contiguous FDRA, such as SSB, can be configured for a single DL subband. </w:t>
      </w:r>
    </w:p>
    <w:p w:rsidR="0083759E" w:rsidRPr="00400189" w:rsidRDefault="0083759E" w:rsidP="00970539">
      <w:pPr>
        <w:pStyle w:val="a5"/>
        <w:spacing w:before="180" w:after="0"/>
        <w:ind w:left="0"/>
        <w:jc w:val="both"/>
        <w:rPr>
          <w:rFonts w:eastAsiaTheme="minorEastAsia"/>
          <w:lang w:eastAsia="ja-JP"/>
        </w:rPr>
      </w:pPr>
      <w:r w:rsidRPr="00400189">
        <w:rPr>
          <w:rFonts w:eastAsiaTheme="minorEastAsia"/>
          <w:lang w:eastAsia="ja-JP"/>
        </w:rPr>
        <w:t>In order for legacy UE</w:t>
      </w:r>
      <w:r w:rsidR="00F7094B" w:rsidRPr="00400189">
        <w:rPr>
          <w:rFonts w:eastAsiaTheme="minorEastAsia"/>
          <w:lang w:eastAsia="ja-JP"/>
        </w:rPr>
        <w:t>s</w:t>
      </w:r>
      <w:r w:rsidRPr="00400189">
        <w:rPr>
          <w:rFonts w:eastAsiaTheme="minorEastAsia"/>
          <w:lang w:eastAsia="ja-JP"/>
        </w:rPr>
        <w:t xml:space="preserve"> to benefit from the increased UL allocation opportunities provided by SBFD</w:t>
      </w:r>
      <w:r w:rsidR="00744831" w:rsidRPr="00400189">
        <w:rPr>
          <w:rFonts w:eastAsiaTheme="minorEastAsia"/>
          <w:lang w:eastAsia="ja-JP"/>
        </w:rPr>
        <w:t xml:space="preserve"> under the current specification</w:t>
      </w:r>
      <w:r w:rsidRPr="00400189">
        <w:rPr>
          <w:rFonts w:eastAsiaTheme="minorEastAsia"/>
          <w:lang w:eastAsia="ja-JP"/>
        </w:rPr>
        <w:t xml:space="preserve">, dynamic DL/UL switching per subband needs to be specified. In this case, it can be possible to indicate DL or UL using slot format indicator (SFI) for the F slot of cell-specific TDD pattern. </w:t>
      </w:r>
      <w:r w:rsidR="00F7094B" w:rsidRPr="00400189">
        <w:rPr>
          <w:rFonts w:eastAsiaTheme="minorEastAsia"/>
          <w:lang w:eastAsia="ja-JP"/>
        </w:rPr>
        <w:t xml:space="preserve">Otherwise, legacy UEs would only have performance impact by smaller DL bandwidth due to the introduction of SBFD. </w:t>
      </w:r>
      <w:r w:rsidRPr="00400189">
        <w:rPr>
          <w:rFonts w:eastAsiaTheme="minorEastAsia"/>
          <w:lang w:eastAsia="ja-JP"/>
        </w:rPr>
        <w:t xml:space="preserve">However, </w:t>
      </w:r>
      <w:r w:rsidR="0047531E" w:rsidRPr="00400189">
        <w:rPr>
          <w:rFonts w:eastAsiaTheme="minorEastAsia"/>
          <w:lang w:eastAsia="ja-JP"/>
        </w:rPr>
        <w:t>how the F slot of the cell-specific TDD pattern is handled by SBFD capable UE</w:t>
      </w:r>
      <w:r w:rsidR="00F7094B" w:rsidRPr="00400189">
        <w:rPr>
          <w:rFonts w:eastAsiaTheme="minorEastAsia"/>
          <w:lang w:eastAsia="ja-JP"/>
        </w:rPr>
        <w:t>s</w:t>
      </w:r>
      <w:r w:rsidR="0047531E" w:rsidRPr="00400189">
        <w:rPr>
          <w:rFonts w:eastAsiaTheme="minorEastAsia"/>
          <w:lang w:eastAsia="ja-JP"/>
        </w:rPr>
        <w:t xml:space="preserve"> (described below) depends on the BWP configuration and resource allocation of the SBFD capable UE. </w:t>
      </w:r>
    </w:p>
    <w:p w:rsidR="0014003B" w:rsidRPr="00400189" w:rsidRDefault="0014003B" w:rsidP="00970539">
      <w:pPr>
        <w:pStyle w:val="a5"/>
        <w:spacing w:before="180" w:after="0"/>
        <w:ind w:left="0"/>
        <w:jc w:val="both"/>
        <w:rPr>
          <w:rFonts w:eastAsiaTheme="minorEastAsia"/>
          <w:b/>
          <w:u w:val="single"/>
          <w:lang w:eastAsia="ja-JP"/>
        </w:rPr>
      </w:pPr>
    </w:p>
    <w:p w:rsidR="008B48AE" w:rsidRDefault="008B48AE" w:rsidP="008B48AE">
      <w:pPr>
        <w:pStyle w:val="2"/>
        <w:rPr>
          <w:b/>
          <w:lang w:eastAsia="zh-TW"/>
        </w:rPr>
      </w:pPr>
      <w:r w:rsidRPr="0069513C">
        <w:rPr>
          <w:b/>
          <w:lang w:eastAsia="zh-TW"/>
        </w:rPr>
        <w:t>SBFD capable UE</w:t>
      </w:r>
    </w:p>
    <w:p w:rsidR="00362623" w:rsidRDefault="00D94E2A" w:rsidP="00362623">
      <w:pPr>
        <w:rPr>
          <w:rFonts w:eastAsiaTheme="minorEastAsia"/>
          <w:lang w:eastAsia="ja-JP"/>
        </w:rPr>
      </w:pPr>
      <w:r>
        <w:rPr>
          <w:rFonts w:eastAsiaTheme="minorEastAsia"/>
          <w:lang w:eastAsia="ja-JP"/>
        </w:rPr>
        <w:t xml:space="preserve">We focus on two methods, BWP based and RB-set based, and provide pros and cons </w:t>
      </w:r>
      <w:r w:rsidR="00AB2105">
        <w:rPr>
          <w:rFonts w:eastAsiaTheme="minorEastAsia"/>
          <w:lang w:eastAsia="ja-JP"/>
        </w:rPr>
        <w:t xml:space="preserve">for legacy UEs and SBFD capable UEs </w:t>
      </w:r>
      <w:r>
        <w:rPr>
          <w:rFonts w:eastAsiaTheme="minorEastAsia"/>
          <w:lang w:eastAsia="ja-JP"/>
        </w:rPr>
        <w:t xml:space="preserve">to co-exist in the same serving cell operating SBFD with the consideration of some enhancements.  </w:t>
      </w:r>
    </w:p>
    <w:p w:rsidR="00AB2105" w:rsidRPr="00D94E2A" w:rsidRDefault="00AB2105" w:rsidP="00362623">
      <w:pPr>
        <w:rPr>
          <w:rFonts w:eastAsiaTheme="minorEastAsia"/>
          <w:lang w:eastAsia="ja-JP"/>
        </w:rPr>
      </w:pPr>
    </w:p>
    <w:p w:rsidR="008B48AE" w:rsidRPr="0069513C" w:rsidRDefault="008B48AE" w:rsidP="008B48AE">
      <w:pPr>
        <w:pStyle w:val="3"/>
        <w:rPr>
          <w:b/>
          <w:lang w:eastAsia="zh-TW"/>
        </w:rPr>
      </w:pPr>
      <w:r w:rsidRPr="0069513C">
        <w:rPr>
          <w:b/>
          <w:lang w:eastAsia="zh-TW"/>
        </w:rPr>
        <w:t xml:space="preserve">BWP based </w:t>
      </w:r>
    </w:p>
    <w:p w:rsidR="00D34D18" w:rsidRPr="00400189" w:rsidRDefault="009806D6" w:rsidP="00970539">
      <w:pPr>
        <w:pStyle w:val="a5"/>
        <w:spacing w:before="180" w:after="0"/>
        <w:ind w:left="0"/>
        <w:jc w:val="both"/>
        <w:rPr>
          <w:rFonts w:eastAsiaTheme="minorEastAsia"/>
          <w:lang w:eastAsia="ja-JP"/>
        </w:rPr>
      </w:pPr>
      <w:r w:rsidRPr="00400189">
        <w:rPr>
          <w:rFonts w:eastAsiaTheme="minorEastAsia"/>
          <w:lang w:eastAsia="ja-JP"/>
        </w:rPr>
        <w:t xml:space="preserve">In NR, </w:t>
      </w:r>
      <w:r w:rsidR="00A057A6" w:rsidRPr="00400189">
        <w:rPr>
          <w:rFonts w:eastAsiaTheme="minorEastAsia"/>
          <w:lang w:eastAsia="ja-JP"/>
        </w:rPr>
        <w:t xml:space="preserve">the UE transmits and receives data and control signals within the frequency range </w:t>
      </w:r>
      <w:r w:rsidR="00332DB0" w:rsidRPr="00400189">
        <w:rPr>
          <w:rFonts w:eastAsiaTheme="minorEastAsia"/>
          <w:lang w:eastAsia="ja-JP"/>
        </w:rPr>
        <w:t xml:space="preserve">configured </w:t>
      </w:r>
      <w:r w:rsidR="00A057A6" w:rsidRPr="00400189">
        <w:rPr>
          <w:rFonts w:eastAsiaTheme="minorEastAsia"/>
          <w:lang w:eastAsia="ja-JP"/>
        </w:rPr>
        <w:t xml:space="preserve">by the BWP. </w:t>
      </w:r>
      <w:r w:rsidR="00FE7997" w:rsidRPr="00400189">
        <w:rPr>
          <w:rFonts w:eastAsiaTheme="minorEastAsia"/>
          <w:lang w:eastAsia="ja-JP"/>
        </w:rPr>
        <w:t xml:space="preserve">DL/UL parameters </w:t>
      </w:r>
      <w:r w:rsidR="00806D81" w:rsidRPr="00400189">
        <w:rPr>
          <w:rFonts w:eastAsiaTheme="minorEastAsia"/>
          <w:lang w:eastAsia="ja-JP"/>
        </w:rPr>
        <w:t xml:space="preserve">including TDD configuration </w:t>
      </w:r>
      <w:r w:rsidR="00FE7997" w:rsidRPr="00400189">
        <w:rPr>
          <w:rFonts w:eastAsiaTheme="minorEastAsia"/>
          <w:lang w:eastAsia="ja-JP"/>
        </w:rPr>
        <w:t>are therefore configured on BWP basis</w:t>
      </w:r>
      <w:r w:rsidR="003C1377" w:rsidRPr="00400189">
        <w:rPr>
          <w:rFonts w:eastAsiaTheme="minorEastAsia"/>
          <w:lang w:eastAsia="ja-JP"/>
        </w:rPr>
        <w:t>, and the UE transmits and receives using only one BWP as active</w:t>
      </w:r>
      <w:r w:rsidR="00FE7997" w:rsidRPr="00400189">
        <w:rPr>
          <w:rFonts w:eastAsiaTheme="minorEastAsia"/>
          <w:lang w:eastAsia="ja-JP"/>
        </w:rPr>
        <w:t>.</w:t>
      </w:r>
      <w:r w:rsidR="00207A4D" w:rsidRPr="00400189">
        <w:rPr>
          <w:rFonts w:eastAsiaTheme="minorEastAsia"/>
          <w:lang w:eastAsia="ja-JP"/>
        </w:rPr>
        <w:t xml:space="preserve"> </w:t>
      </w:r>
    </w:p>
    <w:p w:rsidR="0064678F" w:rsidRPr="00400189" w:rsidRDefault="00207A4D" w:rsidP="00970539">
      <w:pPr>
        <w:pStyle w:val="a5"/>
        <w:spacing w:before="180" w:after="0"/>
        <w:ind w:left="0"/>
        <w:jc w:val="both"/>
        <w:rPr>
          <w:rFonts w:eastAsiaTheme="minorEastAsia"/>
          <w:lang w:eastAsia="ja-JP"/>
        </w:rPr>
      </w:pPr>
      <w:r w:rsidRPr="00400189">
        <w:rPr>
          <w:rFonts w:eastAsiaTheme="minorEastAsia"/>
          <w:lang w:eastAsia="ja-JP"/>
        </w:rPr>
        <w:t xml:space="preserve">When BWP is applied to subband resource partition in SBFD, it is </w:t>
      </w:r>
      <w:r w:rsidR="00454872" w:rsidRPr="00400189">
        <w:rPr>
          <w:rFonts w:eastAsiaTheme="minorEastAsia"/>
          <w:lang w:eastAsia="ja-JP"/>
        </w:rPr>
        <w:t>straightforward</w:t>
      </w:r>
      <w:r w:rsidRPr="00400189">
        <w:rPr>
          <w:rFonts w:eastAsiaTheme="minorEastAsia"/>
          <w:lang w:eastAsia="ja-JP"/>
        </w:rPr>
        <w:t xml:space="preserve"> to configure a different BWP to each subband</w:t>
      </w:r>
      <w:r w:rsidR="008930E7" w:rsidRPr="00400189">
        <w:rPr>
          <w:rFonts w:eastAsiaTheme="minorEastAsia"/>
          <w:lang w:eastAsia="ja-JP"/>
        </w:rPr>
        <w:t xml:space="preserve"> (Figure 1-(a))</w:t>
      </w:r>
      <w:r w:rsidRPr="00400189">
        <w:rPr>
          <w:rFonts w:eastAsiaTheme="minorEastAsia"/>
          <w:lang w:eastAsia="ja-JP"/>
        </w:rPr>
        <w:t xml:space="preserve">. </w:t>
      </w:r>
      <w:r w:rsidR="00D34D18" w:rsidRPr="00400189">
        <w:rPr>
          <w:rFonts w:eastAsiaTheme="minorEastAsia"/>
          <w:lang w:eastAsia="ja-JP"/>
        </w:rPr>
        <w:t xml:space="preserve">Since the sampling rate changes according to the BWP size, inter-subband </w:t>
      </w:r>
      <w:r w:rsidR="00C406FD" w:rsidRPr="00400189">
        <w:rPr>
          <w:rFonts w:eastAsiaTheme="minorEastAsia"/>
          <w:lang w:eastAsia="ja-JP"/>
        </w:rPr>
        <w:t xml:space="preserve">UE-to-UE </w:t>
      </w:r>
      <w:r w:rsidR="00D34D18" w:rsidRPr="00400189">
        <w:rPr>
          <w:rFonts w:eastAsiaTheme="minorEastAsia"/>
          <w:lang w:eastAsia="ja-JP"/>
        </w:rPr>
        <w:t xml:space="preserve">CLI impact can be suppressed rather than configuring the entire bandwidth as one BWP. </w:t>
      </w:r>
      <w:r w:rsidR="007E6986" w:rsidRPr="00400189">
        <w:rPr>
          <w:rFonts w:eastAsiaTheme="minorEastAsia"/>
          <w:lang w:eastAsia="ja-JP"/>
        </w:rPr>
        <w:t>In addition, since UE</w:t>
      </w:r>
      <w:r w:rsidR="003F0338" w:rsidRPr="00400189">
        <w:rPr>
          <w:rFonts w:eastAsiaTheme="minorEastAsia"/>
          <w:lang w:eastAsia="ja-JP"/>
        </w:rPr>
        <w:t>s</w:t>
      </w:r>
      <w:r w:rsidR="007E6986" w:rsidRPr="00400189">
        <w:rPr>
          <w:rFonts w:eastAsiaTheme="minorEastAsia"/>
          <w:lang w:eastAsia="ja-JP"/>
        </w:rPr>
        <w:t xml:space="preserve"> follow the TDD pattern on a BWP basis, it is assumed that no major specification change can be involved</w:t>
      </w:r>
      <w:r w:rsidR="007144F4" w:rsidRPr="00400189">
        <w:rPr>
          <w:rFonts w:eastAsiaTheme="minorEastAsia"/>
          <w:lang w:eastAsia="ja-JP"/>
        </w:rPr>
        <w:t xml:space="preserve">, and </w:t>
      </w:r>
      <w:r w:rsidR="00B94538" w:rsidRPr="00400189">
        <w:rPr>
          <w:rFonts w:eastAsiaTheme="minorEastAsia"/>
          <w:lang w:eastAsia="ja-JP"/>
        </w:rPr>
        <w:t xml:space="preserve">a less </w:t>
      </w:r>
      <w:r w:rsidR="007144F4" w:rsidRPr="00400189">
        <w:rPr>
          <w:rFonts w:eastAsiaTheme="minorEastAsia"/>
          <w:lang w:eastAsia="ja-JP"/>
        </w:rPr>
        <w:t xml:space="preserve">signalling overhead </w:t>
      </w:r>
      <w:r w:rsidR="00B94538" w:rsidRPr="00400189">
        <w:rPr>
          <w:rFonts w:eastAsiaTheme="minorEastAsia"/>
          <w:lang w:eastAsia="ja-JP"/>
        </w:rPr>
        <w:t>may be desirable</w:t>
      </w:r>
      <w:r w:rsidR="007E6986" w:rsidRPr="00400189">
        <w:rPr>
          <w:rFonts w:eastAsiaTheme="minorEastAsia"/>
          <w:lang w:eastAsia="ja-JP"/>
        </w:rPr>
        <w:t xml:space="preserve">. </w:t>
      </w:r>
      <w:r w:rsidR="00B72EA6" w:rsidRPr="00400189">
        <w:rPr>
          <w:rFonts w:eastAsiaTheme="minorEastAsia"/>
          <w:lang w:eastAsia="ja-JP"/>
        </w:rPr>
        <w:t xml:space="preserve">To </w:t>
      </w:r>
      <w:r w:rsidR="00327CAA" w:rsidRPr="00400189">
        <w:rPr>
          <w:rFonts w:eastAsiaTheme="minorEastAsia"/>
          <w:lang w:eastAsia="ja-JP"/>
        </w:rPr>
        <w:t>m</w:t>
      </w:r>
      <w:r w:rsidR="00B72EA6" w:rsidRPr="00400189">
        <w:rPr>
          <w:rFonts w:eastAsiaTheme="minorEastAsia"/>
          <w:lang w:eastAsia="ja-JP"/>
        </w:rPr>
        <w:t xml:space="preserve">aximize </w:t>
      </w:r>
      <w:r w:rsidR="00806D81" w:rsidRPr="00400189">
        <w:rPr>
          <w:rFonts w:eastAsiaTheme="minorEastAsia"/>
          <w:lang w:eastAsia="ja-JP"/>
        </w:rPr>
        <w:t>the benefit from SBFD</w:t>
      </w:r>
      <w:r w:rsidR="00B72EA6" w:rsidRPr="00400189">
        <w:rPr>
          <w:rFonts w:eastAsiaTheme="minorEastAsia"/>
          <w:lang w:eastAsia="ja-JP"/>
        </w:rPr>
        <w:t xml:space="preserve">, it may be necessary to support </w:t>
      </w:r>
      <w:r w:rsidR="00806D81" w:rsidRPr="00400189">
        <w:rPr>
          <w:rFonts w:eastAsiaTheme="minorEastAsia"/>
          <w:lang w:eastAsia="ja-JP"/>
        </w:rPr>
        <w:t xml:space="preserve">faster </w:t>
      </w:r>
      <w:r w:rsidR="00B72EA6" w:rsidRPr="00400189">
        <w:rPr>
          <w:rFonts w:eastAsiaTheme="minorEastAsia"/>
          <w:lang w:eastAsia="ja-JP"/>
        </w:rPr>
        <w:t>BWP switching</w:t>
      </w:r>
      <w:r w:rsidR="00327CAA" w:rsidRPr="00400189">
        <w:rPr>
          <w:rFonts w:eastAsiaTheme="minorEastAsia"/>
          <w:lang w:eastAsia="ja-JP"/>
        </w:rPr>
        <w:t>, and UE based indication of BWP switching can be considered</w:t>
      </w:r>
      <w:r w:rsidR="00B72EA6" w:rsidRPr="00400189">
        <w:rPr>
          <w:rFonts w:eastAsiaTheme="minorEastAsia"/>
          <w:lang w:eastAsia="ja-JP"/>
        </w:rPr>
        <w:t xml:space="preserve">. </w:t>
      </w:r>
    </w:p>
    <w:p w:rsidR="00324327" w:rsidRPr="00400189" w:rsidRDefault="00324327" w:rsidP="00970539">
      <w:pPr>
        <w:pStyle w:val="a5"/>
        <w:spacing w:before="180" w:after="0"/>
        <w:ind w:left="0"/>
        <w:jc w:val="both"/>
        <w:rPr>
          <w:rFonts w:eastAsiaTheme="minorEastAsia"/>
          <w:lang w:eastAsia="ja-JP"/>
        </w:rPr>
      </w:pPr>
    </w:p>
    <w:p w:rsidR="008B48AE" w:rsidRPr="0069513C" w:rsidRDefault="008B48AE" w:rsidP="008B48AE">
      <w:pPr>
        <w:pStyle w:val="3"/>
        <w:rPr>
          <w:b/>
          <w:lang w:eastAsia="zh-TW"/>
        </w:rPr>
      </w:pPr>
      <w:r w:rsidRPr="0069513C">
        <w:rPr>
          <w:b/>
          <w:lang w:eastAsia="zh-TW"/>
        </w:rPr>
        <w:t xml:space="preserve">RB-set based </w:t>
      </w:r>
    </w:p>
    <w:p w:rsidR="000B67D8" w:rsidRPr="00400189" w:rsidRDefault="00CB687F" w:rsidP="00970539">
      <w:pPr>
        <w:pStyle w:val="a5"/>
        <w:spacing w:before="180" w:after="0"/>
        <w:ind w:left="0"/>
        <w:jc w:val="both"/>
        <w:rPr>
          <w:rFonts w:eastAsiaTheme="minorEastAsia"/>
          <w:lang w:eastAsia="ja-JP"/>
        </w:rPr>
      </w:pPr>
      <w:r w:rsidRPr="00400189">
        <w:rPr>
          <w:rFonts w:eastAsiaTheme="minorEastAsia"/>
          <w:lang w:eastAsia="ja-JP"/>
        </w:rPr>
        <w:t xml:space="preserve">RB set specified in Rel-16 NR-U can </w:t>
      </w:r>
      <w:r w:rsidR="00D266A0" w:rsidRPr="00400189">
        <w:rPr>
          <w:rFonts w:eastAsiaTheme="minorEastAsia"/>
          <w:lang w:eastAsia="ja-JP"/>
        </w:rPr>
        <w:t>indicate</w:t>
      </w:r>
      <w:r w:rsidRPr="00400189">
        <w:rPr>
          <w:rFonts w:eastAsiaTheme="minorEastAsia"/>
          <w:lang w:eastAsia="ja-JP"/>
        </w:rPr>
        <w:t xml:space="preserve"> the bandwidth and guard band</w:t>
      </w:r>
      <w:r w:rsidR="00E905ED" w:rsidRPr="00400189">
        <w:rPr>
          <w:rFonts w:eastAsiaTheme="minorEastAsia"/>
          <w:lang w:eastAsia="ja-JP"/>
        </w:rPr>
        <w:t>s</w:t>
      </w:r>
      <w:r w:rsidRPr="00400189">
        <w:rPr>
          <w:rFonts w:eastAsiaTheme="minorEastAsia"/>
          <w:lang w:eastAsia="ja-JP"/>
        </w:rPr>
        <w:t xml:space="preserve"> for LBT. </w:t>
      </w:r>
      <w:r w:rsidR="00401EE4" w:rsidRPr="00400189">
        <w:rPr>
          <w:rFonts w:eastAsiaTheme="minorEastAsia"/>
          <w:lang w:eastAsia="ja-JP"/>
        </w:rPr>
        <w:t xml:space="preserve">This functionality can be used in SBFD </w:t>
      </w:r>
      <w:r w:rsidR="00D266A0" w:rsidRPr="00400189">
        <w:rPr>
          <w:rFonts w:eastAsiaTheme="minorEastAsia"/>
          <w:lang w:eastAsia="ja-JP"/>
        </w:rPr>
        <w:t xml:space="preserve">for </w:t>
      </w:r>
      <w:r w:rsidR="00E905ED" w:rsidRPr="00400189">
        <w:rPr>
          <w:rFonts w:eastAsiaTheme="minorEastAsia"/>
          <w:lang w:eastAsia="ja-JP"/>
        </w:rPr>
        <w:t xml:space="preserve">indication of </w:t>
      </w:r>
      <w:r w:rsidR="00D266A0" w:rsidRPr="00400189">
        <w:rPr>
          <w:rFonts w:eastAsiaTheme="minorEastAsia"/>
          <w:lang w:eastAsia="ja-JP"/>
        </w:rPr>
        <w:t xml:space="preserve">subband partitioning. </w:t>
      </w:r>
    </w:p>
    <w:p w:rsidR="00CB687F" w:rsidRPr="00400189" w:rsidRDefault="00D266A0" w:rsidP="00970539">
      <w:pPr>
        <w:pStyle w:val="a5"/>
        <w:spacing w:before="180" w:after="0"/>
        <w:ind w:left="0"/>
        <w:jc w:val="both"/>
        <w:rPr>
          <w:rFonts w:eastAsiaTheme="minorEastAsia"/>
          <w:lang w:eastAsia="ja-JP"/>
        </w:rPr>
      </w:pPr>
      <w:r w:rsidRPr="00400189">
        <w:rPr>
          <w:rFonts w:eastAsiaTheme="minorEastAsia"/>
          <w:lang w:eastAsia="ja-JP"/>
        </w:rPr>
        <w:t xml:space="preserve">To achieve SBFD operation using RB-set functionality, dynamic </w:t>
      </w:r>
      <w:r w:rsidR="00197480" w:rsidRPr="00400189">
        <w:rPr>
          <w:rFonts w:eastAsiaTheme="minorEastAsia"/>
          <w:lang w:eastAsia="ja-JP"/>
        </w:rPr>
        <w:t xml:space="preserve">or semi-static </w:t>
      </w:r>
      <w:r w:rsidRPr="00400189">
        <w:rPr>
          <w:rFonts w:eastAsiaTheme="minorEastAsia"/>
          <w:lang w:eastAsia="ja-JP"/>
        </w:rPr>
        <w:t>indication</w:t>
      </w:r>
      <w:r w:rsidR="00197480" w:rsidRPr="00400189">
        <w:rPr>
          <w:rFonts w:eastAsiaTheme="minorEastAsia"/>
          <w:lang w:eastAsia="ja-JP"/>
        </w:rPr>
        <w:t xml:space="preserve"> </w:t>
      </w:r>
      <w:r w:rsidRPr="00400189">
        <w:rPr>
          <w:rFonts w:eastAsiaTheme="minorEastAsia"/>
          <w:lang w:eastAsia="ja-JP"/>
        </w:rPr>
        <w:t xml:space="preserve">of </w:t>
      </w:r>
      <w:r w:rsidR="00401EE4" w:rsidRPr="00400189">
        <w:rPr>
          <w:rFonts w:eastAsiaTheme="minorEastAsia"/>
          <w:lang w:eastAsia="ja-JP"/>
        </w:rPr>
        <w:t xml:space="preserve">DL or UL direction </w:t>
      </w:r>
      <w:r w:rsidRPr="00400189">
        <w:rPr>
          <w:rFonts w:eastAsiaTheme="minorEastAsia"/>
          <w:lang w:eastAsia="ja-JP"/>
        </w:rPr>
        <w:t>per subband basis needs to be specified</w:t>
      </w:r>
      <w:r w:rsidR="00E905ED" w:rsidRPr="00400189">
        <w:rPr>
          <w:rFonts w:eastAsiaTheme="minorEastAsia"/>
          <w:lang w:eastAsia="ja-JP"/>
        </w:rPr>
        <w:t xml:space="preserve"> additionally</w:t>
      </w:r>
      <w:r w:rsidRPr="00400189">
        <w:rPr>
          <w:rFonts w:eastAsiaTheme="minorEastAsia"/>
          <w:lang w:eastAsia="ja-JP"/>
        </w:rPr>
        <w:t>.</w:t>
      </w:r>
      <w:r w:rsidR="000A0177" w:rsidRPr="00400189">
        <w:rPr>
          <w:rFonts w:eastAsiaTheme="minorEastAsia"/>
          <w:lang w:eastAsia="ja-JP"/>
        </w:rPr>
        <w:t xml:space="preserve"> </w:t>
      </w:r>
      <w:r w:rsidR="000B67D8" w:rsidRPr="00400189">
        <w:rPr>
          <w:rFonts w:eastAsiaTheme="minorEastAsia"/>
          <w:lang w:eastAsia="ja-JP"/>
        </w:rPr>
        <w:t>In order to</w:t>
      </w:r>
      <w:r w:rsidR="000A0177" w:rsidRPr="00400189">
        <w:rPr>
          <w:rFonts w:eastAsiaTheme="minorEastAsia"/>
          <w:lang w:eastAsia="ja-JP"/>
        </w:rPr>
        <w:t xml:space="preserve"> indicate the direction</w:t>
      </w:r>
      <w:r w:rsidR="00871490" w:rsidRPr="00400189">
        <w:rPr>
          <w:rFonts w:eastAsiaTheme="minorEastAsia"/>
          <w:lang w:eastAsia="ja-JP"/>
        </w:rPr>
        <w:t xml:space="preserve"> under the current specification</w:t>
      </w:r>
      <w:r w:rsidR="000A0177" w:rsidRPr="00400189">
        <w:rPr>
          <w:rFonts w:eastAsiaTheme="minorEastAsia"/>
          <w:lang w:eastAsia="ja-JP"/>
        </w:rPr>
        <w:t xml:space="preserve">, </w:t>
      </w:r>
      <w:r w:rsidR="000B67D8" w:rsidRPr="00400189">
        <w:rPr>
          <w:rFonts w:eastAsiaTheme="minorEastAsia"/>
          <w:lang w:eastAsia="ja-JP"/>
        </w:rPr>
        <w:t xml:space="preserve">gNB configure </w:t>
      </w:r>
      <w:r w:rsidR="000A0177" w:rsidRPr="00400189">
        <w:rPr>
          <w:rFonts w:eastAsiaTheme="minorEastAsia"/>
          <w:lang w:eastAsia="ja-JP"/>
        </w:rPr>
        <w:t xml:space="preserve">cell specific TDD pattern </w:t>
      </w:r>
      <w:r w:rsidR="000B67D8" w:rsidRPr="00400189">
        <w:rPr>
          <w:rFonts w:eastAsiaTheme="minorEastAsia"/>
          <w:lang w:eastAsia="ja-JP"/>
        </w:rPr>
        <w:t xml:space="preserve">which </w:t>
      </w:r>
      <w:r w:rsidR="000A0177" w:rsidRPr="00400189">
        <w:rPr>
          <w:rFonts w:eastAsiaTheme="minorEastAsia"/>
          <w:lang w:eastAsia="ja-JP"/>
        </w:rPr>
        <w:t>ha</w:t>
      </w:r>
      <w:r w:rsidR="000B67D8" w:rsidRPr="00400189">
        <w:rPr>
          <w:rFonts w:eastAsiaTheme="minorEastAsia"/>
          <w:lang w:eastAsia="ja-JP"/>
        </w:rPr>
        <w:t>s</w:t>
      </w:r>
      <w:r w:rsidR="000A0177" w:rsidRPr="00400189">
        <w:rPr>
          <w:rFonts w:eastAsiaTheme="minorEastAsia"/>
          <w:lang w:eastAsia="ja-JP"/>
        </w:rPr>
        <w:t xml:space="preserve"> the F slot</w:t>
      </w:r>
      <w:r w:rsidR="000B67D8" w:rsidRPr="00400189">
        <w:rPr>
          <w:rFonts w:eastAsiaTheme="minorEastAsia"/>
          <w:lang w:eastAsia="ja-JP"/>
        </w:rPr>
        <w:t xml:space="preserve"> to UE</w:t>
      </w:r>
      <w:r w:rsidR="000A0177" w:rsidRPr="00400189">
        <w:rPr>
          <w:rFonts w:eastAsiaTheme="minorEastAsia"/>
          <w:lang w:eastAsia="ja-JP"/>
        </w:rPr>
        <w:t xml:space="preserve">, </w:t>
      </w:r>
      <w:r w:rsidR="000B67D8" w:rsidRPr="00400189">
        <w:rPr>
          <w:rFonts w:eastAsiaTheme="minorEastAsia"/>
          <w:lang w:eastAsia="ja-JP"/>
        </w:rPr>
        <w:t xml:space="preserve">which means that </w:t>
      </w:r>
      <w:r w:rsidR="000A0177" w:rsidRPr="00400189">
        <w:rPr>
          <w:rFonts w:eastAsiaTheme="minorEastAsia"/>
          <w:lang w:eastAsia="ja-JP"/>
        </w:rPr>
        <w:t xml:space="preserve">the same configuration for cell-specific TDD pattern described in </w:t>
      </w:r>
      <w:r w:rsidR="00362623" w:rsidRPr="00400189">
        <w:rPr>
          <w:rFonts w:eastAsiaTheme="minorEastAsia"/>
          <w:lang w:eastAsia="ja-JP"/>
        </w:rPr>
        <w:t>Section</w:t>
      </w:r>
      <w:r w:rsidR="00871490" w:rsidRPr="00400189">
        <w:rPr>
          <w:rFonts w:eastAsiaTheme="minorEastAsia"/>
          <w:lang w:eastAsia="ja-JP"/>
        </w:rPr>
        <w:t xml:space="preserve"> </w:t>
      </w:r>
      <w:r w:rsidR="000A0177" w:rsidRPr="00400189">
        <w:rPr>
          <w:rFonts w:eastAsiaTheme="minorEastAsia"/>
          <w:lang w:eastAsia="ja-JP"/>
        </w:rPr>
        <w:t>2.1 can be used</w:t>
      </w:r>
      <w:r w:rsidR="000B67D8" w:rsidRPr="00400189">
        <w:rPr>
          <w:rFonts w:eastAsiaTheme="minorEastAsia"/>
          <w:lang w:eastAsia="ja-JP"/>
        </w:rPr>
        <w:t xml:space="preserve"> in this method</w:t>
      </w:r>
      <w:r w:rsidR="000A0177" w:rsidRPr="00400189">
        <w:rPr>
          <w:rFonts w:eastAsiaTheme="minorEastAsia"/>
          <w:lang w:eastAsia="ja-JP"/>
        </w:rPr>
        <w:t xml:space="preserve">. </w:t>
      </w:r>
      <w:r w:rsidR="009D7595" w:rsidRPr="00400189">
        <w:rPr>
          <w:rFonts w:eastAsiaTheme="minorEastAsia"/>
          <w:lang w:eastAsia="ja-JP"/>
        </w:rPr>
        <w:t>In addition, s</w:t>
      </w:r>
      <w:r w:rsidR="000A0177" w:rsidRPr="00400189">
        <w:rPr>
          <w:rFonts w:eastAsiaTheme="minorEastAsia"/>
          <w:lang w:eastAsia="ja-JP"/>
        </w:rPr>
        <w:t>ince t</w:t>
      </w:r>
      <w:r w:rsidR="00401EE4" w:rsidRPr="00400189">
        <w:rPr>
          <w:rFonts w:eastAsiaTheme="minorEastAsia"/>
          <w:lang w:eastAsia="ja-JP"/>
        </w:rPr>
        <w:t xml:space="preserve">his method </w:t>
      </w:r>
      <w:r w:rsidR="000A0177" w:rsidRPr="00400189">
        <w:rPr>
          <w:rFonts w:eastAsiaTheme="minorEastAsia"/>
          <w:lang w:eastAsia="ja-JP"/>
        </w:rPr>
        <w:t>configure the BWP for the entire bandwidth</w:t>
      </w:r>
      <w:r w:rsidR="00012461" w:rsidRPr="00400189">
        <w:rPr>
          <w:rFonts w:eastAsiaTheme="minorEastAsia"/>
          <w:lang w:eastAsia="ja-JP"/>
        </w:rPr>
        <w:t xml:space="preserve"> (Figure 1-(b))</w:t>
      </w:r>
      <w:r w:rsidR="000A0177" w:rsidRPr="00400189">
        <w:rPr>
          <w:rFonts w:eastAsiaTheme="minorEastAsia"/>
          <w:lang w:eastAsia="ja-JP"/>
        </w:rPr>
        <w:t xml:space="preserve">, it </w:t>
      </w:r>
      <w:r w:rsidR="00401EE4" w:rsidRPr="00400189">
        <w:rPr>
          <w:rFonts w:eastAsiaTheme="minorEastAsia"/>
          <w:lang w:eastAsia="ja-JP"/>
        </w:rPr>
        <w:t xml:space="preserve">is expected to improve scheduling flexibility and capacity </w:t>
      </w:r>
      <w:r w:rsidR="000B67D8" w:rsidRPr="00400189">
        <w:rPr>
          <w:rFonts w:eastAsiaTheme="minorEastAsia"/>
          <w:lang w:eastAsia="ja-JP"/>
        </w:rPr>
        <w:t xml:space="preserve">enhancement </w:t>
      </w:r>
      <w:r w:rsidR="00401EE4" w:rsidRPr="00400189">
        <w:rPr>
          <w:rFonts w:eastAsiaTheme="minorEastAsia"/>
          <w:lang w:eastAsia="ja-JP"/>
        </w:rPr>
        <w:t xml:space="preserve">without BWP switching compared to BWP based method. </w:t>
      </w:r>
      <w:r w:rsidR="009D7595" w:rsidRPr="00400189">
        <w:rPr>
          <w:rFonts w:eastAsiaTheme="minorEastAsia"/>
          <w:lang w:eastAsia="ja-JP"/>
        </w:rPr>
        <w:t xml:space="preserve">However, it is not possible to mitigate inter-subband UE-to-UE CLI impact by reducing the BWP size. </w:t>
      </w:r>
      <w:r w:rsidR="0071541C" w:rsidRPr="00400189">
        <w:rPr>
          <w:rFonts w:eastAsiaTheme="minorEastAsia"/>
          <w:lang w:eastAsia="ja-JP"/>
        </w:rPr>
        <w:t>The comple</w:t>
      </w:r>
      <w:r w:rsidR="00871490" w:rsidRPr="00400189">
        <w:rPr>
          <w:rFonts w:eastAsiaTheme="minorEastAsia"/>
          <w:lang w:eastAsia="ja-JP"/>
        </w:rPr>
        <w:t xml:space="preserve">xity of the operations with SFI, e.g., </w:t>
      </w:r>
      <w:r w:rsidR="00AA0586" w:rsidRPr="00400189">
        <w:rPr>
          <w:rFonts w:eastAsiaTheme="minorEastAsia"/>
          <w:lang w:eastAsia="ja-JP"/>
        </w:rPr>
        <w:t xml:space="preserve">a </w:t>
      </w:r>
      <w:r w:rsidR="00871490" w:rsidRPr="00400189">
        <w:rPr>
          <w:rFonts w:eastAsiaTheme="minorEastAsia"/>
          <w:lang w:eastAsia="ja-JP"/>
        </w:rPr>
        <w:t xml:space="preserve">dynamic signalling, </w:t>
      </w:r>
      <w:r w:rsidR="0071541C" w:rsidRPr="00400189">
        <w:rPr>
          <w:rFonts w:eastAsiaTheme="minorEastAsia"/>
          <w:lang w:eastAsia="ja-JP"/>
        </w:rPr>
        <w:t xml:space="preserve">can also be a </w:t>
      </w:r>
      <w:r w:rsidR="0071541C" w:rsidRPr="00400189">
        <w:rPr>
          <w:rFonts w:eastAsiaTheme="minorEastAsia"/>
          <w:lang w:eastAsia="ja-JP"/>
        </w:rPr>
        <w:lastRenderedPageBreak/>
        <w:t xml:space="preserve">feasibility issue considering real deployments. </w:t>
      </w:r>
      <w:r w:rsidR="002B78DE" w:rsidRPr="00400189">
        <w:rPr>
          <w:rFonts w:eastAsiaTheme="minorEastAsia"/>
          <w:lang w:eastAsia="ja-JP"/>
        </w:rPr>
        <w:t xml:space="preserve">To avoid the complexity, </w:t>
      </w:r>
      <w:r w:rsidR="0032600F" w:rsidRPr="00400189">
        <w:rPr>
          <w:rFonts w:eastAsiaTheme="minorEastAsia"/>
          <w:lang w:eastAsia="ja-JP"/>
        </w:rPr>
        <w:t xml:space="preserve">it is necessary to study a mechanism to notify the DL or UL direction to SBFD capable UEs without using TDD pattern including F slot. </w:t>
      </w:r>
    </w:p>
    <w:p w:rsidR="00324327" w:rsidRPr="00400189" w:rsidRDefault="00324327" w:rsidP="00970539">
      <w:pPr>
        <w:pStyle w:val="a5"/>
        <w:spacing w:before="180" w:after="0"/>
        <w:ind w:left="0"/>
        <w:jc w:val="both"/>
        <w:rPr>
          <w:rFonts w:eastAsiaTheme="minorEastAsia"/>
          <w:lang w:eastAsia="ja-JP"/>
        </w:rPr>
      </w:pPr>
    </w:p>
    <w:p w:rsidR="00272655" w:rsidRPr="00400189" w:rsidRDefault="00272655" w:rsidP="00272655">
      <w:pPr>
        <w:pStyle w:val="a5"/>
        <w:keepNext/>
        <w:spacing w:before="180" w:after="0"/>
        <w:ind w:left="0"/>
        <w:jc w:val="center"/>
        <w:rPr>
          <w:sz w:val="18"/>
        </w:rPr>
      </w:pPr>
      <w:r w:rsidRPr="00400189">
        <w:rPr>
          <w:rFonts w:eastAsiaTheme="minorEastAsia"/>
          <w:noProof/>
          <w:lang w:val="en-US" w:eastAsia="ja-JP"/>
        </w:rPr>
        <w:drawing>
          <wp:inline distT="0" distB="0" distL="0" distR="0" wp14:anchorId="0FB0E5F5">
            <wp:extent cx="5613046" cy="1800000"/>
            <wp:effectExtent l="0" t="0" r="6985"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3046" cy="1800000"/>
                    </a:xfrm>
                    <a:prstGeom prst="rect">
                      <a:avLst/>
                    </a:prstGeom>
                    <a:noFill/>
                    <a:ln>
                      <a:noFill/>
                    </a:ln>
                  </pic:spPr>
                </pic:pic>
              </a:graphicData>
            </a:graphic>
          </wp:inline>
        </w:drawing>
      </w:r>
    </w:p>
    <w:p w:rsidR="00272655" w:rsidRPr="00400189" w:rsidRDefault="00272655" w:rsidP="00272655">
      <w:pPr>
        <w:pStyle w:val="aa"/>
        <w:jc w:val="center"/>
        <w:rPr>
          <w:sz w:val="20"/>
          <w:lang w:val="en-US"/>
        </w:rPr>
      </w:pPr>
      <w:r w:rsidRPr="00400189">
        <w:rPr>
          <w:sz w:val="20"/>
        </w:rPr>
        <w:t xml:space="preserve">Figure </w:t>
      </w:r>
      <w:r w:rsidRPr="00400189">
        <w:rPr>
          <w:sz w:val="20"/>
        </w:rPr>
        <w:fldChar w:fldCharType="begin"/>
      </w:r>
      <w:r w:rsidRPr="00400189">
        <w:rPr>
          <w:sz w:val="20"/>
        </w:rPr>
        <w:instrText xml:space="preserve"> SEQ Figure \* ARABIC </w:instrText>
      </w:r>
      <w:r w:rsidRPr="00400189">
        <w:rPr>
          <w:sz w:val="20"/>
        </w:rPr>
        <w:fldChar w:fldCharType="separate"/>
      </w:r>
      <w:r w:rsidRPr="00400189">
        <w:rPr>
          <w:noProof/>
          <w:sz w:val="20"/>
        </w:rPr>
        <w:t>1</w:t>
      </w:r>
      <w:r w:rsidRPr="00400189">
        <w:rPr>
          <w:sz w:val="20"/>
        </w:rPr>
        <w:fldChar w:fldCharType="end"/>
      </w:r>
      <w:r w:rsidRPr="00400189">
        <w:rPr>
          <w:sz w:val="20"/>
        </w:rPr>
        <w:tab/>
      </w:r>
      <w:r w:rsidRPr="00400189">
        <w:rPr>
          <w:sz w:val="20"/>
          <w:lang w:val="en-US"/>
        </w:rPr>
        <w:t xml:space="preserve">DL/UL resource partition from gNB perspective and BWP configuration from </w:t>
      </w:r>
      <w:r w:rsidR="00042E3B" w:rsidRPr="00400189">
        <w:rPr>
          <w:sz w:val="20"/>
          <w:lang w:val="en-US"/>
        </w:rPr>
        <w:t xml:space="preserve">gNB and </w:t>
      </w:r>
      <w:r w:rsidRPr="00400189">
        <w:rPr>
          <w:sz w:val="20"/>
          <w:lang w:val="en-US"/>
        </w:rPr>
        <w:t>UEs perspective</w:t>
      </w:r>
    </w:p>
    <w:p w:rsidR="00483E33" w:rsidRPr="00400189" w:rsidRDefault="00483E33" w:rsidP="00483E33">
      <w:pPr>
        <w:pStyle w:val="a5"/>
        <w:spacing w:before="180" w:after="0"/>
        <w:ind w:left="0"/>
        <w:jc w:val="both"/>
        <w:rPr>
          <w:rFonts w:eastAsiaTheme="minorEastAsia"/>
          <w:lang w:eastAsia="ja-JP"/>
        </w:rPr>
      </w:pPr>
    </w:p>
    <w:p w:rsidR="00483E33" w:rsidRPr="00400189" w:rsidRDefault="00483E33" w:rsidP="00483E33">
      <w:pPr>
        <w:pStyle w:val="a5"/>
        <w:spacing w:before="180" w:after="0"/>
        <w:ind w:left="0"/>
        <w:jc w:val="both"/>
        <w:rPr>
          <w:rFonts w:eastAsiaTheme="minorEastAsia"/>
          <w:lang w:eastAsia="ja-JP"/>
        </w:rPr>
      </w:pPr>
      <w:r w:rsidRPr="00400189">
        <w:rPr>
          <w:rFonts w:eastAsiaTheme="minorEastAsia"/>
          <w:lang w:eastAsia="ja-JP"/>
        </w:rPr>
        <w:t>Both methods have tradeoffs in terms of scheduling flexibility and mitigation of inter-subband UE-to-UE CLI handling, and there is a possibility that deployment scenarios will differ depending on the degree of impact of CLI. Therefore, it is necessary to perform the study of at least both effective methods and evaluate the impact of interference considering BWP size.</w:t>
      </w:r>
    </w:p>
    <w:p w:rsidR="002D6C09" w:rsidRPr="00400189" w:rsidRDefault="002D6C09" w:rsidP="00970539">
      <w:pPr>
        <w:pStyle w:val="a5"/>
        <w:spacing w:before="180" w:after="0"/>
        <w:ind w:left="0"/>
        <w:jc w:val="both"/>
        <w:rPr>
          <w:rFonts w:eastAsiaTheme="minorEastAsia"/>
          <w:lang w:eastAsia="ja-JP"/>
        </w:rPr>
      </w:pPr>
    </w:p>
    <w:p w:rsidR="00303DDD" w:rsidRPr="00400189" w:rsidRDefault="00E548FC" w:rsidP="00303DDD">
      <w:pPr>
        <w:pStyle w:val="a5"/>
        <w:spacing w:before="180" w:after="0"/>
        <w:ind w:left="0"/>
        <w:jc w:val="both"/>
        <w:rPr>
          <w:rFonts w:eastAsiaTheme="minorEastAsia"/>
          <w:b/>
          <w:lang w:eastAsia="ja-JP"/>
        </w:rPr>
      </w:pPr>
      <w:r w:rsidRPr="0041594F">
        <w:rPr>
          <w:rFonts w:eastAsiaTheme="minorEastAsia" w:hint="eastAsia"/>
          <w:b/>
          <w:u w:val="single"/>
          <w:lang w:eastAsia="ja-JP"/>
        </w:rPr>
        <w:t>O</w:t>
      </w:r>
      <w:r w:rsidRPr="0041594F">
        <w:rPr>
          <w:rFonts w:eastAsiaTheme="minorEastAsia"/>
          <w:b/>
          <w:u w:val="single"/>
          <w:lang w:eastAsia="ja-JP"/>
        </w:rPr>
        <w:t>bservation 1</w:t>
      </w:r>
      <w:r w:rsidRPr="00400189">
        <w:rPr>
          <w:rFonts w:eastAsiaTheme="minorEastAsia"/>
          <w:b/>
          <w:lang w:eastAsia="ja-JP"/>
        </w:rPr>
        <w:t xml:space="preserve">: </w:t>
      </w:r>
      <w:r w:rsidR="00303DDD" w:rsidRPr="00400189">
        <w:rPr>
          <w:rFonts w:eastAsiaTheme="minorEastAsia"/>
          <w:b/>
          <w:lang w:eastAsia="ja-JP"/>
        </w:rPr>
        <w:t>In order for legacy UEs to benefit from SBFD operation in the serving cell under the current specification, slot format indicator (SFI) for the F slot of cell-specific TDD pattern can be used to indicate DL or UL direction. Otherwise, legacy UEs would only have performance impact b</w:t>
      </w:r>
      <w:r w:rsidR="00A83C94" w:rsidRPr="00400189">
        <w:rPr>
          <w:rFonts w:eastAsiaTheme="minorEastAsia"/>
          <w:b/>
          <w:lang w:eastAsia="ja-JP"/>
        </w:rPr>
        <w:t xml:space="preserve">y smaller DL bandwidth. </w:t>
      </w:r>
    </w:p>
    <w:p w:rsidR="00303DDD" w:rsidRPr="00400189" w:rsidRDefault="00303DDD" w:rsidP="00970539">
      <w:pPr>
        <w:pStyle w:val="a5"/>
        <w:spacing w:before="180" w:after="0"/>
        <w:ind w:left="0"/>
        <w:jc w:val="both"/>
        <w:rPr>
          <w:rFonts w:eastAsiaTheme="minorEastAsia"/>
          <w:b/>
          <w:lang w:eastAsia="ja-JP"/>
        </w:rPr>
      </w:pPr>
    </w:p>
    <w:p w:rsidR="001D5943" w:rsidRPr="00400189" w:rsidRDefault="001D5943" w:rsidP="001D5943">
      <w:pPr>
        <w:pStyle w:val="a5"/>
        <w:spacing w:before="180" w:after="0"/>
        <w:ind w:left="0"/>
        <w:jc w:val="both"/>
        <w:rPr>
          <w:rFonts w:eastAsiaTheme="minorEastAsia"/>
          <w:b/>
          <w:lang w:eastAsia="ja-JP"/>
        </w:rPr>
      </w:pPr>
      <w:r w:rsidRPr="0041594F">
        <w:rPr>
          <w:rFonts w:eastAsiaTheme="minorEastAsia" w:hint="eastAsia"/>
          <w:b/>
          <w:u w:val="single"/>
          <w:lang w:eastAsia="ja-JP"/>
        </w:rPr>
        <w:t>O</w:t>
      </w:r>
      <w:r w:rsidRPr="0041594F">
        <w:rPr>
          <w:rFonts w:eastAsiaTheme="minorEastAsia"/>
          <w:b/>
          <w:u w:val="single"/>
          <w:lang w:eastAsia="ja-JP"/>
        </w:rPr>
        <w:t>bservation 2</w:t>
      </w:r>
      <w:r w:rsidRPr="00400189">
        <w:rPr>
          <w:rFonts w:eastAsiaTheme="minorEastAsia"/>
          <w:b/>
          <w:lang w:eastAsia="ja-JP"/>
        </w:rPr>
        <w:t xml:space="preserve">: Since BWP based and RB-set based methods have different BWP size configured for UEs, there is a trade-off in terms of scheduling flexibility and mitigation of inter-subband UE-to-UE CLI handling </w:t>
      </w:r>
    </w:p>
    <w:p w:rsidR="00E548FC" w:rsidRPr="00400189" w:rsidRDefault="00E548FC" w:rsidP="00970539">
      <w:pPr>
        <w:pStyle w:val="a5"/>
        <w:spacing w:before="180" w:after="0"/>
        <w:ind w:left="0"/>
        <w:jc w:val="both"/>
        <w:rPr>
          <w:rFonts w:eastAsiaTheme="minorEastAsia"/>
          <w:lang w:eastAsia="ja-JP"/>
        </w:rPr>
      </w:pPr>
    </w:p>
    <w:p w:rsidR="00613859" w:rsidRPr="00400189" w:rsidRDefault="00613859" w:rsidP="00970539">
      <w:pPr>
        <w:pStyle w:val="a5"/>
        <w:spacing w:before="180" w:after="0"/>
        <w:ind w:left="0"/>
        <w:jc w:val="both"/>
        <w:rPr>
          <w:rFonts w:eastAsiaTheme="minorEastAsia"/>
          <w:b/>
          <w:lang w:eastAsia="ja-JP"/>
        </w:rPr>
      </w:pPr>
      <w:r w:rsidRPr="0041594F">
        <w:rPr>
          <w:rFonts w:eastAsiaTheme="minorEastAsia" w:hint="eastAsia"/>
          <w:b/>
          <w:u w:val="single"/>
          <w:lang w:eastAsia="ja-JP"/>
        </w:rPr>
        <w:t>Proposal</w:t>
      </w:r>
      <w:r w:rsidR="00E548FC" w:rsidRPr="0041594F">
        <w:rPr>
          <w:rFonts w:eastAsiaTheme="minorEastAsia"/>
          <w:b/>
          <w:u w:val="single"/>
          <w:lang w:eastAsia="ja-JP"/>
        </w:rPr>
        <w:t xml:space="preserve"> 1</w:t>
      </w:r>
      <w:r w:rsidRPr="00400189">
        <w:rPr>
          <w:rFonts w:eastAsiaTheme="minorEastAsia"/>
          <w:b/>
          <w:lang w:eastAsia="ja-JP"/>
        </w:rPr>
        <w:t>:</w:t>
      </w:r>
      <w:r w:rsidRPr="00400189">
        <w:rPr>
          <w:rFonts w:eastAsiaTheme="minorEastAsia" w:hint="eastAsia"/>
          <w:b/>
          <w:lang w:eastAsia="ja-JP"/>
        </w:rPr>
        <w:t xml:space="preserve"> S</w:t>
      </w:r>
      <w:r w:rsidRPr="00400189">
        <w:rPr>
          <w:rFonts w:eastAsiaTheme="minorEastAsia"/>
          <w:b/>
          <w:lang w:eastAsia="ja-JP"/>
        </w:rPr>
        <w:t xml:space="preserve">tudy </w:t>
      </w:r>
      <w:r w:rsidR="001D5943" w:rsidRPr="00400189">
        <w:rPr>
          <w:rFonts w:eastAsiaTheme="minorEastAsia"/>
          <w:b/>
          <w:lang w:eastAsia="ja-JP"/>
        </w:rPr>
        <w:t xml:space="preserve">at least </w:t>
      </w:r>
      <w:r w:rsidRPr="00400189">
        <w:rPr>
          <w:rFonts w:eastAsiaTheme="minorEastAsia"/>
          <w:b/>
          <w:lang w:eastAsia="ja-JP"/>
        </w:rPr>
        <w:t>BWP based and RB-set based resource allocation methods for SBFD capable UE.</w:t>
      </w:r>
    </w:p>
    <w:p w:rsidR="006B4DC0" w:rsidRPr="002D6C09" w:rsidRDefault="006B4DC0" w:rsidP="00970539">
      <w:pPr>
        <w:pStyle w:val="a5"/>
        <w:spacing w:before="180" w:after="0"/>
        <w:ind w:left="0"/>
        <w:jc w:val="both"/>
        <w:rPr>
          <w:rFonts w:eastAsiaTheme="minorEastAsia"/>
          <w:sz w:val="21"/>
          <w:lang w:eastAsia="ja-JP"/>
        </w:rPr>
      </w:pPr>
    </w:p>
    <w:p w:rsidR="00970539" w:rsidRPr="00575F7B" w:rsidRDefault="00970539" w:rsidP="00970539">
      <w:pPr>
        <w:pStyle w:val="1"/>
        <w:rPr>
          <w:b/>
        </w:rPr>
      </w:pPr>
      <w:r w:rsidRPr="00575F7B">
        <w:rPr>
          <w:b/>
        </w:rPr>
        <w:t xml:space="preserve">Conclusions </w:t>
      </w:r>
    </w:p>
    <w:p w:rsidR="00970539" w:rsidRPr="00400189" w:rsidRDefault="00970539" w:rsidP="00627B78">
      <w:pPr>
        <w:spacing w:after="120" w:line="276" w:lineRule="auto"/>
        <w:jc w:val="both"/>
        <w:rPr>
          <w:rFonts w:eastAsia="SimSun"/>
          <w:b/>
          <w:bCs/>
          <w:i/>
          <w:iCs/>
          <w:lang w:eastAsia="zh-CN"/>
        </w:rPr>
      </w:pPr>
      <w:r w:rsidRPr="00400189">
        <w:rPr>
          <w:rFonts w:eastAsia="SimSun" w:hint="eastAsia"/>
          <w:lang w:val="en-US"/>
        </w:rPr>
        <w:t xml:space="preserve">In this contribution, </w:t>
      </w:r>
      <w:r w:rsidR="00ED4DB3" w:rsidRPr="00400189">
        <w:rPr>
          <w:rFonts w:eastAsia="SimSun"/>
          <w:lang w:val="en-US"/>
        </w:rPr>
        <w:t xml:space="preserve">we make the following the observations and proposal. </w:t>
      </w:r>
    </w:p>
    <w:p w:rsidR="004D05FB" w:rsidRPr="00400189" w:rsidRDefault="004D05FB" w:rsidP="004D05FB">
      <w:pPr>
        <w:pStyle w:val="a5"/>
        <w:spacing w:before="180" w:after="0"/>
        <w:ind w:left="0"/>
        <w:jc w:val="both"/>
        <w:rPr>
          <w:rFonts w:eastAsiaTheme="minorEastAsia"/>
          <w:b/>
          <w:lang w:eastAsia="ja-JP"/>
        </w:rPr>
      </w:pPr>
      <w:r w:rsidRPr="0041594F">
        <w:rPr>
          <w:rFonts w:eastAsiaTheme="minorEastAsia" w:hint="eastAsia"/>
          <w:b/>
          <w:u w:val="single"/>
          <w:lang w:eastAsia="ja-JP"/>
        </w:rPr>
        <w:t>O</w:t>
      </w:r>
      <w:r w:rsidRPr="0041594F">
        <w:rPr>
          <w:rFonts w:eastAsiaTheme="minorEastAsia"/>
          <w:b/>
          <w:u w:val="single"/>
          <w:lang w:eastAsia="ja-JP"/>
        </w:rPr>
        <w:t>bservation 1</w:t>
      </w:r>
      <w:r w:rsidRPr="00400189">
        <w:rPr>
          <w:rFonts w:eastAsiaTheme="minorEastAsia"/>
          <w:b/>
          <w:lang w:eastAsia="ja-JP"/>
        </w:rPr>
        <w:t xml:space="preserve">: In order for legacy UEs to benefit from SBFD operation in the serving cell under the current specification, slot format indicator (SFI) for the F slot of cell-specific TDD pattern can be used to indicate DL or UL direction. Otherwise, legacy UEs would only have performance impact by smaller DL bandwidth. </w:t>
      </w:r>
    </w:p>
    <w:p w:rsidR="004D05FB" w:rsidRPr="00400189" w:rsidRDefault="004D05FB" w:rsidP="004D05FB">
      <w:pPr>
        <w:pStyle w:val="a5"/>
        <w:spacing w:before="180" w:after="0"/>
        <w:ind w:left="0"/>
        <w:jc w:val="both"/>
        <w:rPr>
          <w:rFonts w:eastAsiaTheme="minorEastAsia"/>
          <w:b/>
          <w:lang w:eastAsia="ja-JP"/>
        </w:rPr>
      </w:pPr>
    </w:p>
    <w:p w:rsidR="004D05FB" w:rsidRPr="00400189" w:rsidRDefault="004D05FB" w:rsidP="004D05FB">
      <w:pPr>
        <w:pStyle w:val="a5"/>
        <w:spacing w:before="180" w:after="0"/>
        <w:ind w:left="0"/>
        <w:jc w:val="both"/>
        <w:rPr>
          <w:rFonts w:eastAsiaTheme="minorEastAsia"/>
          <w:b/>
          <w:lang w:eastAsia="ja-JP"/>
        </w:rPr>
      </w:pPr>
      <w:r w:rsidRPr="0041594F">
        <w:rPr>
          <w:rFonts w:eastAsiaTheme="minorEastAsia" w:hint="eastAsia"/>
          <w:b/>
          <w:u w:val="single"/>
          <w:lang w:eastAsia="ja-JP"/>
        </w:rPr>
        <w:t>O</w:t>
      </w:r>
      <w:r w:rsidRPr="0041594F">
        <w:rPr>
          <w:rFonts w:eastAsiaTheme="minorEastAsia"/>
          <w:b/>
          <w:u w:val="single"/>
          <w:lang w:eastAsia="ja-JP"/>
        </w:rPr>
        <w:t>bservation 2</w:t>
      </w:r>
      <w:r w:rsidRPr="00400189">
        <w:rPr>
          <w:rFonts w:eastAsiaTheme="minorEastAsia"/>
          <w:b/>
          <w:lang w:eastAsia="ja-JP"/>
        </w:rPr>
        <w:t xml:space="preserve">: Since BWP based and RB-set based methods have different BWP size configured for UEs, there is a trade-off in terms of scheduling flexibility and mitigation of inter-subband UE-to-UE CLI handling </w:t>
      </w:r>
    </w:p>
    <w:p w:rsidR="004D05FB" w:rsidRPr="00400189" w:rsidRDefault="004D05FB" w:rsidP="004D05FB">
      <w:pPr>
        <w:pStyle w:val="a5"/>
        <w:spacing w:before="180" w:after="0"/>
        <w:ind w:left="0"/>
        <w:jc w:val="both"/>
        <w:rPr>
          <w:rFonts w:eastAsiaTheme="minorEastAsia"/>
          <w:lang w:eastAsia="ja-JP"/>
        </w:rPr>
      </w:pPr>
    </w:p>
    <w:p w:rsidR="00970539" w:rsidRPr="00400189" w:rsidRDefault="004D05FB" w:rsidP="004D05FB">
      <w:pPr>
        <w:pStyle w:val="a5"/>
        <w:spacing w:before="180" w:after="0"/>
        <w:ind w:left="0"/>
        <w:jc w:val="both"/>
        <w:rPr>
          <w:rFonts w:eastAsiaTheme="minorEastAsia"/>
          <w:b/>
          <w:lang w:eastAsia="ja-JP"/>
        </w:rPr>
      </w:pPr>
      <w:r w:rsidRPr="0041594F">
        <w:rPr>
          <w:rFonts w:eastAsiaTheme="minorEastAsia" w:hint="eastAsia"/>
          <w:b/>
          <w:u w:val="single"/>
          <w:lang w:eastAsia="ja-JP"/>
        </w:rPr>
        <w:t>Proposal</w:t>
      </w:r>
      <w:r w:rsidRPr="0041594F">
        <w:rPr>
          <w:rFonts w:eastAsiaTheme="minorEastAsia"/>
          <w:b/>
          <w:u w:val="single"/>
          <w:lang w:eastAsia="ja-JP"/>
        </w:rPr>
        <w:t xml:space="preserve"> 1</w:t>
      </w:r>
      <w:r w:rsidRPr="00400189">
        <w:rPr>
          <w:rFonts w:eastAsiaTheme="minorEastAsia"/>
          <w:b/>
          <w:lang w:eastAsia="ja-JP"/>
        </w:rPr>
        <w:t>:</w:t>
      </w:r>
      <w:r w:rsidRPr="00400189">
        <w:rPr>
          <w:rFonts w:eastAsiaTheme="minorEastAsia" w:hint="eastAsia"/>
          <w:b/>
          <w:lang w:eastAsia="ja-JP"/>
        </w:rPr>
        <w:t xml:space="preserve"> S</w:t>
      </w:r>
      <w:r w:rsidRPr="00400189">
        <w:rPr>
          <w:rFonts w:eastAsiaTheme="minorEastAsia"/>
          <w:b/>
          <w:lang w:eastAsia="ja-JP"/>
        </w:rPr>
        <w:t>tudy at least BWP based and RB-set based resource allocation methods for SBFD capable UE.</w:t>
      </w:r>
    </w:p>
    <w:p w:rsidR="004D05FB" w:rsidRPr="004D05FB" w:rsidRDefault="004D05FB" w:rsidP="004D05FB">
      <w:pPr>
        <w:pStyle w:val="a5"/>
        <w:spacing w:before="180" w:after="0"/>
        <w:ind w:left="0"/>
        <w:jc w:val="both"/>
        <w:rPr>
          <w:rFonts w:eastAsiaTheme="minorEastAsia"/>
          <w:b/>
          <w:sz w:val="21"/>
          <w:lang w:eastAsia="ja-JP"/>
        </w:rPr>
      </w:pPr>
    </w:p>
    <w:p w:rsidR="00970539" w:rsidRPr="00575F7B" w:rsidRDefault="00970539" w:rsidP="00970539">
      <w:pPr>
        <w:pStyle w:val="1"/>
        <w:rPr>
          <w:b/>
        </w:rPr>
      </w:pPr>
      <w:r w:rsidRPr="00575F7B">
        <w:rPr>
          <w:b/>
        </w:rPr>
        <w:lastRenderedPageBreak/>
        <w:t>References</w:t>
      </w:r>
    </w:p>
    <w:p w:rsidR="008B3140" w:rsidRPr="00970539" w:rsidRDefault="00970539" w:rsidP="00400189">
      <w:pPr>
        <w:pStyle w:val="a5"/>
        <w:numPr>
          <w:ilvl w:val="0"/>
          <w:numId w:val="2"/>
        </w:numPr>
        <w:spacing w:after="0"/>
      </w:pPr>
      <w:bookmarkStart w:id="4" w:name="_Ref47545028"/>
      <w:bookmarkStart w:id="5" w:name="_Ref525898979"/>
      <w:bookmarkStart w:id="6" w:name="_Ref47515866"/>
      <w:bookmarkStart w:id="7" w:name="_Ref521335405"/>
      <w:r w:rsidRPr="00CB50EF">
        <w:t>RP-2</w:t>
      </w:r>
      <w:r w:rsidR="00575F7B">
        <w:t>21352</w:t>
      </w:r>
      <w:r w:rsidRPr="00CB50EF">
        <w:t>, “</w:t>
      </w:r>
      <w:r w:rsidR="00575F7B" w:rsidRPr="00575F7B">
        <w:t>Revised SID: Study on evolution of NR duplex operation</w:t>
      </w:r>
      <w:r w:rsidRPr="00CB50EF">
        <w:t>”, CMCC, RAN#9</w:t>
      </w:r>
      <w:r w:rsidR="00575F7B">
        <w:t>6</w:t>
      </w:r>
      <w:r w:rsidRPr="00CB50EF">
        <w:t xml:space="preserve">, </w:t>
      </w:r>
      <w:r w:rsidR="00575F7B">
        <w:t xml:space="preserve">June </w:t>
      </w:r>
      <w:r w:rsidRPr="00CB50EF">
        <w:t>202</w:t>
      </w:r>
      <w:bookmarkEnd w:id="4"/>
      <w:r w:rsidR="00575F7B">
        <w:t>2</w:t>
      </w:r>
      <w:r w:rsidRPr="00CB50EF">
        <w:t>.</w:t>
      </w:r>
      <w:bookmarkEnd w:id="5"/>
      <w:bookmarkEnd w:id="6"/>
      <w:bookmarkEnd w:id="7"/>
    </w:p>
    <w:sectPr w:rsidR="008B3140" w:rsidRPr="00970539"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C08" w:rsidRDefault="00186C08" w:rsidP="00635FE6">
      <w:pPr>
        <w:spacing w:after="0"/>
      </w:pPr>
      <w:r>
        <w:separator/>
      </w:r>
    </w:p>
  </w:endnote>
  <w:endnote w:type="continuationSeparator" w:id="0">
    <w:p w:rsidR="00186C08" w:rsidRDefault="00186C08" w:rsidP="00635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C08" w:rsidRDefault="00186C08" w:rsidP="00635FE6">
      <w:pPr>
        <w:spacing w:after="0"/>
      </w:pPr>
      <w:r>
        <w:separator/>
      </w:r>
    </w:p>
  </w:footnote>
  <w:footnote w:type="continuationSeparator" w:id="0">
    <w:p w:rsidR="00186C08" w:rsidRDefault="00186C08" w:rsidP="00635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5875"/>
    <w:multiLevelType w:val="hybridMultilevel"/>
    <w:tmpl w:val="7EF87566"/>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57A204F"/>
    <w:multiLevelType w:val="hybridMultilevel"/>
    <w:tmpl w:val="89947A16"/>
    <w:lvl w:ilvl="0" w:tplc="E4DA220C">
      <w:start w:val="1"/>
      <w:numFmt w:val="decimal"/>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85C1221"/>
    <w:multiLevelType w:val="hybridMultilevel"/>
    <w:tmpl w:val="18B6646C"/>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bullet"/>
      <w:lvlText w:val=""/>
      <w:lvlJc w:val="left"/>
      <w:pPr>
        <w:ind w:left="36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F014BE8"/>
    <w:multiLevelType w:val="hybridMultilevel"/>
    <w:tmpl w:val="7074B524"/>
    <w:lvl w:ilvl="0" w:tplc="B838C170">
      <w:numFmt w:val="bullet"/>
      <w:lvlText w:val="-"/>
      <w:lvlJc w:val="left"/>
      <w:pPr>
        <w:ind w:left="1200" w:hanging="360"/>
      </w:pPr>
      <w:rPr>
        <w:rFonts w:ascii="Times New Roman" w:eastAsiaTheme="minorEastAsia"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3FF85315"/>
    <w:multiLevelType w:val="hybridMultilevel"/>
    <w:tmpl w:val="0686A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A20B2B"/>
    <w:multiLevelType w:val="hybridMultilevel"/>
    <w:tmpl w:val="45A09C6C"/>
    <w:lvl w:ilvl="0" w:tplc="B0C0380C">
      <w:start w:val="2"/>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46F03428"/>
    <w:multiLevelType w:val="hybridMultilevel"/>
    <w:tmpl w:val="570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5424F7"/>
    <w:multiLevelType w:val="hybridMultilevel"/>
    <w:tmpl w:val="A5E844B2"/>
    <w:lvl w:ilvl="0" w:tplc="7CB0F444">
      <w:start w:val="3"/>
      <w:numFmt w:val="decimal"/>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290BF9"/>
    <w:multiLevelType w:val="hybridMultilevel"/>
    <w:tmpl w:val="C94E2AF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5BDC614C"/>
    <w:multiLevelType w:val="hybridMultilevel"/>
    <w:tmpl w:val="B20CF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5D87425A"/>
    <w:multiLevelType w:val="hybridMultilevel"/>
    <w:tmpl w:val="70609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D56857"/>
    <w:multiLevelType w:val="hybridMultilevel"/>
    <w:tmpl w:val="7EF87566"/>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1B22E7"/>
    <w:multiLevelType w:val="hybridMultilevel"/>
    <w:tmpl w:val="76DA0E1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0"/>
  </w:num>
  <w:num w:numId="4">
    <w:abstractNumId w:val="18"/>
  </w:num>
  <w:num w:numId="5">
    <w:abstractNumId w:val="13"/>
  </w:num>
  <w:num w:numId="6">
    <w:abstractNumId w:val="7"/>
  </w:num>
  <w:num w:numId="7">
    <w:abstractNumId w:val="15"/>
  </w:num>
  <w:num w:numId="8">
    <w:abstractNumId w:val="10"/>
  </w:num>
  <w:num w:numId="9">
    <w:abstractNumId w:val="12"/>
  </w:num>
  <w:num w:numId="10">
    <w:abstractNumId w:val="17"/>
  </w:num>
  <w:num w:numId="11">
    <w:abstractNumId w:val="1"/>
  </w:num>
  <w:num w:numId="12">
    <w:abstractNumId w:val="16"/>
  </w:num>
  <w:num w:numId="13">
    <w:abstractNumId w:val="4"/>
  </w:num>
  <w:num w:numId="14">
    <w:abstractNumId w:val="11"/>
  </w:num>
  <w:num w:numId="15">
    <w:abstractNumId w:val="8"/>
  </w:num>
  <w:num w:numId="16">
    <w:abstractNumId w:val="6"/>
  </w:num>
  <w:num w:numId="17">
    <w:abstractNumId w:val="3"/>
  </w:num>
  <w:num w:numId="18">
    <w:abstractNumId w:val="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539"/>
    <w:rsid w:val="00012461"/>
    <w:rsid w:val="00042E3B"/>
    <w:rsid w:val="0009529D"/>
    <w:rsid w:val="000A0177"/>
    <w:rsid w:val="000A083B"/>
    <w:rsid w:val="000B67D8"/>
    <w:rsid w:val="000C024E"/>
    <w:rsid w:val="000C60F3"/>
    <w:rsid w:val="0014003B"/>
    <w:rsid w:val="00186C08"/>
    <w:rsid w:val="00194098"/>
    <w:rsid w:val="00197480"/>
    <w:rsid w:val="001D5943"/>
    <w:rsid w:val="001F32BB"/>
    <w:rsid w:val="001F6413"/>
    <w:rsid w:val="002038C8"/>
    <w:rsid w:val="00207A4D"/>
    <w:rsid w:val="00243451"/>
    <w:rsid w:val="0026259B"/>
    <w:rsid w:val="00272655"/>
    <w:rsid w:val="002B78DE"/>
    <w:rsid w:val="002C703C"/>
    <w:rsid w:val="002D6C09"/>
    <w:rsid w:val="00303DDD"/>
    <w:rsid w:val="00307ED3"/>
    <w:rsid w:val="00324327"/>
    <w:rsid w:val="0032600F"/>
    <w:rsid w:val="00327CAA"/>
    <w:rsid w:val="00332DB0"/>
    <w:rsid w:val="00362623"/>
    <w:rsid w:val="00384117"/>
    <w:rsid w:val="003C1377"/>
    <w:rsid w:val="003F0338"/>
    <w:rsid w:val="00400189"/>
    <w:rsid w:val="00401EE4"/>
    <w:rsid w:val="0041594F"/>
    <w:rsid w:val="00454872"/>
    <w:rsid w:val="0047531E"/>
    <w:rsid w:val="00483E33"/>
    <w:rsid w:val="004D05FB"/>
    <w:rsid w:val="004F13D1"/>
    <w:rsid w:val="00532B5D"/>
    <w:rsid w:val="00575F7B"/>
    <w:rsid w:val="005B15E1"/>
    <w:rsid w:val="00613859"/>
    <w:rsid w:val="00627B78"/>
    <w:rsid w:val="00635FE6"/>
    <w:rsid w:val="0064678F"/>
    <w:rsid w:val="0065066E"/>
    <w:rsid w:val="00683489"/>
    <w:rsid w:val="0069513C"/>
    <w:rsid w:val="006B4DC0"/>
    <w:rsid w:val="006D4D32"/>
    <w:rsid w:val="007144F4"/>
    <w:rsid w:val="0071541C"/>
    <w:rsid w:val="00715F95"/>
    <w:rsid w:val="00744831"/>
    <w:rsid w:val="00766263"/>
    <w:rsid w:val="00771B1D"/>
    <w:rsid w:val="00775BFB"/>
    <w:rsid w:val="007A2633"/>
    <w:rsid w:val="007E6986"/>
    <w:rsid w:val="00806D81"/>
    <w:rsid w:val="00824EA9"/>
    <w:rsid w:val="0083759E"/>
    <w:rsid w:val="00871490"/>
    <w:rsid w:val="0088404F"/>
    <w:rsid w:val="008930E7"/>
    <w:rsid w:val="008B3140"/>
    <w:rsid w:val="008B48AE"/>
    <w:rsid w:val="008D33AE"/>
    <w:rsid w:val="00924267"/>
    <w:rsid w:val="00940472"/>
    <w:rsid w:val="00942713"/>
    <w:rsid w:val="00950908"/>
    <w:rsid w:val="00970539"/>
    <w:rsid w:val="00971B94"/>
    <w:rsid w:val="0098043D"/>
    <w:rsid w:val="009806D6"/>
    <w:rsid w:val="00983500"/>
    <w:rsid w:val="009D7595"/>
    <w:rsid w:val="009F2054"/>
    <w:rsid w:val="00A019C5"/>
    <w:rsid w:val="00A057A6"/>
    <w:rsid w:val="00A41238"/>
    <w:rsid w:val="00A52361"/>
    <w:rsid w:val="00A83C94"/>
    <w:rsid w:val="00AA0586"/>
    <w:rsid w:val="00AB2105"/>
    <w:rsid w:val="00AC7AC8"/>
    <w:rsid w:val="00AD388E"/>
    <w:rsid w:val="00B12B52"/>
    <w:rsid w:val="00B72EA6"/>
    <w:rsid w:val="00B94538"/>
    <w:rsid w:val="00BD25DE"/>
    <w:rsid w:val="00C33CE2"/>
    <w:rsid w:val="00C406FD"/>
    <w:rsid w:val="00C5494B"/>
    <w:rsid w:val="00C73A52"/>
    <w:rsid w:val="00CA64EC"/>
    <w:rsid w:val="00CB687F"/>
    <w:rsid w:val="00CC0F71"/>
    <w:rsid w:val="00CC4118"/>
    <w:rsid w:val="00D266A0"/>
    <w:rsid w:val="00D34D18"/>
    <w:rsid w:val="00D74BFC"/>
    <w:rsid w:val="00D83706"/>
    <w:rsid w:val="00D94E2A"/>
    <w:rsid w:val="00E548FC"/>
    <w:rsid w:val="00E905ED"/>
    <w:rsid w:val="00E95995"/>
    <w:rsid w:val="00ED4DB3"/>
    <w:rsid w:val="00F3042A"/>
    <w:rsid w:val="00F572D8"/>
    <w:rsid w:val="00F7094B"/>
    <w:rsid w:val="00FA5FA6"/>
    <w:rsid w:val="00FE7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C4810A"/>
  <w15:chartTrackingRefBased/>
  <w15:docId w15:val="{4EC98D6D-FE07-416C-A256-56EB79CB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539"/>
    <w:pPr>
      <w:spacing w:after="180"/>
    </w:pPr>
    <w:rPr>
      <w:rFonts w:ascii="Times New Roman" w:eastAsia="PMingLiU" w:hAnsi="Times New Roman" w:cs="Times New Roman"/>
      <w:kern w:val="0"/>
      <w:sz w:val="20"/>
      <w:szCs w:val="20"/>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link w:val="10"/>
    <w:qFormat/>
    <w:rsid w:val="00970539"/>
    <w:pPr>
      <w:keepNext/>
      <w:keepLines/>
      <w:numPr>
        <w:numId w:val="1"/>
      </w:numPr>
      <w:pBdr>
        <w:top w:val="single" w:sz="12" w:space="3" w:color="auto"/>
      </w:pBdr>
      <w:spacing w:before="240" w:after="180"/>
      <w:outlineLvl w:val="0"/>
    </w:pPr>
    <w:rPr>
      <w:rFonts w:ascii="Arial" w:eastAsia="PMingLiU" w:hAnsi="Arial" w:cs="Times New Roman"/>
      <w:kern w:val="0"/>
      <w:sz w:val="36"/>
      <w:szCs w:val="20"/>
      <w:lang w:val="en-GB" w:eastAsia="zh-TW"/>
    </w:rPr>
  </w:style>
  <w:style w:type="paragraph" w:styleId="2">
    <w:name w:val="heading 2"/>
    <w:basedOn w:val="1"/>
    <w:next w:val="a"/>
    <w:link w:val="20"/>
    <w:qFormat/>
    <w:rsid w:val="00970539"/>
    <w:pPr>
      <w:numPr>
        <w:ilvl w:val="1"/>
      </w:numPr>
      <w:pBdr>
        <w:top w:val="none" w:sz="0" w:space="0" w:color="auto"/>
      </w:pBdr>
      <w:spacing w:before="180"/>
      <w:outlineLvl w:val="1"/>
    </w:pPr>
    <w:rPr>
      <w:sz w:val="32"/>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9705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970539"/>
    <w:pPr>
      <w:numPr>
        <w:ilvl w:val="3"/>
      </w:numPr>
      <w:outlineLvl w:val="3"/>
    </w:pPr>
    <w:rPr>
      <w:sz w:val="24"/>
    </w:rPr>
  </w:style>
  <w:style w:type="paragraph" w:styleId="5">
    <w:name w:val="heading 5"/>
    <w:basedOn w:val="4"/>
    <w:next w:val="a"/>
    <w:link w:val="50"/>
    <w:qFormat/>
    <w:rsid w:val="00970539"/>
    <w:pPr>
      <w:numPr>
        <w:ilvl w:val="4"/>
      </w:numPr>
      <w:outlineLvl w:val="4"/>
    </w:pPr>
    <w:rPr>
      <w:sz w:val="22"/>
    </w:rPr>
  </w:style>
  <w:style w:type="paragraph" w:styleId="6">
    <w:name w:val="heading 6"/>
    <w:basedOn w:val="a"/>
    <w:next w:val="a"/>
    <w:link w:val="60"/>
    <w:qFormat/>
    <w:rsid w:val="00970539"/>
    <w:pPr>
      <w:keepNext/>
      <w:keepLines/>
      <w:numPr>
        <w:ilvl w:val="5"/>
        <w:numId w:val="1"/>
      </w:numPr>
      <w:spacing w:before="120"/>
      <w:outlineLvl w:val="5"/>
    </w:pPr>
    <w:rPr>
      <w:rFonts w:ascii="Arial" w:hAnsi="Arial"/>
    </w:rPr>
  </w:style>
  <w:style w:type="paragraph" w:styleId="7">
    <w:name w:val="heading 7"/>
    <w:basedOn w:val="a"/>
    <w:next w:val="a"/>
    <w:link w:val="70"/>
    <w:qFormat/>
    <w:rsid w:val="00970539"/>
    <w:pPr>
      <w:keepNext/>
      <w:keepLines/>
      <w:numPr>
        <w:ilvl w:val="6"/>
        <w:numId w:val="1"/>
      </w:numPr>
      <w:spacing w:before="120"/>
      <w:outlineLvl w:val="6"/>
    </w:pPr>
    <w:rPr>
      <w:rFonts w:ascii="Arial" w:hAnsi="Arial"/>
    </w:rPr>
  </w:style>
  <w:style w:type="paragraph" w:styleId="8">
    <w:name w:val="heading 8"/>
    <w:basedOn w:val="1"/>
    <w:next w:val="a"/>
    <w:link w:val="80"/>
    <w:qFormat/>
    <w:rsid w:val="00970539"/>
    <w:pPr>
      <w:numPr>
        <w:ilvl w:val="7"/>
      </w:numPr>
      <w:outlineLvl w:val="7"/>
    </w:pPr>
  </w:style>
  <w:style w:type="paragraph" w:styleId="9">
    <w:name w:val="heading 9"/>
    <w:basedOn w:val="8"/>
    <w:next w:val="a"/>
    <w:link w:val="90"/>
    <w:qFormat/>
    <w:rsid w:val="009705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970539"/>
    <w:rPr>
      <w:rFonts w:ascii="Arial" w:eastAsia="PMingLiU" w:hAnsi="Arial" w:cs="Times New Roman"/>
      <w:kern w:val="0"/>
      <w:sz w:val="36"/>
      <w:szCs w:val="20"/>
      <w:lang w:val="en-GB" w:eastAsia="zh-TW"/>
    </w:rPr>
  </w:style>
  <w:style w:type="character" w:customStyle="1" w:styleId="20">
    <w:name w:val="見出し 2 (文字)"/>
    <w:basedOn w:val="a0"/>
    <w:link w:val="2"/>
    <w:rsid w:val="00970539"/>
    <w:rPr>
      <w:rFonts w:ascii="Arial" w:eastAsia="PMingLiU" w:hAnsi="Arial" w:cs="Times New Roman"/>
      <w:kern w:val="0"/>
      <w:sz w:val="32"/>
      <w:szCs w:val="2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970539"/>
    <w:rPr>
      <w:rFonts w:ascii="Arial" w:eastAsia="PMingLiU"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970539"/>
    <w:rPr>
      <w:rFonts w:ascii="Arial" w:eastAsia="PMingLiU" w:hAnsi="Arial" w:cs="Times New Roman"/>
      <w:kern w:val="0"/>
      <w:sz w:val="24"/>
      <w:szCs w:val="20"/>
      <w:lang w:val="en-GB" w:eastAsia="en-US"/>
    </w:rPr>
  </w:style>
  <w:style w:type="character" w:customStyle="1" w:styleId="50">
    <w:name w:val="見出し 5 (文字)"/>
    <w:basedOn w:val="a0"/>
    <w:link w:val="5"/>
    <w:rsid w:val="00970539"/>
    <w:rPr>
      <w:rFonts w:ascii="Arial" w:eastAsia="PMingLiU" w:hAnsi="Arial" w:cs="Times New Roman"/>
      <w:kern w:val="0"/>
      <w:sz w:val="22"/>
      <w:szCs w:val="20"/>
      <w:lang w:val="en-GB" w:eastAsia="en-US"/>
    </w:rPr>
  </w:style>
  <w:style w:type="character" w:customStyle="1" w:styleId="60">
    <w:name w:val="見出し 6 (文字)"/>
    <w:basedOn w:val="a0"/>
    <w:link w:val="6"/>
    <w:rsid w:val="00970539"/>
    <w:rPr>
      <w:rFonts w:ascii="Arial" w:eastAsia="PMingLiU" w:hAnsi="Arial" w:cs="Times New Roman"/>
      <w:kern w:val="0"/>
      <w:sz w:val="20"/>
      <w:szCs w:val="20"/>
      <w:lang w:val="en-GB" w:eastAsia="en-US"/>
    </w:rPr>
  </w:style>
  <w:style w:type="character" w:customStyle="1" w:styleId="70">
    <w:name w:val="見出し 7 (文字)"/>
    <w:basedOn w:val="a0"/>
    <w:link w:val="7"/>
    <w:rsid w:val="00970539"/>
    <w:rPr>
      <w:rFonts w:ascii="Arial" w:eastAsia="PMingLiU" w:hAnsi="Arial" w:cs="Times New Roman"/>
      <w:kern w:val="0"/>
      <w:sz w:val="20"/>
      <w:szCs w:val="20"/>
      <w:lang w:val="en-GB" w:eastAsia="en-US"/>
    </w:rPr>
  </w:style>
  <w:style w:type="character" w:customStyle="1" w:styleId="80">
    <w:name w:val="見出し 8 (文字)"/>
    <w:basedOn w:val="a0"/>
    <w:link w:val="8"/>
    <w:rsid w:val="00970539"/>
    <w:rPr>
      <w:rFonts w:ascii="Arial" w:eastAsia="PMingLiU" w:hAnsi="Arial" w:cs="Times New Roman"/>
      <w:kern w:val="0"/>
      <w:sz w:val="36"/>
      <w:szCs w:val="20"/>
      <w:lang w:val="en-GB" w:eastAsia="zh-TW"/>
    </w:rPr>
  </w:style>
  <w:style w:type="character" w:customStyle="1" w:styleId="90">
    <w:name w:val="見出し 9 (文字)"/>
    <w:basedOn w:val="a0"/>
    <w:link w:val="9"/>
    <w:rsid w:val="00970539"/>
    <w:rPr>
      <w:rFonts w:ascii="Arial" w:eastAsia="PMingLiU" w:hAnsi="Arial" w:cs="Times New Roman"/>
      <w:kern w:val="0"/>
      <w:sz w:val="36"/>
      <w:szCs w:val="20"/>
      <w:lang w:val="en-GB" w:eastAsia="zh-TW"/>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70539"/>
    <w:pPr>
      <w:widowControl w:val="0"/>
    </w:pPr>
    <w:rPr>
      <w:rFonts w:ascii="Arial" w:eastAsia="PMingLiU" w:hAnsi="Arial" w:cs="Times New Roman"/>
      <w:b/>
      <w:noProof/>
      <w:kern w:val="0"/>
      <w:sz w:val="18"/>
      <w:szCs w:val="20"/>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rsid w:val="00970539"/>
    <w:rPr>
      <w:rFonts w:ascii="Arial" w:eastAsia="PMingLiU" w:hAnsi="Arial" w:cs="Times New Roman"/>
      <w:b/>
      <w:noProof/>
      <w:kern w:val="0"/>
      <w:sz w:val="18"/>
      <w:szCs w:val="20"/>
      <w:lang w:val="en-GB" w:eastAsia="en-US"/>
    </w:rPr>
  </w:style>
  <w:style w:type="paragraph" w:styleId="a5">
    <w:name w:val="List Paragraph"/>
    <w:aliases w:val="- Bullets,?? ??,?????,????,Lista1,列出段落1,中等深浅网格 1 - 着色 21,列表段落,¥¡¡¡¡ì¬º¥¹¥È¶ÎÂä,ÁÐ³ö¶ÎÂä,列表段落1,—ño’i—Ž,¥ê¥¹¥È¶ÎÂä,목록 단락,列出段落,1st level - Bullet List Paragraph,Lettre d'introduction,Paragrafo elenco,Normal bullet 2,Bullet list,列表段落11"/>
    <w:basedOn w:val="a"/>
    <w:link w:val="a6"/>
    <w:uiPriority w:val="34"/>
    <w:qFormat/>
    <w:rsid w:val="00970539"/>
    <w:pPr>
      <w:ind w:left="720"/>
    </w:p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목록 단락 (文字),列出段落 (文字),1st level - Bullet List Paragraph (文字)"/>
    <w:link w:val="a5"/>
    <w:uiPriority w:val="34"/>
    <w:qFormat/>
    <w:locked/>
    <w:rsid w:val="00970539"/>
    <w:rPr>
      <w:rFonts w:ascii="Times New Roman" w:eastAsia="PMingLiU" w:hAnsi="Times New Roman" w:cs="Times New Roman"/>
      <w:kern w:val="0"/>
      <w:sz w:val="20"/>
      <w:szCs w:val="20"/>
      <w:lang w:val="en-GB" w:eastAsia="en-US"/>
    </w:rPr>
  </w:style>
  <w:style w:type="table" w:styleId="a7">
    <w:name w:val="Table Grid"/>
    <w:basedOn w:val="a1"/>
    <w:rsid w:val="00970539"/>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635FE6"/>
    <w:pPr>
      <w:tabs>
        <w:tab w:val="center" w:pos="4252"/>
        <w:tab w:val="right" w:pos="8504"/>
      </w:tabs>
      <w:snapToGrid w:val="0"/>
    </w:pPr>
  </w:style>
  <w:style w:type="character" w:customStyle="1" w:styleId="a9">
    <w:name w:val="フッター (文字)"/>
    <w:basedOn w:val="a0"/>
    <w:link w:val="a8"/>
    <w:uiPriority w:val="99"/>
    <w:rsid w:val="00635FE6"/>
    <w:rPr>
      <w:rFonts w:ascii="Times New Roman" w:eastAsia="PMingLiU" w:hAnsi="Times New Roman" w:cs="Times New Roman"/>
      <w:kern w:val="0"/>
      <w:sz w:val="20"/>
      <w:szCs w:val="20"/>
      <w:lang w:val="en-GB" w:eastAsia="en-US"/>
    </w:rPr>
  </w:style>
  <w:style w:type="paragraph" w:styleId="aa">
    <w:name w:val="caption"/>
    <w:basedOn w:val="a"/>
    <w:next w:val="a"/>
    <w:uiPriority w:val="35"/>
    <w:unhideWhenUsed/>
    <w:qFormat/>
    <w:rsid w:val="00272655"/>
    <w:rPr>
      <w:b/>
      <w:bCs/>
      <w:sz w:val="21"/>
      <w:szCs w:val="21"/>
    </w:rPr>
  </w:style>
  <w:style w:type="paragraph" w:styleId="Web">
    <w:name w:val="Normal (Web)"/>
    <w:basedOn w:val="a"/>
    <w:uiPriority w:val="99"/>
    <w:semiHidden/>
    <w:unhideWhenUsed/>
    <w:rsid w:val="0027265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9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ECF04-5891-4938-9A65-EC500D740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1246</Words>
  <Characters>7104</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KDDI</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梅原 雅人</dc:creator>
  <cp:keywords/>
  <dc:description/>
  <cp:lastModifiedBy>梅原 雅人</cp:lastModifiedBy>
  <cp:revision>3</cp:revision>
  <dcterms:created xsi:type="dcterms:W3CDTF">2022-08-12T04:02:00Z</dcterms:created>
  <dcterms:modified xsi:type="dcterms:W3CDTF">2022-08-12T08:41:00Z</dcterms:modified>
</cp:coreProperties>
</file>