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0"/>
        <w:jc w:val="left"/>
        <w:rPr>
          <w:rFonts w:ascii="Arial" w:hAnsi="Arial" w:cs="Arial" w:eastAsiaTheme="minorEastAsia"/>
          <w:b/>
          <w:bCs/>
          <w:sz w:val="22"/>
          <w:szCs w:val="22"/>
        </w:rPr>
      </w:pPr>
      <w:r>
        <w:rPr>
          <w:rFonts w:ascii="Arial" w:hAnsi="Arial" w:eastAsia="Times New Roman" w:cs="Arial"/>
          <w:b/>
          <w:bCs/>
          <w:sz w:val="22"/>
          <w:szCs w:val="22"/>
        </w:rPr>
        <w:t>3GPP TSG RAN WG1 #110</w:t>
      </w:r>
      <w:r>
        <w:rPr>
          <w:rFonts w:ascii="Arial" w:hAnsi="Arial" w:eastAsia="MS Mincho" w:cs="Arial"/>
          <w:b/>
          <w:bCs/>
          <w:sz w:val="22"/>
          <w:szCs w:val="22"/>
        </w:rPr>
        <w:tab/>
      </w:r>
      <w:r>
        <w:rPr>
          <w:rFonts w:ascii="Arial" w:hAnsi="Arial" w:eastAsia="MS Mincho" w:cs="Arial"/>
          <w:b/>
          <w:bCs/>
          <w:sz w:val="22"/>
          <w:szCs w:val="22"/>
        </w:rPr>
        <w:t xml:space="preserve">                                                 </w:t>
      </w:r>
      <w:r>
        <w:rPr>
          <w:rFonts w:ascii="Arial" w:hAnsi="Arial" w:eastAsia="Times New Roman" w:cs="Arial"/>
          <w:b/>
          <w:bCs/>
          <w:sz w:val="22"/>
          <w:szCs w:val="22"/>
        </w:rPr>
        <w:t xml:space="preserve">R1-2206418 </w:t>
      </w:r>
    </w:p>
    <w:p>
      <w:pPr>
        <w:spacing w:beforeLines="0" w:after="0"/>
        <w:jc w:val="left"/>
        <w:rPr>
          <w:rFonts w:ascii="Arial" w:hAnsi="Arial" w:eastAsia="Times New Roman" w:cs="Arial"/>
          <w:b/>
          <w:bCs/>
          <w:sz w:val="22"/>
          <w:szCs w:val="22"/>
        </w:rPr>
      </w:pPr>
      <w:r>
        <w:rPr>
          <w:rFonts w:ascii="Arial" w:hAnsi="Arial" w:eastAsia="MS Mincho" w:cs="Arial"/>
          <w:b/>
          <w:bCs/>
          <w:sz w:val="22"/>
          <w:szCs w:val="22"/>
        </w:rPr>
        <w:t xml:space="preserve">                                </w:t>
      </w:r>
    </w:p>
    <w:p>
      <w:pPr>
        <w:spacing w:before="163"/>
        <w:rPr>
          <w:rFonts w:ascii="Arial" w:hAnsi="Arial" w:eastAsia="Times New Roman" w:cs="Arial"/>
          <w:b/>
          <w:bCs/>
          <w:sz w:val="21"/>
          <w:szCs w:val="21"/>
        </w:rPr>
      </w:pPr>
      <w:r>
        <w:rPr>
          <w:rFonts w:ascii="Arial" w:hAnsi="Arial" w:eastAsia="MS Mincho" w:cs="Arial"/>
          <w:b/>
          <w:bCs/>
          <w:sz w:val="22"/>
          <w:szCs w:val="22"/>
        </w:rPr>
        <w:t>e-Meeting, August 22</w:t>
      </w:r>
      <w:r>
        <w:rPr>
          <w:rFonts w:ascii="Arial" w:hAnsi="Arial" w:eastAsia="MS Mincho" w:cs="Arial"/>
          <w:b/>
          <w:bCs/>
          <w:sz w:val="22"/>
          <w:szCs w:val="22"/>
          <w:vertAlign w:val="superscript"/>
        </w:rPr>
        <w:t>nd</w:t>
      </w:r>
      <w:r>
        <w:rPr>
          <w:rFonts w:ascii="Arial" w:hAnsi="Arial" w:eastAsia="MS Mincho" w:cs="Arial"/>
          <w:b/>
          <w:bCs/>
          <w:sz w:val="22"/>
          <w:szCs w:val="22"/>
        </w:rPr>
        <w:t xml:space="preserve"> – 26</w:t>
      </w:r>
      <w:r>
        <w:rPr>
          <w:rFonts w:ascii="Arial" w:hAnsi="Arial" w:eastAsia="MS Mincho" w:cs="Arial"/>
          <w:b/>
          <w:bCs/>
          <w:sz w:val="22"/>
          <w:szCs w:val="22"/>
          <w:vertAlign w:val="superscript"/>
        </w:rPr>
        <w:t>th</w:t>
      </w:r>
      <w:r>
        <w:rPr>
          <w:rFonts w:ascii="Arial" w:hAnsi="Arial" w:eastAsia="MS Mincho" w:cs="Arial"/>
          <w:b/>
          <w:bCs/>
          <w:sz w:val="22"/>
          <w:szCs w:val="22"/>
        </w:rPr>
        <w:t>, 2022</w:t>
      </w:r>
    </w:p>
    <w:p>
      <w:pPr>
        <w:pStyle w:val="4"/>
        <w:spacing w:before="163"/>
        <w:rPr>
          <w:rFonts w:eastAsia="宋体" w:cs="Arial"/>
        </w:rPr>
      </w:pPr>
      <w:r>
        <w:rPr>
          <w:rFonts w:eastAsia="宋体" w:cs="Arial"/>
        </w:rPr>
        <w:t xml:space="preserve"> </w:t>
      </w:r>
    </w:p>
    <w:p>
      <w:pPr>
        <w:pStyle w:val="4"/>
        <w:spacing w:before="163"/>
        <w:ind w:left="1800" w:hanging="1800"/>
        <w:rPr>
          <w:rFonts w:eastAsia="宋体" w:cs="Arial"/>
          <w:sz w:val="22"/>
          <w:szCs w:val="22"/>
        </w:rPr>
      </w:pPr>
      <w:r>
        <w:rPr>
          <w:rFonts w:cs="Arial"/>
          <w:sz w:val="22"/>
          <w:szCs w:val="22"/>
        </w:rPr>
        <w:t xml:space="preserve">Source:        </w:t>
      </w:r>
      <w:r>
        <w:rPr>
          <w:rFonts w:hint="eastAsia" w:eastAsia="宋体" w:cs="Arial"/>
          <w:sz w:val="22"/>
          <w:szCs w:val="22"/>
        </w:rPr>
        <w:t>BUPT</w:t>
      </w:r>
    </w:p>
    <w:p>
      <w:pPr>
        <w:pStyle w:val="4"/>
        <w:spacing w:before="163"/>
        <w:ind w:left="1800" w:hanging="1800"/>
        <w:rPr>
          <w:rFonts w:eastAsia="宋体" w:cs="Arial"/>
          <w:sz w:val="22"/>
          <w:szCs w:val="22"/>
        </w:rPr>
      </w:pPr>
      <w:r>
        <w:rPr>
          <w:rFonts w:cs="Arial"/>
          <w:sz w:val="22"/>
          <w:szCs w:val="22"/>
        </w:rPr>
        <w:t xml:space="preserve">Title:         </w:t>
      </w:r>
      <w:r>
        <w:t>Discussion on UL time and frequency synchronization enhancement for NTN</w:t>
      </w:r>
    </w:p>
    <w:p>
      <w:pPr>
        <w:pStyle w:val="4"/>
        <w:spacing w:before="163"/>
        <w:rPr>
          <w:rFonts w:eastAsia="宋体" w:cs="Arial"/>
          <w:sz w:val="22"/>
          <w:szCs w:val="22"/>
        </w:rPr>
      </w:pPr>
      <w:r>
        <w:rPr>
          <w:rFonts w:cs="Arial"/>
          <w:sz w:val="22"/>
          <w:szCs w:val="22"/>
        </w:rPr>
        <w:t>Agenda Item:</w:t>
      </w:r>
      <w:r>
        <w:rPr>
          <w:rFonts w:cs="Arial"/>
          <w:sz w:val="22"/>
          <w:szCs w:val="22"/>
        </w:rPr>
        <w:tab/>
      </w:r>
      <w:r>
        <w:rPr>
          <w:rFonts w:cs="Arial"/>
          <w:sz w:val="22"/>
          <w:szCs w:val="22"/>
        </w:rPr>
        <w:t>9.12</w:t>
      </w:r>
    </w:p>
    <w:p>
      <w:pPr>
        <w:pStyle w:val="4"/>
        <w:spacing w:before="163"/>
        <w:rPr>
          <w:rFonts w:eastAsia="宋体" w:cs="Arial"/>
          <w:sz w:val="28"/>
          <w:szCs w:val="28"/>
        </w:rPr>
      </w:pPr>
      <w:r>
        <w:rPr>
          <w:rFonts w:cs="Arial"/>
          <w:sz w:val="22"/>
          <w:szCs w:val="22"/>
        </w:rPr>
        <w:t>Document for:</w:t>
      </w:r>
      <w:r>
        <w:rPr>
          <w:rFonts w:cs="Arial"/>
          <w:sz w:val="22"/>
          <w:szCs w:val="22"/>
        </w:rPr>
        <w:tab/>
      </w:r>
      <w:r>
        <w:rPr>
          <w:rFonts w:cs="Arial"/>
          <w:sz w:val="22"/>
          <w:szCs w:val="22"/>
        </w:rPr>
        <w:t>Discussion</w:t>
      </w:r>
      <w:r>
        <w:rPr>
          <w:rFonts w:eastAsia="宋体" w:cs="Arial"/>
          <w:sz w:val="22"/>
          <w:szCs w:val="22"/>
        </w:rPr>
        <w:t xml:space="preserve"> and Decision</w:t>
      </w:r>
    </w:p>
    <w:p>
      <w:pPr>
        <w:pStyle w:val="2"/>
        <w:keepLines/>
        <w:widowControl w:val="0"/>
        <w:numPr>
          <w:ilvl w:val="0"/>
          <w:numId w:val="1"/>
        </w:numPr>
        <w:pBdr>
          <w:top w:val="single" w:color="auto" w:sz="12" w:space="3"/>
        </w:pBdr>
        <w:overflowPunct w:val="0"/>
        <w:autoSpaceDE w:val="0"/>
        <w:autoSpaceDN w:val="0"/>
        <w:adjustRightInd w:val="0"/>
        <w:spacing w:before="163" w:after="180"/>
        <w:textAlignment w:val="baseline"/>
        <w:rPr>
          <w:rFonts w:ascii="Arial" w:hAnsi="Arial" w:eastAsia="宋体"/>
          <w:b w:val="0"/>
          <w:bCs w:val="0"/>
          <w:kern w:val="0"/>
          <w:sz w:val="36"/>
          <w:szCs w:val="36"/>
        </w:rPr>
      </w:pPr>
      <w:r>
        <w:rPr>
          <w:rFonts w:hint="eastAsia" w:ascii="Arial" w:hAnsi="Arial" w:eastAsia="宋体"/>
          <w:b w:val="0"/>
          <w:bCs w:val="0"/>
          <w:kern w:val="0"/>
          <w:sz w:val="36"/>
          <w:szCs w:val="36"/>
        </w:rPr>
        <w:t>Introduction</w:t>
      </w:r>
    </w:p>
    <w:p>
      <w:pPr>
        <w:spacing w:beforeLines="0" w:after="0"/>
        <w:rPr>
          <w:sz w:val="20"/>
          <w:szCs w:val="20"/>
        </w:rPr>
      </w:pPr>
      <w:r>
        <w:rPr>
          <w:sz w:val="20"/>
          <w:szCs w:val="20"/>
        </w:rPr>
        <w:t>The Timing Advance applied by an NR NTN UE in RRC_IDLE/INACTIVE and RRC_CONNECTED was agreed in RAN1#104bis-e [2]:</w:t>
      </w:r>
    </w:p>
    <w:p>
      <w:pPr>
        <w:spacing w:beforeLines="0" w:after="0"/>
        <w:ind w:left="1080"/>
        <w:rPr>
          <w:b/>
          <w:bCs/>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T</m:t>
              </m:r>
              <m:ctrlPr>
                <w:rPr>
                  <w:rFonts w:ascii="Cambria Math" w:hAnsi="Cambria Math"/>
                  <w:b/>
                  <w:bCs/>
                  <w:i/>
                  <w:sz w:val="20"/>
                  <w:szCs w:val="20"/>
                </w:rPr>
              </m:ctrlPr>
            </m:e>
            <m:sub>
              <m:r>
                <m:rPr>
                  <m:sty m:val="bi"/>
                </m:rPr>
                <w:rPr>
                  <w:rFonts w:ascii="Cambria Math" w:hAnsi="Cambria Math"/>
                  <w:sz w:val="20"/>
                  <w:szCs w:val="20"/>
                </w:rPr>
                <m:t>TA</m:t>
              </m:r>
              <m:ctrlPr>
                <w:rPr>
                  <w:rFonts w:ascii="Cambria Math" w:hAnsi="Cambria Math"/>
                  <w:b/>
                  <w:bCs/>
                  <w:i/>
                  <w:sz w:val="20"/>
                  <w:szCs w:val="20"/>
                </w:rPr>
              </m:ctrlPr>
            </m:sub>
          </m:sSub>
          <m:r>
            <m:rPr>
              <m:sty m:val="bi"/>
            </m:rPr>
            <w:rPr>
              <w:rFonts w:ascii="Cambria Math" w:hAnsi="Cambria Math"/>
              <w:sz w:val="20"/>
              <w:szCs w:val="20"/>
            </w:rPr>
            <m:t>=</m:t>
          </m:r>
          <m:d>
            <m:dPr>
              <m:ctrlPr>
                <w:rPr>
                  <w:rFonts w:ascii="Cambria Math" w:hAnsi="Cambria Math"/>
                  <w:b/>
                  <w:bCs/>
                  <w:i/>
                  <w:sz w:val="20"/>
                  <w:szCs w:val="20"/>
                </w:rPr>
              </m:ctrlPr>
            </m:dPr>
            <m:e>
              <m:sSub>
                <m:sSubPr>
                  <m:ctrlPr>
                    <w:rPr>
                      <w:rFonts w:ascii="Cambria Math" w:hAnsi="Cambria Math"/>
                      <w:b/>
                      <w:bCs/>
                      <w:i/>
                      <w:sz w:val="20"/>
                      <w:szCs w:val="20"/>
                    </w:rPr>
                  </m:ctrlPr>
                </m:sSubPr>
                <m:e>
                  <m:r>
                    <m:rPr>
                      <m:sty m:val="bi"/>
                    </m:rPr>
                    <w:rPr>
                      <w:rFonts w:ascii="Cambria Math" w:hAnsi="Cambria Math"/>
                      <w:sz w:val="20"/>
                      <w:szCs w:val="20"/>
                    </w:rPr>
                    <m:t>N</m:t>
                  </m:r>
                  <m:ctrlPr>
                    <w:rPr>
                      <w:rFonts w:ascii="Cambria Math" w:hAnsi="Cambria Math"/>
                      <w:b/>
                      <w:bCs/>
                      <w:i/>
                      <w:sz w:val="20"/>
                      <w:szCs w:val="20"/>
                    </w:rPr>
                  </m:ctrlPr>
                </m:e>
                <m:sub>
                  <m:r>
                    <m:rPr>
                      <m:sty m:val="bi"/>
                    </m:rPr>
                    <w:rPr>
                      <w:rFonts w:ascii="Cambria Math" w:hAnsi="Cambria Math"/>
                      <w:sz w:val="20"/>
                      <w:szCs w:val="20"/>
                    </w:rPr>
                    <m:t>TA</m:t>
                  </m:r>
                  <m:ctrlPr>
                    <w:rPr>
                      <w:rFonts w:ascii="Cambria Math" w:hAnsi="Cambria Math"/>
                      <w:b/>
                      <w:bCs/>
                      <w:i/>
                      <w:sz w:val="20"/>
                      <w:szCs w:val="20"/>
                    </w:rPr>
                  </m:ctrlP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N</m:t>
                  </m:r>
                  <m:ctrlPr>
                    <w:rPr>
                      <w:rFonts w:ascii="Cambria Math" w:hAnsi="Cambria Math"/>
                      <w:b/>
                      <w:bCs/>
                      <w:i/>
                      <w:sz w:val="20"/>
                      <w:szCs w:val="20"/>
                    </w:rPr>
                  </m:ctrlPr>
                </m:e>
                <m:sub>
                  <m:r>
                    <m:rPr>
                      <m:sty m:val="bi"/>
                    </m:rPr>
                    <w:rPr>
                      <w:rFonts w:ascii="Cambria Math" w:hAnsi="Cambria Math"/>
                      <w:sz w:val="20"/>
                      <w:szCs w:val="20"/>
                    </w:rPr>
                    <m:t>TA,UE−specific</m:t>
                  </m:r>
                  <m:ctrlPr>
                    <w:rPr>
                      <w:rFonts w:ascii="Cambria Math" w:hAnsi="Cambria Math"/>
                      <w:b/>
                      <w:bCs/>
                      <w:i/>
                      <w:sz w:val="20"/>
                      <w:szCs w:val="20"/>
                    </w:rPr>
                  </m:ctrlP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N</m:t>
                  </m:r>
                  <m:ctrlPr>
                    <w:rPr>
                      <w:rFonts w:ascii="Cambria Math" w:hAnsi="Cambria Math"/>
                      <w:b/>
                      <w:bCs/>
                      <w:i/>
                      <w:sz w:val="20"/>
                      <w:szCs w:val="20"/>
                    </w:rPr>
                  </m:ctrlPr>
                </m:e>
                <m:sub>
                  <m:r>
                    <m:rPr>
                      <m:sty m:val="bi"/>
                    </m:rPr>
                    <w:rPr>
                      <w:rFonts w:ascii="Cambria Math" w:hAnsi="Cambria Math"/>
                      <w:sz w:val="20"/>
                      <w:szCs w:val="20"/>
                    </w:rPr>
                    <m:t>TA,common</m:t>
                  </m:r>
                  <m:ctrlPr>
                    <w:rPr>
                      <w:rFonts w:ascii="Cambria Math" w:hAnsi="Cambria Math"/>
                      <w:b/>
                      <w:bCs/>
                      <w:i/>
                      <w:sz w:val="20"/>
                      <w:szCs w:val="20"/>
                    </w:rPr>
                  </m:ctrlP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N</m:t>
                  </m:r>
                  <m:ctrlPr>
                    <w:rPr>
                      <w:rFonts w:ascii="Cambria Math" w:hAnsi="Cambria Math"/>
                      <w:b/>
                      <w:bCs/>
                      <w:i/>
                      <w:sz w:val="20"/>
                      <w:szCs w:val="20"/>
                    </w:rPr>
                  </m:ctrlPr>
                </m:e>
                <m:sub>
                  <m:r>
                    <m:rPr>
                      <m:sty m:val="bi"/>
                    </m:rPr>
                    <w:rPr>
                      <w:rFonts w:ascii="Cambria Math" w:hAnsi="Cambria Math"/>
                      <w:sz w:val="20"/>
                      <w:szCs w:val="20"/>
                    </w:rPr>
                    <m:t>TA,offset</m:t>
                  </m:r>
                  <m:ctrlPr>
                    <w:rPr>
                      <w:rFonts w:ascii="Cambria Math" w:hAnsi="Cambria Math"/>
                      <w:b/>
                      <w:bCs/>
                      <w:i/>
                      <w:sz w:val="20"/>
                      <w:szCs w:val="20"/>
                    </w:rPr>
                  </m:ctrlPr>
                </m:sub>
              </m:sSub>
              <m:ctrlPr>
                <w:rPr>
                  <w:rFonts w:ascii="Cambria Math" w:hAnsi="Cambria Math"/>
                  <w:b/>
                  <w:bCs/>
                  <w:i/>
                  <w:sz w:val="20"/>
                  <w:szCs w:val="20"/>
                </w:rPr>
              </m:ctrlPr>
            </m:e>
          </m:d>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T</m:t>
              </m:r>
              <m:ctrlPr>
                <w:rPr>
                  <w:rFonts w:ascii="Cambria Math" w:hAnsi="Cambria Math"/>
                  <w:b/>
                  <w:bCs/>
                  <w:i/>
                  <w:sz w:val="20"/>
                  <w:szCs w:val="20"/>
                </w:rPr>
              </m:ctrlPr>
            </m:e>
            <m:sub>
              <m:r>
                <m:rPr>
                  <m:sty m:val="bi"/>
                </m:rPr>
                <w:rPr>
                  <w:rFonts w:ascii="Cambria Math" w:hAnsi="Cambria Math"/>
                  <w:sz w:val="20"/>
                  <w:szCs w:val="20"/>
                </w:rPr>
                <m:t>C</m:t>
              </m:r>
              <m:ctrlPr>
                <w:rPr>
                  <w:rFonts w:ascii="Cambria Math" w:hAnsi="Cambria Math"/>
                  <w:b/>
                  <w:bCs/>
                  <w:i/>
                  <w:sz w:val="20"/>
                  <w:szCs w:val="20"/>
                </w:rPr>
              </m:ctrlPr>
            </m:sub>
          </m:sSub>
        </m:oMath>
      </m:oMathPara>
    </w:p>
    <w:p>
      <w:pPr>
        <w:spacing w:beforeLines="0" w:after="0"/>
        <w:ind w:firstLine="363"/>
        <w:rPr>
          <w:sz w:val="20"/>
          <w:szCs w:val="20"/>
        </w:rPr>
      </w:pPr>
      <w:r>
        <w:rPr>
          <w:sz w:val="20"/>
          <w:szCs w:val="20"/>
        </w:rPr>
        <w:t>Where:</w:t>
      </w:r>
    </w:p>
    <w:p>
      <w:pPr>
        <w:spacing w:beforeLines="0" w:after="0"/>
        <w:ind w:firstLine="363"/>
        <w:rPr>
          <w:sz w:val="20"/>
          <w:szCs w:val="20"/>
        </w:rPr>
      </w:pPr>
      <w:r>
        <w:rPr>
          <w:b/>
          <w:bCs/>
          <w:sz w:val="20"/>
          <w:szCs w:val="20"/>
        </w:rPr>
        <w:t>N</w:t>
      </w:r>
      <w:r>
        <w:rPr>
          <w:b/>
          <w:bCs/>
          <w:sz w:val="20"/>
          <w:szCs w:val="20"/>
          <w:vertAlign w:val="subscript"/>
        </w:rPr>
        <w:t>TA</w:t>
      </w:r>
      <w:r>
        <w:rPr>
          <w:sz w:val="20"/>
          <w:szCs w:val="20"/>
          <w:vertAlign w:val="subscript"/>
        </w:rPr>
        <w:t xml:space="preserve"> </w:t>
      </w:r>
      <w:r>
        <w:rPr>
          <w:sz w:val="20"/>
          <w:szCs w:val="20"/>
        </w:rPr>
        <w:t>is defined as 0 for PRACH and updated based on TA Command field in msg2/msgB and MAC CE TA command.</w:t>
      </w:r>
    </w:p>
    <w:p>
      <w:pPr>
        <w:spacing w:beforeLines="0" w:after="0"/>
        <w:ind w:firstLine="363"/>
        <w:rPr>
          <w:sz w:val="20"/>
          <w:szCs w:val="20"/>
        </w:rPr>
      </w:pPr>
      <w:r>
        <w:rPr>
          <w:sz w:val="20"/>
          <w:szCs w:val="20"/>
        </w:rPr>
        <w:t>FFS: details of NTA update/accumulation.</w:t>
      </w:r>
    </w:p>
    <w:p>
      <w:pPr>
        <w:spacing w:beforeLines="0" w:after="0"/>
        <w:ind w:firstLine="363"/>
        <w:rPr>
          <w:sz w:val="20"/>
          <w:szCs w:val="20"/>
        </w:rPr>
      </w:pPr>
      <w:r>
        <w:rPr>
          <w:b/>
          <w:bCs/>
          <w:sz w:val="20"/>
          <w:szCs w:val="20"/>
        </w:rPr>
        <w:t>N</w:t>
      </w:r>
      <w:r>
        <w:rPr>
          <w:b/>
          <w:bCs/>
          <w:sz w:val="20"/>
          <w:szCs w:val="20"/>
          <w:vertAlign w:val="subscript"/>
        </w:rPr>
        <w:t>TA,UE-s</w:t>
      </w:r>
      <w:r>
        <w:rPr>
          <w:rFonts w:hint="eastAsia"/>
          <w:b/>
          <w:bCs/>
          <w:sz w:val="20"/>
          <w:szCs w:val="20"/>
          <w:vertAlign w:val="subscript"/>
        </w:rPr>
        <w:t>pecific</w:t>
      </w:r>
      <w:r>
        <w:rPr>
          <w:sz w:val="20"/>
          <w:szCs w:val="20"/>
          <w:vertAlign w:val="subscript"/>
        </w:rPr>
        <w:t xml:space="preserve"> </w:t>
      </w:r>
      <w:r>
        <w:rPr>
          <w:sz w:val="20"/>
          <w:szCs w:val="20"/>
        </w:rPr>
        <w:t>is UE self-estimated TA to pre-compensate for the service link delay.</w:t>
      </w:r>
    </w:p>
    <w:p>
      <w:pPr>
        <w:spacing w:beforeLines="0" w:after="0"/>
        <w:ind w:firstLine="363"/>
        <w:rPr>
          <w:sz w:val="20"/>
          <w:szCs w:val="20"/>
        </w:rPr>
      </w:pPr>
      <w:r>
        <w:rPr>
          <w:b/>
          <w:bCs/>
          <w:sz w:val="20"/>
          <w:szCs w:val="20"/>
        </w:rPr>
        <w:t>N</w:t>
      </w:r>
      <w:r>
        <w:rPr>
          <w:b/>
          <w:bCs/>
          <w:sz w:val="20"/>
          <w:szCs w:val="20"/>
          <w:vertAlign w:val="subscript"/>
        </w:rPr>
        <w:t>TA,common</w:t>
      </w:r>
      <w:r>
        <w:rPr>
          <w:sz w:val="20"/>
          <w:szCs w:val="20"/>
          <w:vertAlign w:val="subscript"/>
        </w:rPr>
        <w:t xml:space="preserve"> </w:t>
      </w:r>
      <w:r>
        <w:rPr>
          <w:sz w:val="20"/>
          <w:szCs w:val="20"/>
        </w:rPr>
        <w:t>is network-controlled common TA, and may include any timing offset considered necessary by the network.</w:t>
      </w:r>
    </w:p>
    <w:p>
      <w:pPr>
        <w:spacing w:beforeLines="0" w:after="0"/>
        <w:ind w:firstLine="363"/>
        <w:rPr>
          <w:sz w:val="20"/>
          <w:szCs w:val="20"/>
        </w:rPr>
      </w:pPr>
      <w:r>
        <w:rPr>
          <w:b/>
          <w:bCs/>
          <w:sz w:val="20"/>
          <w:szCs w:val="20"/>
        </w:rPr>
        <w:t>N</w:t>
      </w:r>
      <w:r>
        <w:rPr>
          <w:b/>
          <w:bCs/>
          <w:sz w:val="20"/>
          <w:szCs w:val="20"/>
          <w:vertAlign w:val="subscript"/>
        </w:rPr>
        <w:t>TA,common</w:t>
      </w:r>
      <w:r>
        <w:rPr>
          <w:sz w:val="20"/>
          <w:szCs w:val="20"/>
        </w:rPr>
        <w:t xml:space="preserve"> with value of 0 is supported.</w:t>
      </w:r>
    </w:p>
    <w:p>
      <w:pPr>
        <w:spacing w:beforeLines="0" w:after="0"/>
        <w:ind w:firstLine="363"/>
        <w:rPr>
          <w:sz w:val="20"/>
          <w:szCs w:val="20"/>
        </w:rPr>
      </w:pPr>
      <w:r>
        <w:rPr>
          <w:sz w:val="20"/>
          <w:szCs w:val="20"/>
        </w:rPr>
        <w:t>FFS:  details of signaling including granularity.</w:t>
      </w:r>
    </w:p>
    <w:p>
      <w:pPr>
        <w:spacing w:beforeLines="0" w:after="0"/>
        <w:ind w:firstLine="363"/>
        <w:rPr>
          <w:sz w:val="20"/>
          <w:szCs w:val="20"/>
        </w:rPr>
      </w:pPr>
      <w:r>
        <w:rPr>
          <w:b/>
          <w:bCs/>
          <w:sz w:val="20"/>
          <w:szCs w:val="20"/>
        </w:rPr>
        <w:t>N</w:t>
      </w:r>
      <w:r>
        <w:rPr>
          <w:b/>
          <w:bCs/>
          <w:sz w:val="20"/>
          <w:szCs w:val="20"/>
          <w:vertAlign w:val="subscript"/>
        </w:rPr>
        <w:t>TA,offset</w:t>
      </w:r>
      <w:r>
        <w:rPr>
          <w:sz w:val="20"/>
          <w:szCs w:val="20"/>
          <w:vertAlign w:val="subscript"/>
        </w:rPr>
        <w:t xml:space="preserve"> </w:t>
      </w:r>
      <w:r>
        <w:rPr>
          <w:sz w:val="20"/>
          <w:szCs w:val="20"/>
        </w:rPr>
        <w:t>is a fixed offset used to calculate the timing advance.</w:t>
      </w:r>
    </w:p>
    <w:p>
      <w:pPr>
        <w:spacing w:beforeLines="0" w:after="0"/>
        <w:rPr>
          <w:rFonts w:eastAsia="PMingLiU"/>
          <w:sz w:val="20"/>
          <w:szCs w:val="20"/>
        </w:rPr>
      </w:pPr>
      <w:r>
        <w:rPr>
          <w:sz w:val="20"/>
          <w:szCs w:val="20"/>
        </w:rPr>
        <w:t xml:space="preserve">During RAN1#106-bis, RAN1group discussed the following solutions </w:t>
      </w:r>
      <w:r>
        <w:rPr>
          <w:b/>
          <w:sz w:val="20"/>
          <w:szCs w:val="20"/>
        </w:rPr>
        <w:t>to avoid the TA jump caused by double correction</w:t>
      </w:r>
      <w:r>
        <w:rPr>
          <w:sz w:val="20"/>
          <w:szCs w:val="20"/>
        </w:rPr>
        <w:t xml:space="preserve"> of closed loop and opened loop TA component</w:t>
      </w:r>
      <w:r>
        <w:rPr>
          <w:b/>
          <w:sz w:val="20"/>
          <w:szCs w:val="20"/>
        </w:rPr>
        <w:t xml:space="preserve"> </w:t>
      </w:r>
      <w:r>
        <w:rPr>
          <w:sz w:val="20"/>
          <w:szCs w:val="20"/>
        </w:rPr>
        <w:t>:</w:t>
      </w:r>
    </w:p>
    <w:p>
      <w:pPr>
        <w:numPr>
          <w:ilvl w:val="0"/>
          <w:numId w:val="2"/>
        </w:numPr>
        <w:spacing w:beforeLines="0" w:after="0"/>
        <w:ind w:left="360"/>
        <w:rPr>
          <w:sz w:val="20"/>
          <w:szCs w:val="20"/>
        </w:rPr>
      </w:pPr>
      <w:r>
        <w:rPr>
          <w:b/>
          <w:sz w:val="20"/>
          <w:szCs w:val="20"/>
          <w:u w:val="single"/>
        </w:rPr>
        <w:t>Solution 1:</w:t>
      </w:r>
    </w:p>
    <w:p>
      <w:pPr>
        <w:numPr>
          <w:ilvl w:val="1"/>
          <w:numId w:val="3"/>
        </w:numPr>
        <w:spacing w:beforeLines="0" w:after="0"/>
        <w:ind w:left="1080"/>
        <w:rPr>
          <w:bCs/>
          <w:sz w:val="20"/>
          <w:szCs w:val="20"/>
        </w:rPr>
      </w:pPr>
      <w:r>
        <w:rPr>
          <w:bCs/>
          <w:sz w:val="20"/>
          <w:szCs w:val="20"/>
        </w:rPr>
        <w:t>UE subtracts the difference between new value and old value N</w:t>
      </w:r>
      <w:r>
        <w:rPr>
          <w:bCs/>
          <w:sz w:val="20"/>
          <w:szCs w:val="20"/>
          <w:vertAlign w:val="subscript"/>
        </w:rPr>
        <w:t>TA_UE-specific,new</w:t>
      </w:r>
      <w:r>
        <w:rPr>
          <w:bCs/>
          <w:sz w:val="20"/>
          <w:szCs w:val="20"/>
        </w:rPr>
        <w:t xml:space="preserve"> from the accumulative closed loop TA (</w:t>
      </w:r>
      <w:r>
        <w:rPr>
          <w:b/>
          <w:bCs/>
          <w:sz w:val="20"/>
          <w:szCs w:val="20"/>
        </w:rPr>
        <w:t>N</w:t>
      </w:r>
      <w:r>
        <w:rPr>
          <w:b/>
          <w:bCs/>
          <w:sz w:val="20"/>
          <w:szCs w:val="20"/>
          <w:vertAlign w:val="subscript"/>
        </w:rPr>
        <w:t>TA</w:t>
      </w:r>
      <w:r>
        <w:rPr>
          <w:b/>
          <w:bCs/>
          <w:sz w:val="20"/>
          <w:szCs w:val="20"/>
        </w:rPr>
        <w:t>)</w:t>
      </w:r>
    </w:p>
    <w:p>
      <w:pPr>
        <w:pStyle w:val="11"/>
        <w:numPr>
          <w:ilvl w:val="2"/>
          <w:numId w:val="3"/>
        </w:numPr>
        <w:spacing w:before="0" w:beforeAutospacing="0" w:after="0"/>
        <w:ind w:left="1800"/>
        <w:rPr>
          <w:rFonts w:eastAsia="宋体"/>
          <w:bCs/>
          <w:sz w:val="20"/>
          <w:szCs w:val="20"/>
        </w:rPr>
      </w:pPr>
      <w:r>
        <w:rPr>
          <w:b/>
          <w:bCs/>
          <w:sz w:val="20"/>
          <w:szCs w:val="20"/>
        </w:rPr>
        <w:t>N</w:t>
      </w:r>
      <w:r>
        <w:rPr>
          <w:b/>
          <w:bCs/>
          <w:sz w:val="20"/>
          <w:szCs w:val="20"/>
          <w:vertAlign w:val="subscript"/>
        </w:rPr>
        <w:t>TA</w:t>
      </w:r>
      <w:r>
        <w:rPr>
          <w:rFonts w:eastAsia="宋体"/>
          <w:bCs/>
          <w:sz w:val="20"/>
          <w:szCs w:val="20"/>
        </w:rPr>
        <w:t xml:space="preserve"> -( N</w:t>
      </w:r>
      <w:r>
        <w:rPr>
          <w:rFonts w:eastAsia="宋体"/>
          <w:bCs/>
          <w:sz w:val="20"/>
          <w:szCs w:val="20"/>
          <w:vertAlign w:val="subscript"/>
        </w:rPr>
        <w:t>TA_UE-specific,new</w:t>
      </w:r>
      <w:r>
        <w:rPr>
          <w:rFonts w:eastAsia="宋体"/>
          <w:bCs/>
          <w:sz w:val="20"/>
          <w:szCs w:val="20"/>
        </w:rPr>
        <w:t xml:space="preserve"> - N</w:t>
      </w:r>
      <w:r>
        <w:rPr>
          <w:rFonts w:eastAsia="宋体"/>
          <w:bCs/>
          <w:sz w:val="20"/>
          <w:szCs w:val="20"/>
          <w:vertAlign w:val="subscript"/>
        </w:rPr>
        <w:t>TA_UE-specific,old</w:t>
      </w:r>
      <w:r>
        <w:rPr>
          <w:rFonts w:eastAsia="宋体"/>
          <w:bCs/>
          <w:sz w:val="20"/>
          <w:szCs w:val="20"/>
        </w:rPr>
        <w:t>)</w:t>
      </w:r>
    </w:p>
    <w:p>
      <w:pPr>
        <w:numPr>
          <w:ilvl w:val="1"/>
          <w:numId w:val="3"/>
        </w:numPr>
        <w:spacing w:beforeLines="0" w:after="0"/>
        <w:ind w:left="1080"/>
        <w:rPr>
          <w:rFonts w:eastAsia="PMingLiU"/>
          <w:bCs/>
          <w:sz w:val="20"/>
          <w:szCs w:val="20"/>
        </w:rPr>
      </w:pPr>
      <w:r>
        <w:rPr>
          <w:bCs/>
          <w:sz w:val="20"/>
          <w:szCs w:val="20"/>
        </w:rPr>
        <w:t>UE subtracts the difference between common TA derived based on new parameters N</w:t>
      </w:r>
      <w:r>
        <w:rPr>
          <w:bCs/>
          <w:sz w:val="20"/>
          <w:szCs w:val="20"/>
          <w:vertAlign w:val="subscript"/>
        </w:rPr>
        <w:t>TA,Common,new</w:t>
      </w:r>
      <w:r>
        <w:rPr>
          <w:bCs/>
          <w:sz w:val="20"/>
          <w:szCs w:val="20"/>
        </w:rPr>
        <w:t xml:space="preserve"> and the value based on old parameters N</w:t>
      </w:r>
      <w:r>
        <w:rPr>
          <w:bCs/>
          <w:sz w:val="20"/>
          <w:szCs w:val="20"/>
          <w:vertAlign w:val="subscript"/>
        </w:rPr>
        <w:t>TA,Common,old</w:t>
      </w:r>
      <w:r>
        <w:rPr>
          <w:bCs/>
          <w:sz w:val="20"/>
          <w:szCs w:val="20"/>
        </w:rPr>
        <w:t xml:space="preserve"> from the accumulative closed loop TA  (</w:t>
      </w:r>
      <w:r>
        <w:rPr>
          <w:b/>
          <w:bCs/>
          <w:sz w:val="20"/>
          <w:szCs w:val="20"/>
        </w:rPr>
        <w:t>N</w:t>
      </w:r>
      <w:r>
        <w:rPr>
          <w:b/>
          <w:bCs/>
          <w:sz w:val="20"/>
          <w:szCs w:val="20"/>
          <w:vertAlign w:val="subscript"/>
        </w:rPr>
        <w:t>TA</w:t>
      </w:r>
      <w:r>
        <w:rPr>
          <w:bCs/>
          <w:sz w:val="20"/>
          <w:szCs w:val="20"/>
        </w:rPr>
        <w:t>).</w:t>
      </w:r>
    </w:p>
    <w:p>
      <w:pPr>
        <w:numPr>
          <w:ilvl w:val="2"/>
          <w:numId w:val="3"/>
        </w:numPr>
        <w:spacing w:beforeLines="0" w:after="0"/>
        <w:ind w:left="1800"/>
        <w:rPr>
          <w:bCs/>
          <w:sz w:val="20"/>
          <w:szCs w:val="20"/>
        </w:rPr>
      </w:pPr>
      <w:r>
        <w:rPr>
          <w:b/>
          <w:sz w:val="20"/>
          <w:szCs w:val="20"/>
        </w:rPr>
        <w:t>N</w:t>
      </w:r>
      <w:r>
        <w:rPr>
          <w:b/>
          <w:sz w:val="20"/>
          <w:szCs w:val="20"/>
          <w:vertAlign w:val="subscript"/>
        </w:rPr>
        <w:t>TA</w:t>
      </w:r>
      <w:r>
        <w:rPr>
          <w:bCs/>
          <w:sz w:val="20"/>
          <w:szCs w:val="20"/>
        </w:rPr>
        <w:t xml:space="preserve"> -( N</w:t>
      </w:r>
      <w:r>
        <w:rPr>
          <w:bCs/>
          <w:sz w:val="20"/>
          <w:szCs w:val="20"/>
          <w:vertAlign w:val="subscript"/>
        </w:rPr>
        <w:t>TA,Common,new</w:t>
      </w:r>
      <w:r>
        <w:rPr>
          <w:bCs/>
          <w:sz w:val="20"/>
          <w:szCs w:val="20"/>
        </w:rPr>
        <w:t xml:space="preserve"> - N</w:t>
      </w:r>
      <w:r>
        <w:rPr>
          <w:bCs/>
          <w:sz w:val="20"/>
          <w:szCs w:val="20"/>
          <w:vertAlign w:val="subscript"/>
        </w:rPr>
        <w:t>TA,Common,old</w:t>
      </w:r>
      <w:r>
        <w:rPr>
          <w:bCs/>
          <w:sz w:val="20"/>
          <w:szCs w:val="20"/>
        </w:rPr>
        <w:t xml:space="preserve"> )</w:t>
      </w:r>
    </w:p>
    <w:p>
      <w:pPr>
        <w:numPr>
          <w:ilvl w:val="0"/>
          <w:numId w:val="3"/>
        </w:numPr>
        <w:spacing w:beforeLines="0" w:after="0"/>
        <w:ind w:left="360"/>
        <w:rPr>
          <w:b/>
          <w:sz w:val="20"/>
          <w:szCs w:val="20"/>
        </w:rPr>
      </w:pPr>
      <w:r>
        <w:rPr>
          <w:b/>
          <w:sz w:val="20"/>
          <w:szCs w:val="20"/>
          <w:u w:val="single"/>
        </w:rPr>
        <w:t>Solution 2</w:t>
      </w:r>
      <w:r>
        <w:rPr>
          <w:b/>
          <w:sz w:val="20"/>
          <w:szCs w:val="20"/>
        </w:rPr>
        <w:t xml:space="preserve">:  </w:t>
      </w:r>
    </w:p>
    <w:p>
      <w:pPr>
        <w:pStyle w:val="11"/>
        <w:numPr>
          <w:ilvl w:val="1"/>
          <w:numId w:val="3"/>
        </w:numPr>
        <w:spacing w:before="0" w:beforeAutospacing="0" w:after="0"/>
        <w:ind w:left="1080"/>
        <w:rPr>
          <w:sz w:val="20"/>
          <w:szCs w:val="20"/>
        </w:rPr>
      </w:pPr>
      <w:r>
        <w:rPr>
          <w:sz w:val="20"/>
          <w:szCs w:val="20"/>
        </w:rPr>
        <w:t xml:space="preserve">Cap max adjustment: </w:t>
      </w:r>
    </w:p>
    <w:p>
      <w:pPr>
        <w:pStyle w:val="11"/>
        <w:numPr>
          <w:ilvl w:val="2"/>
          <w:numId w:val="3"/>
        </w:numPr>
        <w:spacing w:before="0" w:beforeAutospacing="0" w:after="0"/>
        <w:ind w:left="1800"/>
        <w:rPr>
          <w:sz w:val="20"/>
          <w:szCs w:val="20"/>
        </w:rPr>
      </w:pPr>
      <w:r>
        <w:rPr>
          <w:sz w:val="20"/>
          <w:szCs w:val="20"/>
        </w:rPr>
        <w:t>if |TA_ue(GNSS_f, sat_current)-TA_ue(GNSS_c, sat_current)|&gt;x1</w:t>
      </w:r>
    </w:p>
    <w:p>
      <w:pPr>
        <w:pStyle w:val="11"/>
        <w:numPr>
          <w:ilvl w:val="3"/>
          <w:numId w:val="3"/>
        </w:numPr>
        <w:spacing w:before="0" w:beforeAutospacing="0" w:after="0"/>
        <w:ind w:left="2520"/>
        <w:rPr>
          <w:sz w:val="20"/>
          <w:szCs w:val="20"/>
        </w:rPr>
      </w:pPr>
      <w:r>
        <w:rPr>
          <w:sz w:val="20"/>
          <w:szCs w:val="20"/>
        </w:rPr>
        <w:t>|TA_ue_applied-TA_ue(GNSS_c, sat_current)|&lt;x2</w:t>
      </w:r>
    </w:p>
    <w:p>
      <w:pPr>
        <w:pStyle w:val="11"/>
        <w:numPr>
          <w:ilvl w:val="3"/>
          <w:numId w:val="3"/>
        </w:numPr>
        <w:spacing w:before="0" w:beforeAutospacing="0" w:after="0"/>
        <w:ind w:left="2520"/>
        <w:rPr>
          <w:sz w:val="20"/>
          <w:szCs w:val="20"/>
        </w:rPr>
      </w:pPr>
      <w:r>
        <w:rPr>
          <w:sz w:val="20"/>
          <w:szCs w:val="20"/>
        </w:rPr>
        <w:t>minimum aggregate adjustement rate shall be x3 per T1 seconds</w:t>
      </w:r>
    </w:p>
    <w:p>
      <w:pPr>
        <w:pStyle w:val="11"/>
        <w:numPr>
          <w:ilvl w:val="3"/>
          <w:numId w:val="3"/>
        </w:numPr>
        <w:spacing w:before="0" w:beforeAutospacing="0" w:after="0"/>
        <w:ind w:left="2520"/>
        <w:rPr>
          <w:sz w:val="20"/>
          <w:szCs w:val="20"/>
        </w:rPr>
      </w:pPr>
      <w:r>
        <w:rPr>
          <w:sz w:val="20"/>
          <w:szCs w:val="20"/>
        </w:rPr>
        <w:t>maximum aggregate adjustment rate shall be x4 per T2 seconds</w:t>
      </w:r>
    </w:p>
    <w:p>
      <w:pPr>
        <w:pStyle w:val="11"/>
        <w:numPr>
          <w:ilvl w:val="3"/>
          <w:numId w:val="3"/>
        </w:numPr>
        <w:spacing w:before="0" w:beforeAutospacing="0" w:after="0"/>
        <w:ind w:left="2520"/>
        <w:rPr>
          <w:sz w:val="20"/>
          <w:szCs w:val="20"/>
        </w:rPr>
      </w:pPr>
      <w:r>
        <w:rPr>
          <w:rFonts w:eastAsia="Calibri"/>
          <w:bCs/>
          <w:iCs/>
          <w:color w:val="000000"/>
          <w:sz w:val="20"/>
          <w:szCs w:val="20"/>
        </w:rPr>
        <w:t>FFS the values of x1, x2, x3, x4, T1 and T2.</w:t>
      </w:r>
    </w:p>
    <w:p>
      <w:pPr>
        <w:pStyle w:val="11"/>
        <w:spacing w:before="0" w:beforeAutospacing="0" w:after="0"/>
        <w:ind w:left="1440"/>
        <w:rPr>
          <w:sz w:val="20"/>
          <w:szCs w:val="20"/>
        </w:rPr>
      </w:pPr>
      <w:r>
        <w:rPr>
          <w:rFonts w:eastAsia="宋体"/>
          <w:bCs/>
          <w:iCs/>
          <w:color w:val="000000"/>
          <w:sz w:val="20"/>
          <w:szCs w:val="20"/>
        </w:rPr>
        <w:t>Where GNSS_f is the most recent GNSS fix, GNSS_c is the UE location corresponding to the last applied UE specific TA, and sat_current is the current satellite location,</w:t>
      </w:r>
    </w:p>
    <w:p>
      <w:pPr>
        <w:numPr>
          <w:ilvl w:val="0"/>
          <w:numId w:val="3"/>
        </w:numPr>
        <w:spacing w:beforeLines="0" w:after="0"/>
        <w:ind w:left="360"/>
        <w:rPr>
          <w:sz w:val="20"/>
          <w:szCs w:val="20"/>
        </w:rPr>
      </w:pPr>
      <w:r>
        <w:rPr>
          <w:b/>
          <w:sz w:val="20"/>
          <w:szCs w:val="20"/>
          <w:u w:val="single"/>
        </w:rPr>
        <w:t>Solution 3</w:t>
      </w:r>
      <w:r>
        <w:rPr>
          <w:sz w:val="20"/>
          <w:szCs w:val="20"/>
        </w:rPr>
        <w:t xml:space="preserve">: </w:t>
      </w:r>
    </w:p>
    <w:p>
      <w:pPr>
        <w:pStyle w:val="11"/>
        <w:numPr>
          <w:ilvl w:val="1"/>
          <w:numId w:val="3"/>
        </w:numPr>
        <w:spacing w:before="0" w:beforeAutospacing="0" w:after="0"/>
        <w:ind w:left="1080"/>
        <w:rPr>
          <w:sz w:val="20"/>
          <w:szCs w:val="20"/>
        </w:rPr>
      </w:pPr>
      <w:r>
        <w:rPr>
          <w:sz w:val="20"/>
          <w:szCs w:val="20"/>
        </w:rPr>
        <w:t>Introduce two states of operation for the closed-loop, one absolute, where the TA command is applied in absolute values regardless of UE procedures (similar to RACH procedure) and another one, differential, where the TA command is applied depending on the most recent UE-specific updates.</w:t>
      </w:r>
    </w:p>
    <w:p>
      <w:pPr>
        <w:numPr>
          <w:ilvl w:val="0"/>
          <w:numId w:val="3"/>
        </w:numPr>
        <w:spacing w:beforeLines="0" w:after="0"/>
        <w:ind w:left="360"/>
        <w:rPr>
          <w:sz w:val="20"/>
          <w:szCs w:val="20"/>
        </w:rPr>
      </w:pPr>
      <w:r>
        <w:rPr>
          <w:b/>
          <w:sz w:val="20"/>
          <w:szCs w:val="20"/>
          <w:u w:val="single"/>
        </w:rPr>
        <w:t>Solution 4</w:t>
      </w:r>
      <w:r>
        <w:rPr>
          <w:sz w:val="20"/>
          <w:szCs w:val="20"/>
        </w:rPr>
        <w:t xml:space="preserve">: </w:t>
      </w:r>
    </w:p>
    <w:p>
      <w:pPr>
        <w:numPr>
          <w:ilvl w:val="1"/>
          <w:numId w:val="3"/>
        </w:numPr>
        <w:spacing w:beforeLines="0" w:after="0"/>
        <w:ind w:left="1080"/>
        <w:rPr>
          <w:sz w:val="20"/>
          <w:szCs w:val="20"/>
        </w:rPr>
      </w:pPr>
      <w:r>
        <w:rPr>
          <w:sz w:val="20"/>
          <w:szCs w:val="20"/>
        </w:rPr>
        <w:t>Revise the common TA update equation into gradual update equation: N</w:t>
      </w:r>
      <w:r>
        <w:rPr>
          <w:sz w:val="20"/>
          <w:szCs w:val="20"/>
          <w:vertAlign w:val="subscript"/>
        </w:rPr>
        <w:t>TA,common</w:t>
      </w:r>
      <w:r>
        <w:rPr>
          <w:sz w:val="20"/>
          <w:szCs w:val="20"/>
        </w:rPr>
        <w:t xml:space="preserve"> = N</w:t>
      </w:r>
      <w:r>
        <w:rPr>
          <w:sz w:val="20"/>
          <w:szCs w:val="20"/>
          <w:vertAlign w:val="subscript"/>
        </w:rPr>
        <w:t>TA, common_old</w:t>
      </w:r>
      <w:r>
        <w:rPr>
          <w:sz w:val="20"/>
          <w:szCs w:val="20"/>
        </w:rPr>
        <w:t xml:space="preserve"> + (N</w:t>
      </w:r>
      <w:r>
        <w:rPr>
          <w:sz w:val="20"/>
          <w:szCs w:val="20"/>
          <w:vertAlign w:val="subscript"/>
        </w:rPr>
        <w:t>TA, common_new</w:t>
      </w:r>
      <w:r>
        <w:rPr>
          <w:sz w:val="20"/>
          <w:szCs w:val="20"/>
        </w:rPr>
        <w:t xml:space="preserve"> – N</w:t>
      </w:r>
      <w:r>
        <w:rPr>
          <w:sz w:val="20"/>
          <w:szCs w:val="20"/>
          <w:vertAlign w:val="subscript"/>
        </w:rPr>
        <w:t>TA,common_old</w:t>
      </w:r>
      <w:r>
        <w:rPr>
          <w:sz w:val="20"/>
          <w:szCs w:val="20"/>
        </w:rPr>
        <w:t>)/N</w:t>
      </w:r>
    </w:p>
    <w:p>
      <w:pPr>
        <w:numPr>
          <w:ilvl w:val="0"/>
          <w:numId w:val="3"/>
        </w:numPr>
        <w:spacing w:beforeLines="0" w:after="0"/>
        <w:ind w:left="360"/>
        <w:rPr>
          <w:b/>
          <w:sz w:val="20"/>
          <w:szCs w:val="20"/>
          <w:u w:val="single"/>
        </w:rPr>
      </w:pPr>
      <w:r>
        <w:rPr>
          <w:b/>
          <w:sz w:val="20"/>
          <w:szCs w:val="20"/>
          <w:u w:val="single"/>
        </w:rPr>
        <w:t xml:space="preserve">Solution 5: </w:t>
      </w:r>
    </w:p>
    <w:p>
      <w:pPr>
        <w:numPr>
          <w:ilvl w:val="1"/>
          <w:numId w:val="3"/>
        </w:numPr>
        <w:spacing w:beforeLines="0" w:after="0"/>
        <w:rPr>
          <w:b/>
          <w:sz w:val="20"/>
          <w:szCs w:val="20"/>
          <w:u w:val="single"/>
        </w:rPr>
      </w:pPr>
      <w:r>
        <w:rPr>
          <w:sz w:val="20"/>
          <w:szCs w:val="20"/>
        </w:rPr>
        <w:t>The accumulative closed-loop TA is reset to 0 whenever a new GNSS fix is applied in the calculation of N</w:t>
      </w:r>
      <w:r>
        <w:rPr>
          <w:sz w:val="20"/>
          <w:szCs w:val="20"/>
          <w:vertAlign w:val="subscript"/>
        </w:rPr>
        <w:t>TA,UE-S</w:t>
      </w:r>
      <w:r>
        <w:rPr>
          <w:rFonts w:hint="eastAsia"/>
          <w:sz w:val="20"/>
          <w:szCs w:val="20"/>
          <w:vertAlign w:val="subscript"/>
        </w:rPr>
        <w:t>pecific</w:t>
      </w:r>
      <w:r>
        <w:rPr>
          <w:rFonts w:hint="eastAsia"/>
          <w:sz w:val="20"/>
          <w:szCs w:val="20"/>
        </w:rPr>
        <w:t>.</w:t>
      </w:r>
    </w:p>
    <w:p>
      <w:pPr>
        <w:numPr>
          <w:ilvl w:val="0"/>
          <w:numId w:val="3"/>
        </w:numPr>
        <w:spacing w:beforeLines="0" w:after="0"/>
        <w:ind w:left="360"/>
        <w:rPr>
          <w:sz w:val="20"/>
          <w:szCs w:val="20"/>
        </w:rPr>
      </w:pPr>
      <w:r>
        <w:rPr>
          <w:b/>
          <w:sz w:val="20"/>
          <w:szCs w:val="20"/>
          <w:u w:val="single"/>
        </w:rPr>
        <w:t>Solution 6</w:t>
      </w:r>
      <w:r>
        <w:rPr>
          <w:sz w:val="20"/>
          <w:szCs w:val="20"/>
        </w:rPr>
        <w:t xml:space="preserve">: </w:t>
      </w:r>
    </w:p>
    <w:p>
      <w:pPr>
        <w:numPr>
          <w:ilvl w:val="1"/>
          <w:numId w:val="3"/>
        </w:numPr>
        <w:spacing w:beforeLines="0" w:after="0"/>
        <w:ind w:left="1080"/>
        <w:rPr>
          <w:sz w:val="20"/>
          <w:szCs w:val="20"/>
        </w:rPr>
      </w:pPr>
      <w:r>
        <w:rPr>
          <w:sz w:val="20"/>
          <w:szCs w:val="20"/>
        </w:rPr>
        <w:t>How closed-loop TA is determined when N</w:t>
      </w:r>
      <w:r>
        <w:rPr>
          <w:sz w:val="20"/>
          <w:szCs w:val="20"/>
          <w:vertAlign w:val="subscript"/>
        </w:rPr>
        <w:t>TA,UE-specific</w:t>
      </w:r>
      <w:r>
        <w:rPr>
          <w:sz w:val="20"/>
          <w:szCs w:val="20"/>
        </w:rPr>
        <w:t xml:space="preserve"> or </w:t>
      </w:r>
      <w:r>
        <w:rPr>
          <w:bCs/>
          <w:sz w:val="20"/>
          <w:szCs w:val="20"/>
        </w:rPr>
        <w:t>N</w:t>
      </w:r>
      <w:r>
        <w:rPr>
          <w:bCs/>
          <w:sz w:val="20"/>
          <w:szCs w:val="20"/>
          <w:vertAlign w:val="subscript"/>
        </w:rPr>
        <w:t>TA,common</w:t>
      </w:r>
      <w:r>
        <w:rPr>
          <w:b/>
          <w:bCs/>
          <w:sz w:val="20"/>
          <w:szCs w:val="20"/>
        </w:rPr>
        <w:t xml:space="preserve"> </w:t>
      </w:r>
      <w:r>
        <w:rPr>
          <w:bCs/>
          <w:sz w:val="20"/>
          <w:szCs w:val="20"/>
        </w:rPr>
        <w:t>are</w:t>
      </w:r>
      <w:r>
        <w:rPr>
          <w:sz w:val="20"/>
          <w:szCs w:val="20"/>
        </w:rPr>
        <w:t xml:space="preserve"> autonomously updated in RRC Connected state can be up to UE implementation as long as the UL synchronization requirement is fulfilled</w:t>
      </w:r>
    </w:p>
    <w:p>
      <w:pPr>
        <w:spacing w:beforeLines="0" w:after="0"/>
        <w:rPr>
          <w:rFonts w:eastAsia="等线"/>
          <w:sz w:val="20"/>
          <w:szCs w:val="20"/>
        </w:rPr>
      </w:pPr>
      <w:r>
        <w:rPr>
          <w:rFonts w:eastAsia="等线"/>
          <w:sz w:val="20"/>
          <w:szCs w:val="20"/>
        </w:rPr>
        <w:t>I</w:t>
      </w:r>
      <w:r>
        <w:rPr>
          <w:rFonts w:hint="eastAsia" w:eastAsia="等线"/>
          <w:sz w:val="20"/>
          <w:szCs w:val="20"/>
        </w:rPr>
        <w:t>n t</w:t>
      </w:r>
      <w:r>
        <w:rPr>
          <w:rFonts w:eastAsia="等线"/>
          <w:sz w:val="20"/>
          <w:szCs w:val="20"/>
        </w:rPr>
        <w:t>his contribution</w:t>
      </w:r>
      <w:r>
        <w:rPr>
          <w:rFonts w:hint="eastAsia" w:eastAsia="等线"/>
          <w:sz w:val="20"/>
          <w:szCs w:val="20"/>
        </w:rPr>
        <w:t>,</w:t>
      </w:r>
      <w:r>
        <w:rPr>
          <w:rFonts w:eastAsia="等线"/>
          <w:sz w:val="20"/>
          <w:szCs w:val="20"/>
        </w:rPr>
        <w:t xml:space="preserve"> We put forward our own views on the above solutions for the combination of open-loop and closed-loop TA control in NTN.</w:t>
      </w:r>
    </w:p>
    <w:p>
      <w:pPr>
        <w:pStyle w:val="2"/>
        <w:keepLines/>
        <w:widowControl w:val="0"/>
        <w:numPr>
          <w:ilvl w:val="0"/>
          <w:numId w:val="1"/>
        </w:numPr>
        <w:pBdr>
          <w:top w:val="single" w:color="auto" w:sz="12" w:space="3"/>
        </w:pBdr>
        <w:overflowPunct w:val="0"/>
        <w:autoSpaceDE w:val="0"/>
        <w:autoSpaceDN w:val="0"/>
        <w:adjustRightInd w:val="0"/>
        <w:spacing w:before="163" w:after="180"/>
        <w:textAlignment w:val="baseline"/>
        <w:rPr>
          <w:rFonts w:ascii="Arial" w:hAnsi="Arial" w:eastAsia="宋体"/>
          <w:b w:val="0"/>
          <w:bCs w:val="0"/>
          <w:kern w:val="0"/>
          <w:sz w:val="36"/>
          <w:szCs w:val="36"/>
        </w:rPr>
      </w:pPr>
      <w:r>
        <w:rPr>
          <w:rFonts w:ascii="Arial" w:hAnsi="Arial" w:eastAsia="宋体"/>
          <w:b w:val="0"/>
          <w:bCs w:val="0"/>
          <w:kern w:val="0"/>
          <w:sz w:val="36"/>
          <w:szCs w:val="36"/>
        </w:rPr>
        <w:t>Discussion</w:t>
      </w:r>
    </w:p>
    <w:p>
      <w:pPr>
        <w:spacing w:before="163"/>
        <w:rPr>
          <w:rFonts w:eastAsiaTheme="minorEastAsia"/>
          <w:sz w:val="20"/>
          <w:szCs w:val="20"/>
        </w:rPr>
      </w:pPr>
      <w:r>
        <w:rPr>
          <w:rFonts w:eastAsiaTheme="minorEastAsia"/>
          <w:sz w:val="20"/>
          <w:szCs w:val="20"/>
        </w:rPr>
        <w:t xml:space="preserve">Compared with the terrestrial communication, the signal transmission distance in the satellite communication system is larger and the coverage area of the satellite spot beam is much larger than that of the cellular cell, resulting in a longer signal transmission delay. In view of the above problems, TA is introduced to synchronize the uplink transmission. The </w:t>
      </w:r>
      <w:r>
        <w:rPr>
          <w:rFonts w:hint="eastAsia" w:eastAsiaTheme="minorEastAsia"/>
          <w:sz w:val="20"/>
          <w:szCs w:val="20"/>
        </w:rPr>
        <w:t>g</w:t>
      </w:r>
      <w:r>
        <w:rPr>
          <w:rFonts w:eastAsiaTheme="minorEastAsia"/>
          <w:sz w:val="20"/>
          <w:szCs w:val="20"/>
        </w:rPr>
        <w:t>NB requires that signals from different UE</w:t>
      </w:r>
      <w:r>
        <w:rPr>
          <w:rFonts w:hint="eastAsia" w:eastAsiaTheme="minorEastAsia"/>
          <w:sz w:val="20"/>
          <w:szCs w:val="20"/>
        </w:rPr>
        <w:t>s</w:t>
      </w:r>
      <w:r>
        <w:rPr>
          <w:rFonts w:eastAsiaTheme="minorEastAsia"/>
          <w:sz w:val="20"/>
          <w:szCs w:val="20"/>
        </w:rPr>
        <w:t xml:space="preserve"> of the same subframe but different frequency domain resources arrive at the </w:t>
      </w:r>
      <w:r>
        <w:rPr>
          <w:rFonts w:hint="eastAsia" w:eastAsiaTheme="minorEastAsia"/>
          <w:sz w:val="20"/>
          <w:szCs w:val="20"/>
        </w:rPr>
        <w:t>g</w:t>
      </w:r>
      <w:r>
        <w:rPr>
          <w:rFonts w:eastAsiaTheme="minorEastAsia"/>
          <w:sz w:val="20"/>
          <w:szCs w:val="20"/>
        </w:rPr>
        <w:t xml:space="preserve">NB at basically the same time. The role of TA is to enable the UE to send data packets in advance according to the corresponding instructions. At the same time, the GNB informs the UE of the timing advance time by sending TAC to the UE. </w:t>
      </w:r>
    </w:p>
    <w:p>
      <w:pPr>
        <w:spacing w:before="163"/>
        <w:rPr>
          <w:rFonts w:eastAsiaTheme="minorEastAsia"/>
          <w:sz w:val="20"/>
          <w:szCs w:val="20"/>
        </w:rPr>
      </w:pPr>
      <w:r>
        <w:rPr>
          <w:rFonts w:eastAsiaTheme="minorEastAsia"/>
          <w:sz w:val="20"/>
          <w:szCs w:val="20"/>
        </w:rPr>
        <w:t>The TA value updating method can be divided into two types according to the TA information source. One is the open-loop method that requires the UE to perform autonomous TA estimation and common TA estimation, and the other is the closed-loop method that does not require the UE to operate and only receives TA commands from the base station. Although the open loop method is easy to realize and has high flexibility, it is seriously disturbed by the outside world; Although the closed-loop method has strong anti-interference ability and high stability, it wastes more time-frequency resources. In order to obtain better TA compensation performance, it is an inevitable choice to combine open-loop and closed-loop.</w:t>
      </w:r>
    </w:p>
    <w:p>
      <w:pPr>
        <w:spacing w:before="163"/>
        <w:rPr>
          <w:rFonts w:eastAsiaTheme="minorEastAsia"/>
          <w:sz w:val="20"/>
          <w:szCs w:val="20"/>
        </w:rPr>
      </w:pPr>
      <w:r>
        <w:rPr>
          <w:rFonts w:eastAsiaTheme="minorEastAsia"/>
          <w:sz w:val="20"/>
          <w:szCs w:val="20"/>
        </w:rPr>
        <w:t>However, there is a very important problem in the combination process. If parameters for open loop TA are updated, but the close loop TA is not reset to 0, large error will be introduced to the UE's total TA due to "double correction"</w:t>
      </w:r>
      <w:r>
        <w:rPr>
          <w:rFonts w:hint="eastAsia" w:eastAsiaTheme="minorEastAsia"/>
          <w:sz w:val="20"/>
          <w:szCs w:val="20"/>
        </w:rPr>
        <w:t>,</w:t>
      </w:r>
      <w:r>
        <w:rPr>
          <w:rFonts w:eastAsiaTheme="minorEastAsia"/>
          <w:sz w:val="20"/>
          <w:szCs w:val="20"/>
        </w:rPr>
        <w:t xml:space="preserve"> which is called TA jump. In order to solve this problem, several solutions have been discussed in the previous meeting, but some of them still have problems.</w:t>
      </w:r>
    </w:p>
    <w:p>
      <w:pPr>
        <w:spacing w:before="163"/>
        <w:rPr>
          <w:rFonts w:ascii="Times" w:hAnsi="Times" w:cs="Times"/>
          <w:b/>
          <w:i/>
          <w:sz w:val="20"/>
          <w:szCs w:val="20"/>
        </w:rPr>
      </w:pPr>
      <w:r>
        <w:rPr>
          <w:rFonts w:ascii="Times" w:hAnsi="Times" w:cs="Times"/>
          <w:b/>
          <w:i/>
          <w:sz w:val="20"/>
          <w:szCs w:val="20"/>
        </w:rPr>
        <w:t>Observation 1: When using the gra</w:t>
      </w:r>
      <w:r>
        <w:rPr>
          <w:rFonts w:hint="eastAsia" w:ascii="Times" w:hAnsi="Times" w:cs="Times"/>
          <w:b/>
          <w:i/>
          <w:sz w:val="20"/>
          <w:szCs w:val="20"/>
        </w:rPr>
        <w:t>dual</w:t>
      </w:r>
      <w:r>
        <w:rPr>
          <w:rFonts w:ascii="Times" w:hAnsi="Times" w:cs="Times"/>
          <w:b/>
          <w:i/>
          <w:sz w:val="20"/>
          <w:szCs w:val="20"/>
        </w:rPr>
        <w:t xml:space="preserve"> update equation to solve the TA jump problem, after the value of the common TA is updated, since the UE still follows the model of the </w:t>
      </w:r>
      <w:r>
        <w:rPr>
          <w:rFonts w:hint="eastAsia" w:ascii="Times" w:hAnsi="Times" w:cs="Times"/>
          <w:b/>
          <w:i/>
          <w:sz w:val="20"/>
          <w:szCs w:val="20"/>
        </w:rPr>
        <w:t>gradual</w:t>
      </w:r>
      <w:r>
        <w:rPr>
          <w:rFonts w:ascii="Times" w:hAnsi="Times" w:cs="Times"/>
          <w:b/>
          <w:i/>
          <w:sz w:val="20"/>
          <w:szCs w:val="20"/>
        </w:rPr>
        <w:t xml:space="preserve"> update, the common TA will drift gradually with the system error, that is, a 'jump' phenomenon will occur.</w:t>
      </w:r>
    </w:p>
    <w:p>
      <w:pPr>
        <w:spacing w:before="163"/>
        <w:rPr>
          <w:rFonts w:ascii="Times" w:hAnsi="Times" w:cs="Times"/>
          <w:b/>
          <w:i/>
          <w:sz w:val="20"/>
          <w:szCs w:val="20"/>
        </w:rPr>
      </w:pPr>
      <w:r>
        <w:rPr>
          <w:rFonts w:ascii="Times" w:hAnsi="Times" w:cs="Times"/>
          <w:b/>
          <w:i/>
          <w:sz w:val="20"/>
          <w:szCs w:val="20"/>
        </w:rPr>
        <w:t xml:space="preserve">Observation 2: </w:t>
      </w:r>
      <w:r>
        <w:rPr>
          <w:rFonts w:hint="eastAsia" w:ascii="Times" w:hAnsi="Times" w:cs="Times"/>
          <w:b/>
          <w:i/>
          <w:sz w:val="20"/>
          <w:szCs w:val="20"/>
        </w:rPr>
        <w:t>Due to the jump phenomenon of the common TA, the UE cannot quickly correct it, which may cause serious deviation in the final TA value and cause uplink transmission failure.</w:t>
      </w:r>
    </w:p>
    <w:p>
      <w:pPr>
        <w:spacing w:before="163"/>
        <w:rPr>
          <w:rFonts w:eastAsiaTheme="minorEastAsia"/>
          <w:sz w:val="20"/>
          <w:szCs w:val="20"/>
        </w:rPr>
      </w:pPr>
      <w:r>
        <w:rPr>
          <w:rFonts w:eastAsiaTheme="minorEastAsia"/>
          <w:sz w:val="20"/>
          <w:szCs w:val="20"/>
        </w:rPr>
        <w:t>Since this method still has disadvantages, We need to add necessary adaptive changes to the UE in the closed-loop TA control</w:t>
      </w:r>
    </w:p>
    <w:p>
      <w:pPr>
        <w:spacing w:before="163"/>
        <w:rPr>
          <w:rFonts w:ascii="Times" w:hAnsi="Times" w:cs="Times"/>
          <w:b/>
          <w:i/>
          <w:sz w:val="20"/>
          <w:szCs w:val="20"/>
        </w:rPr>
      </w:pPr>
      <w:r>
        <w:rPr>
          <w:rFonts w:ascii="Times" w:hAnsi="Times" w:cs="Times"/>
          <w:b/>
          <w:i/>
          <w:sz w:val="20"/>
          <w:szCs w:val="20"/>
        </w:rPr>
        <w:t>Proposal 1: We support dividing the closed loop into two states. Having one absolute state, where the TA command is applied in absolute values regardless of UE procedures and another one, differential, where the TA command is applied depending on the most recent UE-specific updates.</w:t>
      </w:r>
    </w:p>
    <w:p>
      <w:pPr>
        <w:spacing w:before="163"/>
        <w:rPr>
          <w:rFonts w:eastAsiaTheme="minorEastAsia"/>
          <w:sz w:val="20"/>
          <w:szCs w:val="20"/>
        </w:rPr>
      </w:pPr>
      <w:r>
        <w:rPr>
          <w:rFonts w:eastAsiaTheme="minorEastAsia"/>
          <w:sz w:val="20"/>
          <w:szCs w:val="20"/>
        </w:rPr>
        <w:t>From the essence of TA jump problem, it is that the open-loop TA and the closed-loop TA are not updated synchronously, so that the two TAS are not at the same reference time point during the correction, thus the TA jump phenomenon occurs.</w:t>
      </w:r>
    </w:p>
    <w:p>
      <w:pPr>
        <w:spacing w:before="163"/>
        <w:rPr>
          <w:rFonts w:ascii="Times" w:hAnsi="Times" w:cs="Times"/>
          <w:b/>
          <w:i/>
          <w:sz w:val="20"/>
          <w:szCs w:val="20"/>
        </w:rPr>
      </w:pPr>
      <w:r>
        <w:rPr>
          <w:rFonts w:ascii="Times" w:hAnsi="Times" w:cs="Times"/>
          <w:b/>
          <w:i/>
          <w:sz w:val="20"/>
          <w:szCs w:val="20"/>
        </w:rPr>
        <w:t>Observation 3: In the closed-loop TA control, the UE receives the TA command to obtain the TA value. In the open-loop TA control, the ephemeris is used to estimate the common TA and the GNSS is used to estimate the UE-specific TA. If the three are updated at the same time, there will be no double correction problem.</w:t>
      </w:r>
    </w:p>
    <w:p>
      <w:pPr>
        <w:spacing w:before="163"/>
        <w:rPr>
          <w:rFonts w:ascii="Times" w:hAnsi="Times" w:cs="Times"/>
          <w:b/>
          <w:i/>
          <w:sz w:val="20"/>
          <w:szCs w:val="20"/>
        </w:rPr>
      </w:pPr>
      <w:r>
        <w:rPr>
          <w:rFonts w:ascii="Times" w:hAnsi="Times" w:cs="Times"/>
          <w:b/>
          <w:i/>
          <w:sz w:val="20"/>
          <w:szCs w:val="20"/>
        </w:rPr>
        <w:t xml:space="preserve">Proposal 2: The “double correction” issue can be solved directly when TA </w:t>
      </w:r>
      <w:r>
        <w:rPr>
          <w:rFonts w:hint="eastAsia" w:ascii="Times" w:hAnsi="Times" w:cs="Times"/>
          <w:b/>
          <w:i/>
          <w:sz w:val="20"/>
          <w:szCs w:val="20"/>
        </w:rPr>
        <w:t>command</w:t>
      </w:r>
      <w:r>
        <w:rPr>
          <w:rFonts w:ascii="Times" w:hAnsi="Times" w:cs="Times"/>
          <w:b/>
          <w:i/>
          <w:sz w:val="20"/>
          <w:szCs w:val="20"/>
        </w:rPr>
        <w:t xml:space="preserve">, ephemeris and GNSS are updated at the same time. </w:t>
      </w:r>
    </w:p>
    <w:p>
      <w:pPr>
        <w:spacing w:before="163"/>
        <w:jc w:val="left"/>
        <w:rPr>
          <w:rFonts w:ascii="Times" w:hAnsi="Times" w:cs="Times"/>
          <w:b/>
          <w:i/>
          <w:sz w:val="20"/>
          <w:szCs w:val="20"/>
        </w:rPr>
      </w:pPr>
      <w:r>
        <w:rPr>
          <w:rFonts w:ascii="Times" w:hAnsi="Times" w:cs="Times"/>
          <w:b/>
          <w:i/>
          <w:sz w:val="20"/>
          <w:szCs w:val="20"/>
        </w:rPr>
        <w:t>Observation 4:</w:t>
      </w:r>
      <w:r>
        <w:t xml:space="preserve"> </w:t>
      </w:r>
      <w:r>
        <w:rPr>
          <w:rFonts w:ascii="Times" w:hAnsi="Times" w:cs="Times"/>
          <w:b/>
          <w:i/>
          <w:sz w:val="20"/>
          <w:szCs w:val="20"/>
        </w:rPr>
        <w:t>If the open-loop and closed-loop TA control are combined, when the satellite ephemeris and GNSS positioning are updated, due to the dual effects of the closed-loop TAC notification and the open-loop UE estimation, the TA value may be over compensated, as shown in the following figure.</w:t>
      </w:r>
    </w:p>
    <w:p>
      <w:pPr>
        <w:keepNext w:val="0"/>
        <w:keepLines w:val="0"/>
        <w:pageBreakBefore w:val="0"/>
        <w:widowControl/>
        <w:kinsoku/>
        <w:wordWrap/>
        <w:overflowPunct/>
        <w:topLinePunct w:val="0"/>
        <w:autoSpaceDE/>
        <w:autoSpaceDN/>
        <w:bidi w:val="0"/>
        <w:adjustRightInd/>
        <w:snapToGrid/>
        <w:spacing w:before="163"/>
        <w:jc w:val="left"/>
        <w:textAlignment w:val="auto"/>
        <w:rPr>
          <w:rFonts w:hint="eastAsia" w:eastAsiaTheme="minorEastAsia"/>
          <w:sz w:val="20"/>
          <w:szCs w:val="20"/>
          <w:lang w:val="en-US" w:eastAsia="zh-CN"/>
        </w:rPr>
      </w:pPr>
      <w:r>
        <w:rPr>
          <w:rFonts w:hint="eastAsia" w:eastAsiaTheme="minorEastAsia"/>
          <w:sz w:val="20"/>
          <w:szCs w:val="20"/>
          <w:lang w:val="en-US" w:eastAsia="zh-CN"/>
        </w:rPr>
        <w:t xml:space="preserve">In the figure, the old GNSS positioning and ephemeris information are used in the closed loop before 20ms, and the open loop and closed loop compensate at the same time to obtain the accurate TA value. At 20ms, due to the update of GNSS fix and ephemeris information, the compensation for TA in the closed loop becomes larger, while the compensation for TA in the open loop remains unchanged. The combination of the two will make the compensation value of TA at this time larger than the expected compensation value, that is, an "over-compensation" occurs. Similarly, in 70ms, the actual TA value is less than the ideal TA value. </w:t>
      </w:r>
    </w:p>
    <w:p>
      <w:pPr>
        <w:keepNext w:val="0"/>
        <w:keepLines w:val="0"/>
        <w:pageBreakBefore w:val="0"/>
        <w:widowControl/>
        <w:kinsoku/>
        <w:wordWrap/>
        <w:overflowPunct/>
        <w:topLinePunct w:val="0"/>
        <w:autoSpaceDE/>
        <w:autoSpaceDN/>
        <w:bidi w:val="0"/>
        <w:adjustRightInd/>
        <w:snapToGrid/>
        <w:spacing w:before="163"/>
        <w:jc w:val="center"/>
        <w:textAlignment w:val="auto"/>
        <w:rPr>
          <w:rFonts w:ascii="Times" w:hAnsi="Times" w:cs="Times"/>
          <w:b/>
          <w:i/>
          <w:sz w:val="20"/>
          <w:szCs w:val="20"/>
        </w:rPr>
      </w:pPr>
      <w:r>
        <w:drawing>
          <wp:inline distT="0" distB="0" distL="114300" distR="114300">
            <wp:extent cx="4085590" cy="30645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085590" cy="3064510"/>
                    </a:xfrm>
                    <a:prstGeom prst="rect">
                      <a:avLst/>
                    </a:prstGeom>
                    <a:noFill/>
                    <a:ln>
                      <a:noFill/>
                    </a:ln>
                  </pic:spPr>
                </pic:pic>
              </a:graphicData>
            </a:graphic>
          </wp:inline>
        </w:drawing>
      </w:r>
    </w:p>
    <w:p>
      <w:pPr>
        <w:pStyle w:val="16"/>
        <w:spacing w:before="163"/>
        <w:jc w:val="center"/>
        <w:rPr>
          <w:rFonts w:ascii="Times" w:hAnsi="Times" w:cs="Times"/>
          <w:b/>
          <w:i/>
          <w:sz w:val="20"/>
          <w:szCs w:val="20"/>
        </w:rPr>
      </w:pPr>
      <w:r>
        <w:rPr>
          <w:rFonts w:ascii="Times" w:hAnsi="Times" w:cs="Times"/>
          <w:b/>
          <w:i/>
          <w:sz w:val="20"/>
          <w:szCs w:val="20"/>
        </w:rPr>
        <w:t>F</w:t>
      </w:r>
      <w:r>
        <w:rPr>
          <w:rFonts w:hint="eastAsia" w:ascii="Times" w:hAnsi="Times" w:cs="Times"/>
          <w:b/>
          <w:i/>
          <w:sz w:val="20"/>
          <w:szCs w:val="20"/>
        </w:rPr>
        <w:t>igure</w:t>
      </w:r>
      <w:r>
        <w:rPr>
          <w:rFonts w:ascii="Times" w:hAnsi="Times" w:cs="Times"/>
          <w:b/>
          <w:i/>
          <w:sz w:val="20"/>
          <w:szCs w:val="20"/>
        </w:rPr>
        <w:t>1 TA overcompensation</w:t>
      </w:r>
      <w:r>
        <w:rPr>
          <w:rFonts w:hint="eastAsia" w:ascii="Times" w:hAnsi="Times" w:cs="Times"/>
          <w:b/>
          <w:i/>
          <w:sz w:val="20"/>
          <w:szCs w:val="20"/>
        </w:rPr>
        <w:t xml:space="preserve"> </w:t>
      </w:r>
      <w:r>
        <w:rPr>
          <w:rFonts w:ascii="Times" w:hAnsi="Times" w:cs="Times"/>
          <w:b/>
          <w:i/>
          <w:sz w:val="20"/>
          <w:szCs w:val="20"/>
        </w:rPr>
        <w:t>when TAC and UE correction are both applied together.</w:t>
      </w:r>
    </w:p>
    <w:p>
      <w:pPr>
        <w:pStyle w:val="16"/>
        <w:spacing w:before="163"/>
        <w:jc w:val="left"/>
        <w:rPr>
          <w:rFonts w:hint="eastAsia" w:ascii="Times" w:hAnsi="Times" w:cs="Times"/>
          <w:b/>
          <w:i/>
          <w:sz w:val="20"/>
          <w:szCs w:val="20"/>
          <w:lang w:val="en-US" w:eastAsia="zh-CN"/>
        </w:rPr>
      </w:pPr>
      <w:r>
        <w:rPr>
          <w:rFonts w:ascii="Times" w:hAnsi="Times" w:cs="Times"/>
          <w:b/>
          <w:i/>
          <w:sz w:val="20"/>
          <w:szCs w:val="20"/>
        </w:rPr>
        <w:t>Proposal 3</w:t>
      </w:r>
      <w:r>
        <w:rPr>
          <w:rFonts w:hint="eastAsia" w:ascii="Times" w:hAnsi="Times" w:cs="Times"/>
          <w:b/>
          <w:i/>
          <w:sz w:val="20"/>
          <w:szCs w:val="20"/>
        </w:rPr>
        <w:t>：</w:t>
      </w:r>
      <w:r>
        <w:rPr>
          <w:rFonts w:hint="eastAsia" w:ascii="Times" w:hAnsi="Times" w:cs="Times"/>
          <w:b/>
          <w:i/>
          <w:sz w:val="20"/>
          <w:szCs w:val="20"/>
          <w:lang w:val="en-US" w:eastAsia="zh-CN"/>
        </w:rPr>
        <w:t>We believe that the time when the satellite passes zenith can be obtained in advance by using the ephemeris information. If the TA derivative value obtained by combining the TA command received by the UE and the UE's own estimation (i.e., the combination of closed-loop and open-loop) before this time is greater than 0 or the TA derivative value after this time is less than 0, it is considered that the over-compensation occurs. At this time, the information of one of open-loop and closed-loop should not be used.</w:t>
      </w:r>
    </w:p>
    <w:p>
      <w:pPr>
        <w:pStyle w:val="16"/>
        <w:spacing w:before="163"/>
        <w:jc w:val="left"/>
        <w:rPr>
          <w:rFonts w:hint="default" w:ascii="Times New Roman" w:hAnsi="Times New Roman" w:cs="Times New Roman" w:eastAsiaTheme="minorEastAsia"/>
          <w:kern w:val="0"/>
          <w:sz w:val="20"/>
          <w:szCs w:val="20"/>
          <w:lang w:val="en-US" w:eastAsia="zh-CN" w:bidi="ar-SA"/>
        </w:rPr>
      </w:pPr>
      <w:r>
        <w:rPr>
          <w:rFonts w:hint="eastAsia" w:ascii="Times New Roman" w:hAnsi="Times New Roman" w:cs="Times New Roman" w:eastAsiaTheme="minorEastAsia"/>
          <w:kern w:val="0"/>
          <w:sz w:val="20"/>
          <w:szCs w:val="20"/>
          <w:lang w:val="en-US" w:eastAsia="zh-CN" w:bidi="ar-SA"/>
        </w:rPr>
        <w:t>Since we need to judge the TA derivative value before and after the satellite passing zenith, we need to know the accurate time point of that, which can be obtained through the ephemeris information of the satellite. Before the zenith passing time, the TA value should gradually decrease, that is, the derivative value of TA should be less than 0. In this process, if the TA derivative value is greater than 0, it can be considered that the over-compensation has occurred. This phenomenon is due to the update of GNSS and ephemeris information, and the compensation of the closed loop for TA has become accurate. At this time, the combination of the two will lead to the excessive compensation value. Therefore, at this time, we should no longer use the information of one of the methods to make the TA value return to the ideal state. Similarly, it should also be the case that the TA derivative is less than 0 after passing zenith.</w:t>
      </w:r>
    </w:p>
    <w:p>
      <w:pPr>
        <w:pStyle w:val="2"/>
        <w:keepLines/>
        <w:widowControl w:val="0"/>
        <w:numPr>
          <w:ilvl w:val="0"/>
          <w:numId w:val="1"/>
        </w:numPr>
        <w:pBdr>
          <w:top w:val="single" w:color="auto" w:sz="12" w:space="3"/>
        </w:pBdr>
        <w:overflowPunct w:val="0"/>
        <w:autoSpaceDE w:val="0"/>
        <w:autoSpaceDN w:val="0"/>
        <w:adjustRightInd w:val="0"/>
        <w:spacing w:before="163" w:after="180"/>
        <w:textAlignment w:val="baseline"/>
        <w:rPr>
          <w:rFonts w:ascii="Arial" w:hAnsi="Arial" w:eastAsia="宋体"/>
          <w:b w:val="0"/>
          <w:bCs w:val="0"/>
          <w:kern w:val="0"/>
          <w:sz w:val="36"/>
          <w:szCs w:val="36"/>
        </w:rPr>
      </w:pPr>
      <w:r>
        <w:rPr>
          <w:rFonts w:ascii="Arial" w:hAnsi="Arial" w:eastAsia="宋体"/>
          <w:b w:val="0"/>
          <w:bCs w:val="0"/>
          <w:kern w:val="0"/>
          <w:sz w:val="36"/>
          <w:szCs w:val="36"/>
        </w:rPr>
        <w:t>Conclusion</w:t>
      </w:r>
    </w:p>
    <w:p>
      <w:pPr>
        <w:spacing w:before="163"/>
        <w:rPr>
          <w:rFonts w:ascii="Times" w:hAnsi="Times" w:cs="Times"/>
          <w:b/>
          <w:i/>
          <w:sz w:val="20"/>
          <w:szCs w:val="20"/>
        </w:rPr>
      </w:pPr>
      <w:r>
        <w:rPr>
          <w:rFonts w:ascii="Times" w:hAnsi="Times" w:cs="Times"/>
          <w:b/>
          <w:i/>
          <w:sz w:val="20"/>
          <w:szCs w:val="20"/>
        </w:rPr>
        <w:t>Observation 1: When using the gra</w:t>
      </w:r>
      <w:r>
        <w:rPr>
          <w:rFonts w:hint="eastAsia" w:ascii="Times" w:hAnsi="Times" w:cs="Times"/>
          <w:b/>
          <w:i/>
          <w:sz w:val="20"/>
          <w:szCs w:val="20"/>
        </w:rPr>
        <w:t>dual</w:t>
      </w:r>
      <w:r>
        <w:rPr>
          <w:rFonts w:ascii="Times" w:hAnsi="Times" w:cs="Times"/>
          <w:b/>
          <w:i/>
          <w:sz w:val="20"/>
          <w:szCs w:val="20"/>
        </w:rPr>
        <w:t xml:space="preserve"> update equation to solve the TA jump problem, after the value of the common TA is updated, since the UE still follows the model of the gradient update, the common TA will drift gradually with the system error, that is, a 'jump' phenomenon will occur.</w:t>
      </w:r>
    </w:p>
    <w:p>
      <w:pPr>
        <w:spacing w:before="163"/>
        <w:rPr>
          <w:rFonts w:ascii="Times" w:hAnsi="Times" w:cs="Times"/>
          <w:b/>
          <w:i/>
          <w:sz w:val="20"/>
          <w:szCs w:val="20"/>
        </w:rPr>
      </w:pPr>
      <w:r>
        <w:rPr>
          <w:rFonts w:ascii="Times" w:hAnsi="Times" w:cs="Times"/>
          <w:b/>
          <w:i/>
          <w:sz w:val="20"/>
          <w:szCs w:val="20"/>
        </w:rPr>
        <w:t xml:space="preserve">Observation 2: </w:t>
      </w:r>
      <w:r>
        <w:rPr>
          <w:rFonts w:hint="eastAsia" w:ascii="Times" w:hAnsi="Times" w:cs="Times"/>
          <w:b/>
          <w:i/>
          <w:sz w:val="20"/>
          <w:szCs w:val="20"/>
        </w:rPr>
        <w:t>Due to the jump phenomenon of the common TA, the UE cannot quickly correct it, which may cause serious deviation in the final TA value and cause uplink transmission failure.</w:t>
      </w:r>
    </w:p>
    <w:p>
      <w:pPr>
        <w:spacing w:before="163"/>
        <w:rPr>
          <w:rFonts w:ascii="Times" w:hAnsi="Times" w:cs="Times"/>
          <w:b/>
          <w:i/>
          <w:sz w:val="20"/>
          <w:szCs w:val="20"/>
        </w:rPr>
      </w:pPr>
      <w:r>
        <w:rPr>
          <w:rFonts w:ascii="Times" w:hAnsi="Times" w:cs="Times"/>
          <w:b/>
          <w:i/>
          <w:sz w:val="20"/>
          <w:szCs w:val="20"/>
        </w:rPr>
        <w:t>Proposal 1: We support dividing the closed loop into two states. Having one absolute state, where the TA command is applied in absolute values regardless of UE procedures and another one, differential, where the TA command is applied depending on the most recent UE-specific updates.</w:t>
      </w:r>
    </w:p>
    <w:p>
      <w:pPr>
        <w:spacing w:before="163"/>
        <w:rPr>
          <w:rFonts w:ascii="Times" w:hAnsi="Times" w:cs="Times"/>
          <w:b/>
          <w:i/>
          <w:sz w:val="20"/>
          <w:szCs w:val="20"/>
        </w:rPr>
      </w:pPr>
      <w:r>
        <w:rPr>
          <w:rFonts w:ascii="Times" w:hAnsi="Times" w:cs="Times"/>
          <w:b/>
          <w:i/>
          <w:sz w:val="20"/>
          <w:szCs w:val="20"/>
        </w:rPr>
        <w:t>Observation 3: In the closed-loop TA control, the UE receives the TA command to obtain the TA value. In the open-loop TA control, the ephemeris is used to estimate the common TA and the GNSS is used to estimate the UE-specific TA. If the three are updated at the same time, there will be no double correction problem.</w:t>
      </w:r>
    </w:p>
    <w:p>
      <w:pPr>
        <w:spacing w:before="163"/>
        <w:rPr>
          <w:rFonts w:ascii="Times" w:hAnsi="Times" w:cs="Times"/>
          <w:b/>
          <w:i/>
          <w:sz w:val="20"/>
          <w:szCs w:val="20"/>
        </w:rPr>
      </w:pPr>
      <w:r>
        <w:rPr>
          <w:rFonts w:ascii="Times" w:hAnsi="Times" w:cs="Times"/>
          <w:b/>
          <w:i/>
          <w:sz w:val="20"/>
          <w:szCs w:val="20"/>
        </w:rPr>
        <w:t xml:space="preserve">Proposal 2: The “double correction” issue can be solved directly when TA </w:t>
      </w:r>
      <w:r>
        <w:rPr>
          <w:rFonts w:hint="eastAsia" w:ascii="Times" w:hAnsi="Times" w:cs="Times"/>
          <w:b/>
          <w:i/>
          <w:sz w:val="20"/>
          <w:szCs w:val="20"/>
        </w:rPr>
        <w:t>command</w:t>
      </w:r>
      <w:r>
        <w:rPr>
          <w:rFonts w:ascii="Times" w:hAnsi="Times" w:cs="Times"/>
          <w:b/>
          <w:i/>
          <w:sz w:val="20"/>
          <w:szCs w:val="20"/>
        </w:rPr>
        <w:t xml:space="preserve">, ephemeris and GNSS are updated at the same time. </w:t>
      </w:r>
    </w:p>
    <w:p>
      <w:pPr>
        <w:spacing w:before="163"/>
        <w:jc w:val="left"/>
        <w:rPr>
          <w:rFonts w:ascii="Times" w:hAnsi="Times" w:cs="Times"/>
          <w:b/>
          <w:i/>
          <w:sz w:val="20"/>
          <w:szCs w:val="20"/>
        </w:rPr>
      </w:pPr>
      <w:r>
        <w:rPr>
          <w:rFonts w:ascii="Times" w:hAnsi="Times" w:cs="Times"/>
          <w:b/>
          <w:i/>
          <w:sz w:val="20"/>
          <w:szCs w:val="20"/>
        </w:rPr>
        <w:t>Observation 4:</w:t>
      </w:r>
      <w:r>
        <w:t xml:space="preserve"> </w:t>
      </w:r>
      <w:r>
        <w:rPr>
          <w:rFonts w:ascii="Times" w:hAnsi="Times" w:cs="Times"/>
          <w:b/>
          <w:i/>
          <w:sz w:val="20"/>
          <w:szCs w:val="20"/>
        </w:rPr>
        <w:t>If the open-loop and closed-loop TA control are combined, when the satellite ephemeris and GNSS positioning are updated, due to the dual effects of the closed-loop TAC notification and the open-loop UE estimation, the TA value may be over compensated, as shown in the following figure.</w:t>
      </w:r>
    </w:p>
    <w:p>
      <w:pPr>
        <w:pStyle w:val="16"/>
        <w:spacing w:before="163"/>
        <w:jc w:val="left"/>
        <w:rPr>
          <w:rFonts w:hint="eastAsia" w:ascii="Times" w:hAnsi="Times" w:cs="Times"/>
          <w:b/>
          <w:i/>
          <w:sz w:val="20"/>
          <w:szCs w:val="20"/>
        </w:rPr>
      </w:pPr>
      <w:r>
        <w:rPr>
          <w:rFonts w:ascii="Times" w:hAnsi="Times" w:cs="Times"/>
          <w:b/>
          <w:i/>
          <w:sz w:val="20"/>
          <w:szCs w:val="20"/>
        </w:rPr>
        <w:t>Proposal 3</w:t>
      </w:r>
      <w:r>
        <w:rPr>
          <w:rFonts w:hint="eastAsia" w:ascii="Times" w:hAnsi="Times" w:cs="Times"/>
          <w:b/>
          <w:i/>
          <w:sz w:val="20"/>
          <w:szCs w:val="20"/>
        </w:rPr>
        <w:t>：</w:t>
      </w:r>
      <w:r>
        <w:rPr>
          <w:rFonts w:hint="eastAsia" w:ascii="Times" w:hAnsi="Times" w:cs="Times"/>
          <w:b/>
          <w:i/>
          <w:sz w:val="20"/>
          <w:szCs w:val="20"/>
          <w:lang w:val="en-US" w:eastAsia="zh-CN"/>
        </w:rPr>
        <w:t>We believe that the time when the satellite passes zenith can be obtained in advance by using the ephemeris information. If the TA derivative value obtained by combining the TA command received by the UE and the UE's own estimation (i.e., the combination of closed-loop and open-loop) before this time is greater than 0 or the TA derivative value after this time is less than 0, it is considered that the over-compensation occurs. At this time, the information of one of open-loop and closed-loop should not be used.</w:t>
      </w:r>
      <w:bookmarkStart w:id="0" w:name="_GoBack"/>
      <w:bookmarkEnd w:id="0"/>
    </w:p>
    <w:p>
      <w:pPr>
        <w:pStyle w:val="2"/>
        <w:keepLines/>
        <w:widowControl w:val="0"/>
        <w:numPr>
          <w:ilvl w:val="0"/>
          <w:numId w:val="1"/>
        </w:numPr>
        <w:pBdr>
          <w:top w:val="single" w:color="auto" w:sz="12" w:space="3"/>
        </w:pBdr>
        <w:overflowPunct w:val="0"/>
        <w:autoSpaceDE w:val="0"/>
        <w:autoSpaceDN w:val="0"/>
        <w:adjustRightInd w:val="0"/>
        <w:spacing w:before="163" w:after="180"/>
        <w:textAlignment w:val="baseline"/>
        <w:rPr>
          <w:rFonts w:ascii="Arial" w:hAnsi="Arial" w:eastAsia="宋体"/>
          <w:b w:val="0"/>
          <w:bCs w:val="0"/>
          <w:kern w:val="0"/>
          <w:sz w:val="36"/>
          <w:szCs w:val="36"/>
        </w:rPr>
      </w:pPr>
      <w:r>
        <w:rPr>
          <w:rFonts w:ascii="Arial" w:hAnsi="Arial" w:eastAsia="宋体"/>
          <w:b w:val="0"/>
          <w:bCs w:val="0"/>
          <w:kern w:val="0"/>
          <w:sz w:val="36"/>
          <w:szCs w:val="36"/>
        </w:rPr>
        <w:t>Reference</w:t>
      </w:r>
    </w:p>
    <w:p>
      <w:pPr>
        <w:pStyle w:val="15"/>
        <w:spacing w:before="163"/>
        <w:ind w:left="330" w:hanging="330" w:hangingChars="150"/>
        <w:rPr>
          <w:rFonts w:ascii="Times New Roman" w:hAnsi="Times New Roman" w:cs="Times New Roman" w:eastAsiaTheme="minorHAnsi"/>
          <w:b w:val="0"/>
          <w:bCs/>
        </w:rPr>
      </w:pPr>
      <w:r>
        <w:rPr>
          <w:rFonts w:ascii="Times New Roman" w:hAnsi="Times New Roman" w:cs="Times New Roman" w:eastAsiaTheme="minorHAnsi"/>
          <w:b w:val="0"/>
          <w:bCs/>
        </w:rPr>
        <w:t>[1] R1-2111127, ”FL Summary #4 on enhancements on UL time and frequency synchronization for NR NTN”, Thales</w:t>
      </w:r>
    </w:p>
    <w:p>
      <w:pPr>
        <w:spacing w:before="163" w:after="60"/>
        <w:ind w:left="330" w:hanging="330" w:hangingChars="150"/>
        <w:jc w:val="left"/>
        <w:rPr>
          <w:rFonts w:eastAsiaTheme="minorHAnsi"/>
          <w:bCs/>
          <w:sz w:val="22"/>
          <w:szCs w:val="22"/>
        </w:rPr>
      </w:pPr>
      <w:r>
        <w:rPr>
          <w:rFonts w:eastAsiaTheme="minorHAnsi"/>
          <w:bCs/>
          <w:sz w:val="22"/>
          <w:szCs w:val="22"/>
        </w:rPr>
        <w:t>[2] R1-2110805, “Discussion on UL time and frequency synchronization enhancement for NTN”, Huawei, HiSilicon</w:t>
      </w:r>
    </w:p>
    <w:p>
      <w:pPr>
        <w:spacing w:before="163" w:after="60"/>
        <w:ind w:left="330" w:hanging="330" w:hangingChars="150"/>
        <w:jc w:val="left"/>
        <w:rPr>
          <w:rFonts w:eastAsiaTheme="minorHAnsi"/>
          <w:bCs/>
          <w:sz w:val="22"/>
          <w:szCs w:val="22"/>
        </w:rPr>
      </w:pPr>
      <w:r>
        <w:rPr>
          <w:rFonts w:hint="eastAsia" w:eastAsiaTheme="minorHAnsi"/>
          <w:bCs/>
          <w:sz w:val="22"/>
          <w:szCs w:val="22"/>
        </w:rPr>
        <w:t>[</w:t>
      </w:r>
      <w:r>
        <w:rPr>
          <w:rFonts w:eastAsiaTheme="minorHAnsi"/>
          <w:bCs/>
          <w:sz w:val="22"/>
          <w:szCs w:val="22"/>
        </w:rPr>
        <w:t>3] R1-2106781, “FL Summary #1 on enhancements on UL time and frequency synchronization for NR NTN”, Thales</w:t>
      </w:r>
    </w:p>
    <w:p>
      <w:pPr>
        <w:spacing w:before="163"/>
        <w:rPr>
          <w:rFonts w:eastAsiaTheme="minorHAnsi"/>
          <w:bCs/>
          <w:sz w:val="22"/>
          <w:szCs w:val="22"/>
        </w:rPr>
      </w:pPr>
      <w:r>
        <w:rPr>
          <w:rFonts w:hint="eastAsia"/>
          <w:sz w:val="22"/>
          <w:szCs w:val="22"/>
        </w:rPr>
        <w:t>[</w:t>
      </w:r>
      <w:r>
        <w:rPr>
          <w:sz w:val="22"/>
          <w:szCs w:val="22"/>
        </w:rPr>
        <w:t xml:space="preserve">4] </w:t>
      </w:r>
      <w:r>
        <w:rPr>
          <w:rFonts w:eastAsiaTheme="minorHAnsi"/>
          <w:bCs/>
          <w:sz w:val="22"/>
          <w:szCs w:val="22"/>
        </w:rPr>
        <w:t>R1-2109165, “Further discussion on synchronization aspects for NR over NTN”, Nokia</w:t>
      </w:r>
    </w:p>
    <w:p>
      <w:pPr>
        <w:pStyle w:val="16"/>
        <w:spacing w:before="163"/>
      </w:pPr>
    </w:p>
    <w:p>
      <w:pPr>
        <w:pStyle w:val="15"/>
        <w:spacing w:before="163"/>
        <w:ind w:left="330" w:hanging="330" w:hangingChars="150"/>
        <w:rPr>
          <w:rFonts w:cs="Times New Roman" w:asciiTheme="minorHAnsi" w:hAnsiTheme="minorHAnsi" w:eastAsiaTheme="minorHAnsi"/>
          <w:b w:val="0"/>
          <w:bCs/>
        </w:rPr>
      </w:pPr>
    </w:p>
    <w:p>
      <w:pPr>
        <w:pStyle w:val="3"/>
        <w:spacing w:before="163"/>
        <w:ind w:left="141" w:hanging="140" w:hangingChars="64"/>
        <w:rPr>
          <w:rFonts w:asciiTheme="minorHAnsi" w:hAnsiTheme="minorHAnsi" w:eastAsiaTheme="minorHAnsi"/>
          <w:sz w:val="22"/>
          <w:szCs w:val="22"/>
        </w:rPr>
      </w:pPr>
    </w:p>
    <w:p>
      <w:pPr>
        <w:spacing w:before="163"/>
        <w:rPr>
          <w:rFonts w:ascii="Times" w:hAnsi="Times" w:cs="Times"/>
          <w:b/>
          <w:i/>
          <w:sz w:val="20"/>
          <w:szCs w:val="20"/>
        </w:rPr>
      </w:pPr>
    </w:p>
    <w:p>
      <w:pPr>
        <w:spacing w:before="163"/>
        <w:rPr>
          <w:rFonts w:eastAsiaTheme="minorEastAsia"/>
          <w:sz w:val="20"/>
          <w:szCs w:val="20"/>
        </w:rPr>
      </w:pPr>
    </w:p>
    <w:sectPr>
      <w:pgSz w:w="11906" w:h="16838"/>
      <w:pgMar w:top="1440" w:right="1134" w:bottom="1440" w:left="1134"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PMingLiU">
    <w:panose1 w:val="02020500000000000000"/>
    <w:charset w:val="88"/>
    <w:family w:val="roman"/>
    <w:pitch w:val="default"/>
    <w:sig w:usb0="A00002FF" w:usb1="28CFFCFA" w:usb2="00000016" w:usb3="00000000" w:csb0="00100001" w:csb1="0000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325EE9"/>
    <w:multiLevelType w:val="multilevel"/>
    <w:tmpl w:val="2F325EE9"/>
    <w:lvl w:ilvl="0" w:tentative="0">
      <w:start w:val="1"/>
      <w:numFmt w:val="bullet"/>
      <w:lvlText w:val="-"/>
      <w:lvlJc w:val="left"/>
      <w:pPr>
        <w:ind w:left="720" w:hanging="360"/>
      </w:pPr>
      <w:rPr>
        <w:rFonts w:hint="default" w:ascii="Arial" w:hAnsi="Arial" w:eastAsia="宋体" w:cs="Arial"/>
      </w:rPr>
    </w:lvl>
    <w:lvl w:ilvl="1" w:tentative="0">
      <w:start w:val="1"/>
      <w:numFmt w:val="bullet"/>
      <w:lvlText w:val="o"/>
      <w:lvlJc w:val="left"/>
      <w:pPr>
        <w:ind w:left="1069"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93541BD"/>
    <w:multiLevelType w:val="multilevel"/>
    <w:tmpl w:val="493541BD"/>
    <w:lvl w:ilvl="0" w:tentative="0">
      <w:start w:val="1"/>
      <w:numFmt w:val="decimal"/>
      <w:lvlText w:val="%1."/>
      <w:lvlJc w:val="left"/>
      <w:pPr>
        <w:tabs>
          <w:tab w:val="left" w:pos="425"/>
        </w:tabs>
        <w:ind w:left="425" w:hanging="425"/>
      </w:pPr>
      <w:rPr>
        <w:rFonts w:hint="default" w:ascii="Times New Roman" w:hAnsi="Times New Roman" w:cs="Times New Roman"/>
      </w:rPr>
    </w:lvl>
    <w:lvl w:ilvl="1" w:tentative="0">
      <w:start w:val="1"/>
      <w:numFmt w:val="decimal"/>
      <w:lvlText w:val="%1.%2."/>
      <w:lvlJc w:val="left"/>
      <w:pPr>
        <w:tabs>
          <w:tab w:val="left" w:pos="567"/>
        </w:tabs>
        <w:ind w:left="567" w:hanging="567"/>
      </w:pPr>
      <w:rPr>
        <w:rFonts w:hint="default" w:ascii="Times New Roman" w:hAnsi="Times New Roman" w:cs="Times New Roman"/>
        <w:b w:val="0"/>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2">
    <w:nsid w:val="589D3BA1"/>
    <w:multiLevelType w:val="multilevel"/>
    <w:tmpl w:val="589D3BA1"/>
    <w:lvl w:ilvl="0" w:tentative="0">
      <w:start w:val="1"/>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QyN2VkM2I0Yjg0ZmY4NmE5YjVhMWU1NTQ2NzZjZTIifQ=="/>
  </w:docVars>
  <w:rsids>
    <w:rsidRoot w:val="008D25C8"/>
    <w:rsid w:val="00007993"/>
    <w:rsid w:val="00061088"/>
    <w:rsid w:val="0008579D"/>
    <w:rsid w:val="000A527C"/>
    <w:rsid w:val="000A558A"/>
    <w:rsid w:val="00114DA9"/>
    <w:rsid w:val="00124BAA"/>
    <w:rsid w:val="001656A0"/>
    <w:rsid w:val="001B6E52"/>
    <w:rsid w:val="001C57FD"/>
    <w:rsid w:val="002067D5"/>
    <w:rsid w:val="00221351"/>
    <w:rsid w:val="0025701C"/>
    <w:rsid w:val="0032666D"/>
    <w:rsid w:val="003958E2"/>
    <w:rsid w:val="003C4A18"/>
    <w:rsid w:val="004235ED"/>
    <w:rsid w:val="00466A6E"/>
    <w:rsid w:val="00483DD1"/>
    <w:rsid w:val="004B7356"/>
    <w:rsid w:val="004B7591"/>
    <w:rsid w:val="0059026A"/>
    <w:rsid w:val="005A0255"/>
    <w:rsid w:val="005E3025"/>
    <w:rsid w:val="006053CB"/>
    <w:rsid w:val="006157B0"/>
    <w:rsid w:val="00636E7C"/>
    <w:rsid w:val="0065397E"/>
    <w:rsid w:val="00661EBE"/>
    <w:rsid w:val="00677112"/>
    <w:rsid w:val="0079071C"/>
    <w:rsid w:val="007941E6"/>
    <w:rsid w:val="007D2CBD"/>
    <w:rsid w:val="008049F8"/>
    <w:rsid w:val="00887579"/>
    <w:rsid w:val="00892A2F"/>
    <w:rsid w:val="008D25C8"/>
    <w:rsid w:val="00973E9C"/>
    <w:rsid w:val="009B5212"/>
    <w:rsid w:val="00A64BCE"/>
    <w:rsid w:val="00A75591"/>
    <w:rsid w:val="00AE7FFD"/>
    <w:rsid w:val="00B62097"/>
    <w:rsid w:val="00B961BC"/>
    <w:rsid w:val="00BA66A2"/>
    <w:rsid w:val="00BF1B4A"/>
    <w:rsid w:val="00C168BD"/>
    <w:rsid w:val="00C4392D"/>
    <w:rsid w:val="00C648BA"/>
    <w:rsid w:val="00CE2767"/>
    <w:rsid w:val="00D807B9"/>
    <w:rsid w:val="00D82F8A"/>
    <w:rsid w:val="00DC0CC4"/>
    <w:rsid w:val="00EC595E"/>
    <w:rsid w:val="00F17480"/>
    <w:rsid w:val="00F64514"/>
    <w:rsid w:val="00F65FA8"/>
    <w:rsid w:val="00F908EB"/>
    <w:rsid w:val="31521E38"/>
    <w:rsid w:val="3ACD4AA4"/>
    <w:rsid w:val="43C27FA1"/>
    <w:rsid w:val="5162517B"/>
    <w:rsid w:val="5F7F2579"/>
    <w:rsid w:val="7AA27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20"/>
      <w:jc w:val="both"/>
    </w:pPr>
    <w:rPr>
      <w:rFonts w:ascii="Times New Roman" w:hAnsi="Times New Roman" w:eastAsia="宋体" w:cs="Times New Roman"/>
      <w:sz w:val="24"/>
      <w:szCs w:val="24"/>
      <w:lang w:val="en-US" w:eastAsia="zh-CN" w:bidi="ar-SA"/>
    </w:rPr>
  </w:style>
  <w:style w:type="paragraph" w:styleId="2">
    <w:name w:val="heading 1"/>
    <w:basedOn w:val="1"/>
    <w:next w:val="3"/>
    <w:link w:val="8"/>
    <w:qFormat/>
    <w:uiPriority w:val="99"/>
    <w:pPr>
      <w:keepNext/>
      <w:spacing w:after="60"/>
      <w:outlineLvl w:val="0"/>
    </w:pPr>
    <w:rPr>
      <w:rFonts w:ascii="Helvetica" w:hAnsi="Helvetica" w:eastAsia="Times New Roman" w:cs="Arial"/>
      <w:b/>
      <w:bCs/>
      <w:kern w:val="32"/>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0"/>
    <w:semiHidden/>
    <w:unhideWhenUsed/>
    <w:qFormat/>
    <w:uiPriority w:val="99"/>
  </w:style>
  <w:style w:type="paragraph" w:styleId="4">
    <w:name w:val="header"/>
    <w:basedOn w:val="1"/>
    <w:link w:val="9"/>
    <w:unhideWhenUsed/>
    <w:qFormat/>
    <w:uiPriority w:val="99"/>
    <w:rPr>
      <w:rFonts w:ascii="Arial" w:hAnsi="Arial" w:eastAsia="Times New Roman"/>
      <w:b/>
    </w:rPr>
  </w:style>
  <w:style w:type="paragraph" w:styleId="5">
    <w:name w:val="Normal (Web)"/>
    <w:basedOn w:val="1"/>
    <w:semiHidden/>
    <w:unhideWhenUsed/>
    <w:uiPriority w:val="99"/>
    <w:rPr>
      <w:sz w:val="24"/>
    </w:rPr>
  </w:style>
  <w:style w:type="character" w:customStyle="1" w:styleId="8">
    <w:name w:val="标题 1 字符"/>
    <w:basedOn w:val="7"/>
    <w:link w:val="2"/>
    <w:qFormat/>
    <w:uiPriority w:val="99"/>
    <w:rPr>
      <w:rFonts w:ascii="Helvetica" w:hAnsi="Helvetica" w:eastAsia="Times New Roman" w:cs="Arial"/>
      <w:b/>
      <w:bCs/>
      <w:kern w:val="32"/>
      <w:sz w:val="28"/>
      <w:szCs w:val="28"/>
    </w:rPr>
  </w:style>
  <w:style w:type="character" w:customStyle="1" w:styleId="9">
    <w:name w:val="页眉 字符"/>
    <w:basedOn w:val="7"/>
    <w:link w:val="4"/>
    <w:qFormat/>
    <w:uiPriority w:val="99"/>
    <w:rPr>
      <w:rFonts w:ascii="Arial" w:hAnsi="Arial" w:eastAsia="Times New Roman" w:cs="Times New Roman"/>
      <w:b/>
      <w:kern w:val="0"/>
      <w:sz w:val="24"/>
      <w:szCs w:val="24"/>
    </w:rPr>
  </w:style>
  <w:style w:type="character" w:customStyle="1" w:styleId="10">
    <w:name w:val="正文文本 字符"/>
    <w:basedOn w:val="7"/>
    <w:link w:val="3"/>
    <w:semiHidden/>
    <w:qFormat/>
    <w:uiPriority w:val="99"/>
    <w:rPr>
      <w:rFonts w:ascii="Times New Roman" w:hAnsi="Times New Roman" w:eastAsia="宋体" w:cs="Times New Roman"/>
      <w:kern w:val="0"/>
      <w:sz w:val="24"/>
      <w:szCs w:val="24"/>
    </w:rPr>
  </w:style>
  <w:style w:type="paragraph" w:customStyle="1" w:styleId="11">
    <w:name w:val="List Paragraph1"/>
    <w:basedOn w:val="1"/>
    <w:qFormat/>
    <w:uiPriority w:val="0"/>
    <w:pPr>
      <w:spacing w:before="100" w:beforeLines="0" w:beforeAutospacing="1" w:after="180"/>
      <w:ind w:left="720"/>
      <w:jc w:val="left"/>
    </w:pPr>
    <w:rPr>
      <w:rFonts w:eastAsia="PMingLiU"/>
    </w:rPr>
  </w:style>
  <w:style w:type="paragraph" w:styleId="12">
    <w:name w:val="List Paragraph"/>
    <w:basedOn w:val="1"/>
    <w:qFormat/>
    <w:uiPriority w:val="34"/>
    <w:pPr>
      <w:ind w:firstLine="420" w:firstLineChars="200"/>
    </w:pPr>
  </w:style>
  <w:style w:type="paragraph" w:customStyle="1" w:styleId="13">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
    <w:name w:val="15"/>
    <w:basedOn w:val="7"/>
    <w:qFormat/>
    <w:uiPriority w:val="0"/>
    <w:rPr>
      <w:rFonts w:hint="default" w:ascii="Times New Roman" w:hAnsi="Times New Roman" w:cs="Times New Roman"/>
    </w:rPr>
  </w:style>
  <w:style w:type="paragraph" w:customStyle="1" w:styleId="15">
    <w:name w:val="3GPP_Header"/>
    <w:basedOn w:val="3"/>
    <w:qFormat/>
    <w:uiPriority w:val="0"/>
    <w:pPr>
      <w:spacing w:before="100" w:beforeLines="0" w:beforeAutospacing="1" w:after="240" w:line="273" w:lineRule="auto"/>
      <w:jc w:val="left"/>
    </w:pPr>
    <w:rPr>
      <w:rFonts w:ascii="Arial" w:hAnsi="Arial" w:eastAsia="Calibri" w:cs="Arial"/>
      <w:b/>
      <w:sz w:val="22"/>
      <w:szCs w:val="22"/>
    </w:rPr>
  </w:style>
  <w:style w:type="paragraph" w:customStyle="1" w:styleId="16">
    <w:name w:val="Normal"/>
    <w:qFormat/>
    <w:uiPriority w:val="0"/>
    <w:pPr>
      <w:jc w:val="both"/>
    </w:pPr>
    <w:rPr>
      <w:rFonts w:ascii="CG Times (WN)" w:hAnsi="CG Times (WN)"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1875</Words>
  <Characters>9207</Characters>
  <Lines>65</Lines>
  <Paragraphs>18</Paragraphs>
  <TotalTime>0</TotalTime>
  <ScaleCrop>false</ScaleCrop>
  <LinksUpToDate>false</LinksUpToDate>
  <CharactersWithSpaces>11034</CharactersWithSpaces>
  <Application>WPS Office_11.1.0.12116_F1E327BC-269C-435d-A152-05C5408002CA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2022-08-10T05:35:00Z</dcterms:created>
  <dc:creator>lym</dc:creator>
  <cp:lastModifiedBy>Marshmello</cp:lastModifiedBy>
  <dcterms:modified xsi:type="dcterms:W3CDTF">2022-08-12T08:09:34Z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92D038CD70BC46AE8E399FB4B13D52C8</vt:lpwstr>
  </property>
</Properties>
</file>