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5573D1B" w14:textId="77777777" w:rsidR="008F35D9" w:rsidRPr="009C4A74" w:rsidRDefault="006342FD" w:rsidP="4989BE7F">
      <w:pPr>
        <w:tabs>
          <w:tab w:val="right" w:pos="9216"/>
        </w:tabs>
        <w:spacing w:after="0"/>
        <w:jc w:val="left"/>
        <w:rPr>
          <w:b/>
          <w:bCs/>
          <w:kern w:val="2"/>
          <w:sz w:val="24"/>
          <w:szCs w:val="24"/>
        </w:rPr>
      </w:pPr>
      <w:r w:rsidRPr="009C4A74">
        <w:rPr>
          <w:b/>
          <w:bCs/>
          <w:kern w:val="2"/>
          <w:sz w:val="24"/>
          <w:szCs w:val="24"/>
        </w:rPr>
        <w:t>3GPP TSG RAN WG1 Meeting #</w:t>
      </w:r>
      <w:r w:rsidR="008F35D9" w:rsidRPr="009C4A74">
        <w:rPr>
          <w:b/>
          <w:bCs/>
          <w:kern w:val="2"/>
          <w:sz w:val="24"/>
          <w:szCs w:val="24"/>
        </w:rPr>
        <w:t>110</w:t>
      </w:r>
    </w:p>
    <w:p w14:paraId="242130F3" w14:textId="4C5F6B18" w:rsidR="006D4AAD" w:rsidRPr="009C4A74" w:rsidRDefault="008F35D9" w:rsidP="4989BE7F">
      <w:pPr>
        <w:tabs>
          <w:tab w:val="right" w:pos="9216"/>
        </w:tabs>
        <w:spacing w:after="0"/>
        <w:jc w:val="left"/>
        <w:rPr>
          <w:b/>
          <w:bCs/>
          <w:sz w:val="24"/>
          <w:szCs w:val="24"/>
        </w:rPr>
      </w:pPr>
      <w:r w:rsidRPr="009C4A74">
        <w:rPr>
          <w:b/>
          <w:kern w:val="2"/>
          <w:sz w:val="24"/>
          <w:szCs w:val="24"/>
        </w:rPr>
        <w:t>Toulouse, FR</w:t>
      </w:r>
      <w:r w:rsidR="006342FD" w:rsidRPr="009C4A74">
        <w:rPr>
          <w:b/>
          <w:kern w:val="2"/>
          <w:sz w:val="24"/>
          <w:szCs w:val="24"/>
        </w:rPr>
        <w:tab/>
      </w:r>
      <w:r w:rsidR="006342FD" w:rsidRPr="009C4A74">
        <w:rPr>
          <w:b/>
          <w:bCs/>
          <w:sz w:val="24"/>
          <w:szCs w:val="24"/>
        </w:rPr>
        <w:t>R1-</w:t>
      </w:r>
      <w:r w:rsidR="003A545B" w:rsidRPr="009C4A74">
        <w:rPr>
          <w:b/>
          <w:bCs/>
          <w:sz w:val="24"/>
          <w:szCs w:val="24"/>
        </w:rPr>
        <w:t>2205810</w:t>
      </w:r>
    </w:p>
    <w:p w14:paraId="285F8FC7" w14:textId="7D4D6504" w:rsidR="006D4AAD" w:rsidRPr="009C4A74" w:rsidRDefault="00001423">
      <w:pPr>
        <w:jc w:val="left"/>
        <w:rPr>
          <w:sz w:val="24"/>
          <w:szCs w:val="24"/>
        </w:rPr>
      </w:pPr>
      <w:r w:rsidRPr="009C4A74">
        <w:rPr>
          <w:b/>
          <w:kern w:val="2"/>
          <w:sz w:val="24"/>
          <w:szCs w:val="24"/>
        </w:rPr>
        <w:t>August</w:t>
      </w:r>
      <w:r w:rsidR="006342FD" w:rsidRPr="009C4A74">
        <w:rPr>
          <w:b/>
          <w:kern w:val="2"/>
          <w:sz w:val="24"/>
          <w:szCs w:val="24"/>
        </w:rPr>
        <w:t xml:space="preserve"> </w:t>
      </w:r>
      <w:r w:rsidR="00BC152E" w:rsidRPr="009C4A74">
        <w:rPr>
          <w:b/>
          <w:kern w:val="2"/>
          <w:sz w:val="24"/>
          <w:szCs w:val="24"/>
        </w:rPr>
        <w:t>22</w:t>
      </w:r>
      <w:r w:rsidR="00BC152E" w:rsidRPr="009C4A74">
        <w:rPr>
          <w:b/>
          <w:kern w:val="2"/>
          <w:sz w:val="24"/>
          <w:szCs w:val="24"/>
          <w:vertAlign w:val="superscript"/>
        </w:rPr>
        <w:t>nd</w:t>
      </w:r>
      <w:r w:rsidR="006342FD" w:rsidRPr="009C4A74">
        <w:rPr>
          <w:b/>
          <w:kern w:val="2"/>
          <w:sz w:val="24"/>
          <w:szCs w:val="24"/>
        </w:rPr>
        <w:t xml:space="preserve"> – </w:t>
      </w:r>
      <w:r w:rsidRPr="009C4A74">
        <w:rPr>
          <w:b/>
          <w:kern w:val="2"/>
          <w:sz w:val="24"/>
          <w:szCs w:val="24"/>
        </w:rPr>
        <w:t>August</w:t>
      </w:r>
      <w:r w:rsidR="006342FD" w:rsidRPr="009C4A74">
        <w:rPr>
          <w:b/>
          <w:kern w:val="2"/>
          <w:sz w:val="24"/>
          <w:szCs w:val="24"/>
        </w:rPr>
        <w:t xml:space="preserve"> 2</w:t>
      </w:r>
      <w:r w:rsidRPr="009C4A74">
        <w:rPr>
          <w:b/>
          <w:kern w:val="2"/>
          <w:sz w:val="24"/>
          <w:szCs w:val="24"/>
        </w:rPr>
        <w:t>6</w:t>
      </w:r>
      <w:r w:rsidR="006342FD" w:rsidRPr="009C4A74">
        <w:rPr>
          <w:b/>
          <w:kern w:val="2"/>
          <w:sz w:val="24"/>
          <w:szCs w:val="24"/>
          <w:vertAlign w:val="superscript"/>
        </w:rPr>
        <w:t>th</w:t>
      </w:r>
      <w:r w:rsidR="006342FD" w:rsidRPr="009C4A74">
        <w:rPr>
          <w:b/>
          <w:kern w:val="2"/>
          <w:sz w:val="24"/>
          <w:szCs w:val="24"/>
        </w:rPr>
        <w:t>, 2022</w:t>
      </w:r>
      <w:r w:rsidR="009F3F3F">
        <w:rPr>
          <w:b/>
          <w:kern w:val="2"/>
          <w:sz w:val="24"/>
          <w:szCs w:val="24"/>
        </w:rPr>
        <w:t xml:space="preserve"> </w:t>
      </w:r>
    </w:p>
    <w:p w14:paraId="751B934A" w14:textId="77777777" w:rsidR="006D4AAD" w:rsidRPr="00BD6F27" w:rsidRDefault="006D4AAD">
      <w:pPr>
        <w:pBdr>
          <w:top w:val="single" w:sz="4" w:space="1" w:color="000000"/>
          <w:left w:val="none" w:sz="0" w:space="0" w:color="000000"/>
          <w:bottom w:val="none" w:sz="0" w:space="0" w:color="000000"/>
          <w:right w:val="none" w:sz="0" w:space="0" w:color="000000"/>
        </w:pBdr>
        <w:spacing w:after="0"/>
        <w:jc w:val="left"/>
        <w:rPr>
          <w:b/>
          <w:kern w:val="2"/>
          <w:sz w:val="16"/>
          <w:szCs w:val="16"/>
        </w:rPr>
      </w:pPr>
    </w:p>
    <w:p w14:paraId="3DEE8175" w14:textId="77777777" w:rsidR="006D4AAD" w:rsidRPr="00BD6F27" w:rsidRDefault="006342FD">
      <w:pPr>
        <w:spacing w:after="60"/>
        <w:ind w:left="1555" w:hanging="1555"/>
        <w:jc w:val="left"/>
      </w:pPr>
      <w:r w:rsidRPr="00BD6F27">
        <w:rPr>
          <w:b/>
          <w:kern w:val="2"/>
        </w:rPr>
        <w:t>Agenda Item:</w:t>
      </w:r>
      <w:r w:rsidRPr="00BD6F27">
        <w:rPr>
          <w:b/>
          <w:kern w:val="2"/>
        </w:rPr>
        <w:tab/>
        <w:t>9.3.1</w:t>
      </w:r>
    </w:p>
    <w:p w14:paraId="01E93DD9" w14:textId="27C9791B" w:rsidR="006D4AAD" w:rsidRPr="00BD6F27" w:rsidRDefault="006342FD">
      <w:pPr>
        <w:spacing w:after="60"/>
        <w:ind w:left="1555" w:hanging="1555"/>
        <w:jc w:val="left"/>
      </w:pPr>
      <w:r w:rsidRPr="00BD6F27">
        <w:rPr>
          <w:b/>
          <w:kern w:val="2"/>
        </w:rPr>
        <w:t>Source:</w:t>
      </w:r>
      <w:r w:rsidRPr="00BD6F27">
        <w:rPr>
          <w:b/>
          <w:kern w:val="2"/>
        </w:rPr>
        <w:tab/>
      </w:r>
      <w:r w:rsidR="00921C72">
        <w:rPr>
          <w:b/>
          <w:kern w:val="2"/>
        </w:rPr>
        <w:t>Dell Technologies</w:t>
      </w:r>
    </w:p>
    <w:p w14:paraId="6BF6673A" w14:textId="1ECB0020" w:rsidR="006D4AAD" w:rsidRPr="00BD6F27" w:rsidRDefault="006342FD">
      <w:pPr>
        <w:spacing w:after="60"/>
        <w:ind w:left="1555" w:hanging="1555"/>
        <w:jc w:val="left"/>
      </w:pPr>
      <w:r w:rsidRPr="00BD6F27">
        <w:rPr>
          <w:b/>
          <w:kern w:val="2"/>
        </w:rPr>
        <w:t>Title:</w:t>
      </w:r>
      <w:r w:rsidRPr="00BD6F27">
        <w:rPr>
          <w:b/>
          <w:kern w:val="2"/>
        </w:rPr>
        <w:tab/>
      </w:r>
      <w:r w:rsidR="007F1332">
        <w:rPr>
          <w:b/>
          <w:kern w:val="2"/>
        </w:rPr>
        <w:t>On deployment scenarios and</w:t>
      </w:r>
      <w:r w:rsidRPr="00BD6F27">
        <w:rPr>
          <w:b/>
          <w:kern w:val="2"/>
        </w:rPr>
        <w:t xml:space="preserve"> </w:t>
      </w:r>
      <w:r w:rsidR="007F1332">
        <w:rPr>
          <w:b/>
          <w:kern w:val="2"/>
        </w:rPr>
        <w:t>e</w:t>
      </w:r>
      <w:r w:rsidR="003F4A19" w:rsidRPr="003F4A19">
        <w:rPr>
          <w:b/>
          <w:kern w:val="2"/>
        </w:rPr>
        <w:t xml:space="preserve">valuation </w:t>
      </w:r>
      <w:r w:rsidR="00EB03AF">
        <w:rPr>
          <w:b/>
          <w:kern w:val="2"/>
        </w:rPr>
        <w:t xml:space="preserve">methodology </w:t>
      </w:r>
      <w:r w:rsidR="00DD2525">
        <w:rPr>
          <w:b/>
          <w:kern w:val="2"/>
        </w:rPr>
        <w:t>of</w:t>
      </w:r>
      <w:r w:rsidR="003F4A19" w:rsidRPr="003F4A19">
        <w:rPr>
          <w:b/>
          <w:kern w:val="2"/>
        </w:rPr>
        <w:t xml:space="preserve"> NR </w:t>
      </w:r>
      <w:r w:rsidR="00DD2525">
        <w:rPr>
          <w:b/>
          <w:kern w:val="2"/>
        </w:rPr>
        <w:t xml:space="preserve">full </w:t>
      </w:r>
      <w:r w:rsidR="003F4A19" w:rsidRPr="003F4A19">
        <w:rPr>
          <w:b/>
          <w:kern w:val="2"/>
        </w:rPr>
        <w:t>duplex</w:t>
      </w:r>
    </w:p>
    <w:p w14:paraId="66E2FB28" w14:textId="7A7A11C0" w:rsidR="006D4AAD" w:rsidRPr="00BD6F27" w:rsidRDefault="006342FD">
      <w:pPr>
        <w:spacing w:after="60"/>
        <w:ind w:left="1555" w:hanging="1555"/>
        <w:jc w:val="left"/>
      </w:pPr>
      <w:r w:rsidRPr="00BD6F27">
        <w:rPr>
          <w:b/>
          <w:kern w:val="2"/>
        </w:rPr>
        <w:t>Document for:</w:t>
      </w:r>
      <w:r w:rsidRPr="00BD6F27">
        <w:rPr>
          <w:b/>
          <w:kern w:val="2"/>
        </w:rPr>
        <w:tab/>
        <w:t xml:space="preserve">Discussion </w:t>
      </w:r>
      <w:r w:rsidR="00E75D95">
        <w:rPr>
          <w:b/>
          <w:kern w:val="2"/>
        </w:rPr>
        <w:t>and Decision</w:t>
      </w:r>
    </w:p>
    <w:p w14:paraId="2CCA0B45" w14:textId="2ABBE041" w:rsidR="006D4AAD" w:rsidRPr="00BD6F27" w:rsidRDefault="00F12939">
      <w:pPr>
        <w:pBdr>
          <w:top w:val="none" w:sz="0" w:space="0" w:color="000000"/>
          <w:left w:val="none" w:sz="0" w:space="0" w:color="000000"/>
          <w:bottom w:val="single" w:sz="4" w:space="1" w:color="000000"/>
          <w:right w:val="none" w:sz="0" w:space="0" w:color="000000"/>
        </w:pBdr>
        <w:spacing w:after="0"/>
        <w:jc w:val="left"/>
        <w:rPr>
          <w:b/>
          <w:kern w:val="2"/>
          <w:sz w:val="16"/>
          <w:szCs w:val="16"/>
        </w:rPr>
      </w:pPr>
      <w:r>
        <w:rPr>
          <w:b/>
          <w:kern w:val="2"/>
          <w:sz w:val="16"/>
          <w:szCs w:val="16"/>
        </w:rPr>
        <w:t>s</w:t>
      </w:r>
    </w:p>
    <w:p w14:paraId="5E1F1275" w14:textId="77777777" w:rsidR="006D4AAD" w:rsidRPr="00945F88" w:rsidRDefault="006342FD">
      <w:pPr>
        <w:pStyle w:val="Heading1"/>
        <w:rPr>
          <w:sz w:val="36"/>
          <w:szCs w:val="36"/>
        </w:rPr>
      </w:pPr>
      <w:bookmarkStart w:id="0" w:name="_Ref129681862"/>
      <w:bookmarkStart w:id="1" w:name="_Ref124589705"/>
      <w:r w:rsidRPr="00945F88">
        <w:rPr>
          <w:sz w:val="36"/>
          <w:szCs w:val="36"/>
        </w:rPr>
        <w:t>Introduction</w:t>
      </w:r>
      <w:bookmarkEnd w:id="0"/>
      <w:bookmarkEnd w:id="1"/>
    </w:p>
    <w:p w14:paraId="018BB96C" w14:textId="53F59568" w:rsidR="00F51AC1" w:rsidRDefault="003509A4" w:rsidP="00C114D3">
      <w:pPr>
        <w:rPr>
          <w:lang w:eastAsia="ko-KR"/>
        </w:rPr>
      </w:pPr>
      <w:bookmarkStart w:id="2" w:name="_Ref129681832"/>
      <w:r>
        <w:rPr>
          <w:lang w:eastAsia="ko-KR"/>
        </w:rPr>
        <w:t xml:space="preserve">A study item is approved on </w:t>
      </w:r>
      <w:r w:rsidR="006573B0">
        <w:rPr>
          <w:lang w:eastAsia="ko-KR"/>
        </w:rPr>
        <w:t>evolution</w:t>
      </w:r>
      <w:r>
        <w:rPr>
          <w:lang w:eastAsia="ko-KR"/>
        </w:rPr>
        <w:t xml:space="preserve"> of NR full duplex operation</w:t>
      </w:r>
      <w:r w:rsidR="002C0BF4">
        <w:rPr>
          <w:lang w:eastAsia="ko-KR"/>
        </w:rPr>
        <w:t xml:space="preserve"> </w:t>
      </w:r>
      <w:r w:rsidR="006573B0">
        <w:rPr>
          <w:lang w:eastAsia="ko-KR"/>
        </w:rPr>
        <w:t>during</w:t>
      </w:r>
      <w:r w:rsidR="002C0BF4">
        <w:rPr>
          <w:lang w:eastAsia="ko-KR"/>
        </w:rPr>
        <w:t xml:space="preserve"> RAN#94-e [1]</w:t>
      </w:r>
      <w:r w:rsidR="00491543">
        <w:rPr>
          <w:lang w:eastAsia="ko-KR"/>
        </w:rPr>
        <w:t>, with the following study objectives</w:t>
      </w:r>
      <w:r w:rsidR="002C0BF4">
        <w:rPr>
          <w:lang w:eastAsia="ko-KR"/>
        </w:rPr>
        <w:t>.</w:t>
      </w:r>
    </w:p>
    <w:tbl>
      <w:tblPr>
        <w:tblStyle w:val="TableGrid"/>
        <w:tblW w:w="0" w:type="auto"/>
        <w:tblLook w:val="04A0" w:firstRow="1" w:lastRow="0" w:firstColumn="1" w:lastColumn="0" w:noHBand="0" w:noVBand="1"/>
      </w:tblPr>
      <w:tblGrid>
        <w:gridCol w:w="9304"/>
      </w:tblGrid>
      <w:tr w:rsidR="00C114D3" w14:paraId="54C567F1" w14:textId="77777777" w:rsidTr="004D38FC">
        <w:tc>
          <w:tcPr>
            <w:tcW w:w="9629" w:type="dxa"/>
          </w:tcPr>
          <w:p w14:paraId="25FF4548" w14:textId="77777777" w:rsidR="00C114D3" w:rsidRPr="009134F8" w:rsidRDefault="00C114D3" w:rsidP="004D38FC">
            <w:pPr>
              <w:spacing w:after="180"/>
              <w:ind w:right="-99"/>
              <w:rPr>
                <w:rFonts w:eastAsia="DengXian"/>
                <w:bCs/>
                <w:i/>
                <w:iCs/>
                <w:sz w:val="20"/>
                <w:lang w:eastAsia="ko-KR"/>
              </w:rPr>
            </w:pPr>
            <w:r w:rsidRPr="009134F8">
              <w:rPr>
                <w:rFonts w:eastAsia="DengXian"/>
                <w:bCs/>
                <w:i/>
                <w:iCs/>
                <w:sz w:val="20"/>
                <w:lang w:eastAsia="ko-KR"/>
              </w:rPr>
              <w:t>In this study, the followings are assumed:</w:t>
            </w:r>
          </w:p>
          <w:p w14:paraId="4D11B166" w14:textId="77777777" w:rsidR="00C114D3" w:rsidRPr="001E06AA" w:rsidRDefault="00C114D3" w:rsidP="00C114D3">
            <w:pPr>
              <w:numPr>
                <w:ilvl w:val="0"/>
                <w:numId w:val="11"/>
              </w:numPr>
              <w:suppressAutoHyphens w:val="0"/>
              <w:snapToGrid/>
              <w:spacing w:after="180"/>
              <w:jc w:val="left"/>
              <w:rPr>
                <w:rFonts w:eastAsia="DengXian"/>
                <w:bCs/>
                <w:i/>
                <w:iCs/>
                <w:sz w:val="20"/>
                <w:lang w:eastAsia="ko-KR"/>
              </w:rPr>
            </w:pPr>
            <w:r w:rsidRPr="009134F8">
              <w:rPr>
                <w:bCs/>
                <w:i/>
                <w:iCs/>
                <w:sz w:val="20"/>
                <w:lang w:eastAsia="ko-KR"/>
              </w:rPr>
              <w:t xml:space="preserve">Duplex enhancement at the </w:t>
            </w:r>
            <w:r w:rsidRPr="001E06AA">
              <w:rPr>
                <w:bCs/>
                <w:i/>
                <w:iCs/>
                <w:sz w:val="20"/>
                <w:lang w:eastAsia="ko-KR"/>
              </w:rPr>
              <w:t>gNB side</w:t>
            </w:r>
          </w:p>
          <w:p w14:paraId="3ACF7284" w14:textId="77777777" w:rsidR="00C114D3" w:rsidRPr="001E06AA" w:rsidRDefault="00C114D3" w:rsidP="00C114D3">
            <w:pPr>
              <w:numPr>
                <w:ilvl w:val="0"/>
                <w:numId w:val="11"/>
              </w:numPr>
              <w:suppressAutoHyphens w:val="0"/>
              <w:snapToGrid/>
              <w:spacing w:after="180"/>
              <w:jc w:val="left"/>
              <w:rPr>
                <w:rFonts w:eastAsia="DengXian"/>
                <w:bCs/>
                <w:i/>
                <w:iCs/>
                <w:sz w:val="20"/>
                <w:lang w:eastAsia="ko-KR"/>
              </w:rPr>
            </w:pPr>
            <w:r w:rsidRPr="001E06AA">
              <w:rPr>
                <w:bCs/>
                <w:i/>
                <w:iCs/>
                <w:sz w:val="20"/>
                <w:lang w:eastAsia="ko-KR"/>
              </w:rPr>
              <w:t>Half duplex operation at the UE side</w:t>
            </w:r>
          </w:p>
          <w:p w14:paraId="30CAF2D9" w14:textId="270E3014" w:rsidR="00C114D3" w:rsidRPr="001E06AA" w:rsidRDefault="00C114D3" w:rsidP="009854AD">
            <w:pPr>
              <w:numPr>
                <w:ilvl w:val="0"/>
                <w:numId w:val="11"/>
              </w:numPr>
              <w:suppressAutoHyphens w:val="0"/>
              <w:snapToGrid/>
              <w:spacing w:after="180"/>
              <w:jc w:val="left"/>
              <w:rPr>
                <w:rFonts w:eastAsia="DengXian"/>
                <w:bCs/>
                <w:i/>
                <w:iCs/>
                <w:sz w:val="20"/>
                <w:lang w:eastAsia="ko-KR"/>
              </w:rPr>
            </w:pPr>
            <w:r w:rsidRPr="001E06AA">
              <w:rPr>
                <w:bCs/>
                <w:i/>
                <w:iCs/>
                <w:sz w:val="20"/>
                <w:lang w:eastAsia="ko-KR"/>
              </w:rPr>
              <w:t>No restriction on frequency ranges</w:t>
            </w:r>
          </w:p>
          <w:p w14:paraId="74D34A2B" w14:textId="77777777" w:rsidR="00C114D3" w:rsidRPr="001E06AA" w:rsidRDefault="00C114D3" w:rsidP="004D38FC">
            <w:pPr>
              <w:spacing w:after="180"/>
              <w:ind w:right="-99"/>
              <w:rPr>
                <w:rFonts w:eastAsia="DengXian"/>
                <w:bCs/>
                <w:i/>
                <w:iCs/>
                <w:sz w:val="20"/>
                <w:lang w:eastAsia="ko-KR"/>
              </w:rPr>
            </w:pPr>
            <w:r w:rsidRPr="001E06AA">
              <w:rPr>
                <w:rFonts w:eastAsia="DengXian" w:hint="eastAsia"/>
                <w:bCs/>
                <w:i/>
                <w:iCs/>
                <w:sz w:val="20"/>
                <w:lang w:eastAsia="ko-KR"/>
              </w:rPr>
              <w:t xml:space="preserve">The detailed objectives are as </w:t>
            </w:r>
            <w:r w:rsidRPr="001E06AA">
              <w:rPr>
                <w:rFonts w:eastAsia="DengXian"/>
                <w:bCs/>
                <w:i/>
                <w:iCs/>
                <w:sz w:val="20"/>
                <w:lang w:eastAsia="ko-KR"/>
              </w:rPr>
              <w:t>follows</w:t>
            </w:r>
            <w:r w:rsidRPr="001E06AA">
              <w:rPr>
                <w:rFonts w:eastAsia="DengXian" w:hint="eastAsia"/>
                <w:bCs/>
                <w:i/>
                <w:iCs/>
                <w:sz w:val="20"/>
                <w:lang w:eastAsia="ko-KR"/>
              </w:rPr>
              <w:t>:</w:t>
            </w:r>
          </w:p>
          <w:p w14:paraId="68D13D91" w14:textId="77777777" w:rsidR="00C114D3" w:rsidRPr="006A30E7" w:rsidRDefault="00C114D3" w:rsidP="00C114D3">
            <w:pPr>
              <w:numPr>
                <w:ilvl w:val="0"/>
                <w:numId w:val="9"/>
              </w:numPr>
              <w:suppressAutoHyphens w:val="0"/>
              <w:snapToGrid/>
              <w:spacing w:after="180"/>
              <w:jc w:val="left"/>
              <w:rPr>
                <w:rFonts w:eastAsia="DengXian"/>
                <w:b/>
                <w:bCs/>
                <w:i/>
                <w:iCs/>
                <w:sz w:val="20"/>
                <w:highlight w:val="yellow"/>
                <w:lang w:eastAsia="en-GB"/>
              </w:rPr>
            </w:pPr>
            <w:r w:rsidRPr="006A30E7">
              <w:rPr>
                <w:rFonts w:eastAsia="DengXian"/>
                <w:b/>
                <w:bCs/>
                <w:i/>
                <w:iCs/>
                <w:sz w:val="20"/>
                <w:highlight w:val="yellow"/>
                <w:lang w:eastAsia="en-GB"/>
              </w:rPr>
              <w:t>Identify applicable and relevant deployment scenarios (RAN1).</w:t>
            </w:r>
          </w:p>
          <w:p w14:paraId="3E33DDE2" w14:textId="77777777" w:rsidR="00C114D3" w:rsidRPr="006A30E7" w:rsidRDefault="00C114D3" w:rsidP="00C114D3">
            <w:pPr>
              <w:numPr>
                <w:ilvl w:val="0"/>
                <w:numId w:val="9"/>
              </w:numPr>
              <w:suppressAutoHyphens w:val="0"/>
              <w:snapToGrid/>
              <w:spacing w:after="180"/>
              <w:jc w:val="left"/>
              <w:rPr>
                <w:rFonts w:eastAsia="DengXian"/>
                <w:b/>
                <w:bCs/>
                <w:i/>
                <w:iCs/>
                <w:sz w:val="20"/>
                <w:highlight w:val="yellow"/>
                <w:lang w:eastAsia="en-GB"/>
              </w:rPr>
            </w:pPr>
            <w:r w:rsidRPr="006A30E7">
              <w:rPr>
                <w:rFonts w:eastAsia="DengXian"/>
                <w:b/>
                <w:bCs/>
                <w:i/>
                <w:iCs/>
                <w:sz w:val="20"/>
                <w:highlight w:val="yellow"/>
                <w:lang w:eastAsia="en-GB"/>
              </w:rPr>
              <w:t>Develop evaluation methodology for duplex enhancement (RAN1).</w:t>
            </w:r>
          </w:p>
          <w:p w14:paraId="66D40AC1" w14:textId="77777777" w:rsidR="00C114D3" w:rsidRPr="001E06AA" w:rsidRDefault="00C114D3" w:rsidP="00C114D3">
            <w:pPr>
              <w:numPr>
                <w:ilvl w:val="0"/>
                <w:numId w:val="9"/>
              </w:numPr>
              <w:suppressAutoHyphens w:val="0"/>
              <w:snapToGrid/>
              <w:spacing w:after="180"/>
              <w:jc w:val="left"/>
              <w:rPr>
                <w:rFonts w:eastAsia="DengXian"/>
                <w:i/>
                <w:iCs/>
                <w:sz w:val="20"/>
                <w:lang w:eastAsia="en-GB"/>
              </w:rPr>
            </w:pPr>
            <w:r w:rsidRPr="001E06AA">
              <w:rPr>
                <w:rFonts w:hint="eastAsia"/>
                <w:i/>
                <w:iCs/>
                <w:sz w:val="20"/>
                <w:lang w:eastAsia="ko-KR"/>
              </w:rPr>
              <w:t xml:space="preserve">Study </w:t>
            </w:r>
            <w:r w:rsidRPr="001E06AA">
              <w:rPr>
                <w:i/>
                <w:iCs/>
                <w:sz w:val="20"/>
                <w:lang w:eastAsia="ko-KR"/>
              </w:rPr>
              <w:t xml:space="preserve">the subband non-overlapping full duplex and </w:t>
            </w:r>
            <w:bookmarkStart w:id="3" w:name="_Hlk89796625"/>
            <w:r w:rsidRPr="001E06AA">
              <w:rPr>
                <w:i/>
                <w:iCs/>
                <w:sz w:val="20"/>
                <w:lang w:eastAsia="ko-KR"/>
              </w:rPr>
              <w:t xml:space="preserve">potential enhancements on </w:t>
            </w:r>
            <w:r w:rsidRPr="001E06AA">
              <w:rPr>
                <w:bCs/>
                <w:i/>
                <w:iCs/>
                <w:sz w:val="20"/>
                <w:lang w:eastAsia="ko-KR"/>
              </w:rPr>
              <w:t>dynamic/flexible TDD</w:t>
            </w:r>
            <w:bookmarkEnd w:id="3"/>
            <w:r w:rsidRPr="001E06AA">
              <w:rPr>
                <w:bCs/>
                <w:i/>
                <w:iCs/>
                <w:sz w:val="20"/>
                <w:lang w:eastAsia="ko-KR"/>
              </w:rPr>
              <w:t xml:space="preserve"> (RAN1, RAN4).</w:t>
            </w:r>
          </w:p>
          <w:p w14:paraId="6FAD7E47" w14:textId="77777777" w:rsidR="00C114D3" w:rsidRPr="001E06AA" w:rsidRDefault="00C114D3" w:rsidP="00E57637">
            <w:pPr>
              <w:numPr>
                <w:ilvl w:val="0"/>
                <w:numId w:val="13"/>
              </w:numPr>
              <w:suppressAutoHyphens w:val="0"/>
              <w:snapToGrid/>
              <w:spacing w:after="180"/>
              <w:contextualSpacing/>
              <w:jc w:val="left"/>
              <w:rPr>
                <w:bCs/>
                <w:i/>
                <w:iCs/>
                <w:sz w:val="20"/>
                <w:lang w:eastAsia="ko-KR"/>
              </w:rPr>
            </w:pPr>
            <w:r w:rsidRPr="001E06AA">
              <w:rPr>
                <w:bCs/>
                <w:i/>
                <w:iCs/>
                <w:sz w:val="20"/>
                <w:lang w:eastAsia="ko-KR"/>
              </w:rPr>
              <w:t>Identify possible schemes and evaluate their feasibility and performances (RAN1).</w:t>
            </w:r>
          </w:p>
          <w:p w14:paraId="6DD266C5" w14:textId="77777777" w:rsidR="00C114D3" w:rsidRPr="001E06AA" w:rsidRDefault="00C114D3" w:rsidP="00E57637">
            <w:pPr>
              <w:numPr>
                <w:ilvl w:val="0"/>
                <w:numId w:val="14"/>
              </w:numPr>
              <w:suppressAutoHyphens w:val="0"/>
              <w:snapToGrid/>
              <w:spacing w:after="180"/>
              <w:contextualSpacing/>
              <w:jc w:val="left"/>
              <w:rPr>
                <w:bCs/>
                <w:i/>
                <w:iCs/>
                <w:sz w:val="20"/>
                <w:lang w:eastAsia="ko-KR"/>
              </w:rPr>
            </w:pPr>
            <w:r w:rsidRPr="001E06AA">
              <w:rPr>
                <w:bCs/>
                <w:i/>
                <w:iCs/>
                <w:sz w:val="20"/>
                <w:lang w:eastAsia="ko-KR"/>
              </w:rPr>
              <w:t xml:space="preserve">Study inter-gNB and inter-UE CLI handling and identify solutions to manage them (RAN1). </w:t>
            </w:r>
          </w:p>
          <w:p w14:paraId="3BBD92DF" w14:textId="77777777" w:rsidR="00C114D3" w:rsidRPr="001E06AA" w:rsidRDefault="00C114D3" w:rsidP="00E57637">
            <w:pPr>
              <w:numPr>
                <w:ilvl w:val="1"/>
                <w:numId w:val="12"/>
              </w:numPr>
              <w:suppressAutoHyphens w:val="0"/>
              <w:snapToGrid/>
              <w:spacing w:after="180"/>
              <w:contextualSpacing/>
              <w:jc w:val="left"/>
              <w:rPr>
                <w:bCs/>
                <w:i/>
                <w:iCs/>
                <w:sz w:val="20"/>
                <w:lang w:eastAsia="ko-KR"/>
              </w:rPr>
            </w:pPr>
            <w:r w:rsidRPr="001E06AA">
              <w:rPr>
                <w:bCs/>
                <w:i/>
                <w:iCs/>
                <w:sz w:val="20"/>
                <w:lang w:eastAsia="ko-KR"/>
              </w:rPr>
              <w:t xml:space="preserve">Consider intra-subband CLI and inter-subband CLI in case of the </w:t>
            </w:r>
            <w:r w:rsidRPr="001E06AA">
              <w:rPr>
                <w:i/>
                <w:iCs/>
                <w:sz w:val="20"/>
                <w:lang w:eastAsia="ko-KR"/>
              </w:rPr>
              <w:t>subband non-overlapping full duplex</w:t>
            </w:r>
            <w:r w:rsidRPr="001E06AA">
              <w:rPr>
                <w:bCs/>
                <w:i/>
                <w:iCs/>
                <w:sz w:val="20"/>
                <w:lang w:eastAsia="ko-KR"/>
              </w:rPr>
              <w:t>.</w:t>
            </w:r>
          </w:p>
          <w:p w14:paraId="76FF5DFE" w14:textId="77777777" w:rsidR="007E42FA" w:rsidRPr="001E06AA" w:rsidRDefault="007E42FA" w:rsidP="007E42FA">
            <w:pPr>
              <w:suppressAutoHyphens w:val="0"/>
              <w:snapToGrid/>
              <w:spacing w:after="180"/>
              <w:ind w:left="1520"/>
              <w:contextualSpacing/>
              <w:jc w:val="left"/>
              <w:rPr>
                <w:bCs/>
                <w:i/>
                <w:iCs/>
                <w:sz w:val="20"/>
                <w:lang w:eastAsia="ko-KR"/>
              </w:rPr>
            </w:pPr>
          </w:p>
          <w:p w14:paraId="72B83FDD" w14:textId="77777777" w:rsidR="00C114D3" w:rsidRPr="001E06AA" w:rsidRDefault="00C114D3" w:rsidP="00E57637">
            <w:pPr>
              <w:numPr>
                <w:ilvl w:val="0"/>
                <w:numId w:val="15"/>
              </w:numPr>
              <w:suppressAutoHyphens w:val="0"/>
              <w:snapToGrid/>
              <w:spacing w:after="180"/>
              <w:contextualSpacing/>
              <w:jc w:val="left"/>
              <w:rPr>
                <w:bCs/>
                <w:i/>
                <w:iCs/>
                <w:sz w:val="20"/>
                <w:lang w:eastAsia="ko-KR"/>
              </w:rPr>
            </w:pPr>
            <w:r w:rsidRPr="001E06AA">
              <w:rPr>
                <w:bCs/>
                <w:i/>
                <w:iCs/>
                <w:sz w:val="20"/>
                <w:lang w:eastAsia="ko-KR"/>
              </w:rPr>
              <w:t>Study the performance of the identified schemes as well as the impact on legacy operation assuming their co-existence in co-channel and adjacent channels (RAN1).</w:t>
            </w:r>
          </w:p>
          <w:p w14:paraId="27850A7A" w14:textId="77777777" w:rsidR="003731DD" w:rsidRPr="001E06AA" w:rsidRDefault="003731DD" w:rsidP="003731DD">
            <w:pPr>
              <w:suppressAutoHyphens w:val="0"/>
              <w:snapToGrid/>
              <w:spacing w:after="180"/>
              <w:ind w:left="1080"/>
              <w:contextualSpacing/>
              <w:jc w:val="left"/>
              <w:rPr>
                <w:bCs/>
                <w:i/>
                <w:iCs/>
                <w:sz w:val="20"/>
                <w:lang w:eastAsia="ko-KR"/>
              </w:rPr>
            </w:pPr>
          </w:p>
          <w:p w14:paraId="2176ECBC" w14:textId="77777777" w:rsidR="00C114D3" w:rsidRPr="001E06AA" w:rsidRDefault="00C114D3" w:rsidP="00E57637">
            <w:pPr>
              <w:numPr>
                <w:ilvl w:val="0"/>
                <w:numId w:val="16"/>
              </w:numPr>
              <w:suppressAutoHyphens w:val="0"/>
              <w:snapToGrid/>
              <w:spacing w:after="180"/>
              <w:contextualSpacing/>
              <w:jc w:val="left"/>
              <w:rPr>
                <w:bCs/>
                <w:i/>
                <w:iCs/>
                <w:sz w:val="20"/>
                <w:lang w:eastAsia="ko-KR"/>
              </w:rPr>
            </w:pPr>
            <w:r w:rsidRPr="001E06AA">
              <w:rPr>
                <w:bCs/>
                <w:i/>
                <w:iCs/>
                <w:sz w:val="20"/>
                <w:lang w:eastAsia="ko-KR"/>
              </w:rPr>
              <w:t>Study the feasibility of and impact on RF requirements considering adjacent-channel co-existence with the legacy operation (RAN4).</w:t>
            </w:r>
          </w:p>
          <w:p w14:paraId="03BD49E7" w14:textId="77777777" w:rsidR="003731DD" w:rsidRPr="001E06AA" w:rsidRDefault="003731DD" w:rsidP="003731DD">
            <w:pPr>
              <w:suppressAutoHyphens w:val="0"/>
              <w:snapToGrid/>
              <w:spacing w:after="180"/>
              <w:ind w:left="1080"/>
              <w:contextualSpacing/>
              <w:jc w:val="left"/>
              <w:rPr>
                <w:bCs/>
                <w:i/>
                <w:iCs/>
                <w:sz w:val="20"/>
                <w:lang w:eastAsia="ko-KR"/>
              </w:rPr>
            </w:pPr>
          </w:p>
          <w:p w14:paraId="6A64AE0E" w14:textId="77777777" w:rsidR="00C114D3" w:rsidRPr="001E06AA" w:rsidRDefault="00C114D3" w:rsidP="00E57637">
            <w:pPr>
              <w:numPr>
                <w:ilvl w:val="0"/>
                <w:numId w:val="17"/>
              </w:numPr>
              <w:suppressAutoHyphens w:val="0"/>
              <w:snapToGrid/>
              <w:spacing w:after="180"/>
              <w:contextualSpacing/>
              <w:jc w:val="left"/>
              <w:rPr>
                <w:bCs/>
                <w:i/>
                <w:iCs/>
                <w:sz w:val="20"/>
                <w:lang w:eastAsia="ko-KR"/>
              </w:rPr>
            </w:pPr>
            <w:r w:rsidRPr="001E06AA">
              <w:rPr>
                <w:bCs/>
                <w:i/>
                <w:iCs/>
                <w:sz w:val="20"/>
                <w:lang w:eastAsia="ko-KR"/>
              </w:rPr>
              <w:t>Study the feasibility of and impact on RF requirements considering the self-interference, the inter-subband CLI, and the inter-operator CLI at gNB and the inter-subband CLI and inter-operator CLI at UE (RAN4).</w:t>
            </w:r>
          </w:p>
          <w:p w14:paraId="73CF41E3" w14:textId="77777777" w:rsidR="007E42FA" w:rsidRPr="001E06AA" w:rsidRDefault="007E42FA" w:rsidP="007E42FA">
            <w:pPr>
              <w:suppressAutoHyphens w:val="0"/>
              <w:snapToGrid/>
              <w:spacing w:after="180"/>
              <w:ind w:left="1080"/>
              <w:contextualSpacing/>
              <w:jc w:val="left"/>
              <w:rPr>
                <w:bCs/>
                <w:i/>
                <w:iCs/>
                <w:sz w:val="20"/>
                <w:lang w:eastAsia="ko-KR"/>
              </w:rPr>
            </w:pPr>
          </w:p>
          <w:p w14:paraId="33762D0C" w14:textId="77777777" w:rsidR="00C114D3" w:rsidRPr="009134F8" w:rsidRDefault="00C114D3" w:rsidP="00E57637">
            <w:pPr>
              <w:numPr>
                <w:ilvl w:val="0"/>
                <w:numId w:val="18"/>
              </w:numPr>
              <w:suppressAutoHyphens w:val="0"/>
              <w:snapToGrid/>
              <w:spacing w:after="180"/>
              <w:contextualSpacing/>
              <w:jc w:val="left"/>
              <w:rPr>
                <w:bCs/>
                <w:i/>
                <w:iCs/>
                <w:sz w:val="20"/>
                <w:lang w:eastAsia="ko-KR"/>
              </w:rPr>
            </w:pPr>
            <w:r w:rsidRPr="001E06AA">
              <w:rPr>
                <w:bCs/>
                <w:i/>
                <w:iCs/>
                <w:sz w:val="20"/>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1E06AA">
              <w:rPr>
                <w:bCs/>
                <w:i/>
                <w:iCs/>
                <w:sz w:val="20"/>
                <w:lang w:eastAsia="ko-KR"/>
              </w:rPr>
              <w:t>filtering</w:t>
            </w:r>
            <w:proofErr w:type="gramEnd"/>
            <w:r w:rsidRPr="001E06AA">
              <w:rPr>
                <w:bCs/>
                <w:i/>
                <w:iCs/>
                <w:sz w:val="20"/>
                <w:lang w:eastAsia="ko-KR"/>
              </w:rPr>
              <w:t xml:space="preserve"> and digital interfe</w:t>
            </w:r>
            <w:r w:rsidRPr="009134F8">
              <w:rPr>
                <w:bCs/>
                <w:i/>
                <w:iCs/>
                <w:sz w:val="20"/>
                <w:lang w:eastAsia="ko-KR"/>
              </w:rPr>
              <w:t>rence suppression.</w:t>
            </w:r>
          </w:p>
          <w:p w14:paraId="651CB3C8" w14:textId="77777777" w:rsidR="007E42FA" w:rsidRPr="009134F8" w:rsidRDefault="007E42FA" w:rsidP="007E42FA">
            <w:pPr>
              <w:suppressAutoHyphens w:val="0"/>
              <w:snapToGrid/>
              <w:spacing w:after="180"/>
              <w:ind w:left="1080"/>
              <w:contextualSpacing/>
              <w:jc w:val="left"/>
              <w:rPr>
                <w:bCs/>
                <w:i/>
                <w:iCs/>
                <w:sz w:val="20"/>
                <w:lang w:eastAsia="ko-KR"/>
              </w:rPr>
            </w:pPr>
          </w:p>
          <w:p w14:paraId="57AAF6A8" w14:textId="77777777" w:rsidR="00C114D3" w:rsidRPr="00E70AB6" w:rsidRDefault="00C114D3" w:rsidP="00E57637">
            <w:pPr>
              <w:numPr>
                <w:ilvl w:val="0"/>
                <w:numId w:val="19"/>
              </w:numPr>
              <w:suppressAutoHyphens w:val="0"/>
              <w:snapToGrid/>
              <w:spacing w:after="180"/>
              <w:contextualSpacing/>
              <w:jc w:val="left"/>
              <w:rPr>
                <w:rFonts w:eastAsia="DengXian"/>
                <w:sz w:val="20"/>
                <w:lang w:eastAsia="en-GB"/>
              </w:rPr>
            </w:pPr>
            <w:r w:rsidRPr="009134F8">
              <w:rPr>
                <w:rFonts w:eastAsia="DengXian"/>
                <w:i/>
                <w:iCs/>
                <w:sz w:val="20"/>
                <w:lang w:eastAsia="en-GB"/>
              </w:rPr>
              <w:t xml:space="preserve">Summarize the regulatory aspects that </w:t>
            </w:r>
            <w:proofErr w:type="gramStart"/>
            <w:r w:rsidRPr="009134F8">
              <w:rPr>
                <w:rFonts w:eastAsia="DengXian"/>
                <w:i/>
                <w:iCs/>
                <w:sz w:val="20"/>
                <w:lang w:eastAsia="en-GB"/>
              </w:rPr>
              <w:t>have to</w:t>
            </w:r>
            <w:proofErr w:type="gramEnd"/>
            <w:r w:rsidRPr="009134F8">
              <w:rPr>
                <w:rFonts w:eastAsia="DengXian"/>
                <w:i/>
                <w:iCs/>
                <w:sz w:val="20"/>
                <w:lang w:eastAsia="en-GB"/>
              </w:rPr>
              <w:t xml:space="preserve"> be considered for deploying the identified duplex enhancements in TDD unpaired spectrum (RAN4).</w:t>
            </w:r>
          </w:p>
        </w:tc>
      </w:tr>
    </w:tbl>
    <w:p w14:paraId="04FBB4B3" w14:textId="77777777" w:rsidR="00C114D3" w:rsidRDefault="00C114D3"/>
    <w:p w14:paraId="536938F6" w14:textId="105206B7" w:rsidR="006B1CEC" w:rsidRDefault="006B1CEC">
      <w:r>
        <w:t xml:space="preserve">According to the description of the </w:t>
      </w:r>
      <w:r w:rsidR="00CC0BF6">
        <w:t xml:space="preserve">approved </w:t>
      </w:r>
      <w:r>
        <w:t>SID,</w:t>
      </w:r>
      <w:r w:rsidR="00CC0BF6">
        <w:t xml:space="preserve"> </w:t>
      </w:r>
      <w:r w:rsidR="007B4299">
        <w:t xml:space="preserve">the </w:t>
      </w:r>
      <w:r w:rsidR="009362A2">
        <w:t>evaluation</w:t>
      </w:r>
      <w:r w:rsidR="007B4299">
        <w:t xml:space="preserve"> methodology, deployment scenarios, and</w:t>
      </w:r>
      <w:r w:rsidR="009362A2">
        <w:t xml:space="preserve"> potential enhancements </w:t>
      </w:r>
      <w:r w:rsidR="007B4299">
        <w:t xml:space="preserve">of </w:t>
      </w:r>
      <w:r w:rsidR="00251986">
        <w:t xml:space="preserve">non-overlapping </w:t>
      </w:r>
      <w:r w:rsidR="007B4299">
        <w:t>sub-</w:t>
      </w:r>
      <w:r w:rsidR="00B542BC">
        <w:t>b</w:t>
      </w:r>
      <w:r w:rsidR="007B4299">
        <w:t xml:space="preserve">and </w:t>
      </w:r>
      <w:r w:rsidR="00B542BC">
        <w:t>full duplex</w:t>
      </w:r>
      <w:r w:rsidR="00B924DE">
        <w:t xml:space="preserve"> (SBFD)</w:t>
      </w:r>
      <w:r w:rsidR="00B542BC">
        <w:t xml:space="preserve"> </w:t>
      </w:r>
      <w:r w:rsidR="007B4299">
        <w:t xml:space="preserve">in dynamic TDD systems should be studied. In this contribution, we present our views </w:t>
      </w:r>
      <w:r w:rsidR="00B542BC">
        <w:t xml:space="preserve">on the </w:t>
      </w:r>
      <w:r w:rsidR="00AB71FF">
        <w:t xml:space="preserve">common SBFD </w:t>
      </w:r>
      <w:r w:rsidR="0059609A">
        <w:t xml:space="preserve">deployment scenarios and </w:t>
      </w:r>
      <w:r w:rsidR="00AB71FF">
        <w:t xml:space="preserve">evaluation methodology for obtaining </w:t>
      </w:r>
      <w:r w:rsidR="00AF3649">
        <w:t xml:space="preserve">consistent results </w:t>
      </w:r>
      <w:r w:rsidR="00A95EBB">
        <w:t>across companies</w:t>
      </w:r>
      <w:r w:rsidR="00AF3649">
        <w:t xml:space="preserve">. </w:t>
      </w:r>
      <w:r w:rsidR="00AB71FF">
        <w:t xml:space="preserve"> </w:t>
      </w:r>
    </w:p>
    <w:p w14:paraId="61354935" w14:textId="77777777" w:rsidR="006E6521" w:rsidRDefault="006E6521" w:rsidP="0023450F">
      <w:pPr>
        <w:pBdr>
          <w:bottom w:val="single" w:sz="6" w:space="5" w:color="auto"/>
        </w:pBdr>
      </w:pPr>
    </w:p>
    <w:p w14:paraId="59031261" w14:textId="70A85F6B" w:rsidR="00CF6E6E" w:rsidRPr="002D478D" w:rsidRDefault="003B495C" w:rsidP="002D478D">
      <w:pPr>
        <w:pStyle w:val="Heading1"/>
        <w:rPr>
          <w:sz w:val="36"/>
          <w:szCs w:val="36"/>
        </w:rPr>
      </w:pPr>
      <w:r w:rsidRPr="00945F88">
        <w:rPr>
          <w:sz w:val="36"/>
          <w:szCs w:val="36"/>
        </w:rPr>
        <w:t>Deployment Scenarios</w:t>
      </w:r>
    </w:p>
    <w:p w14:paraId="1C6D52A9" w14:textId="7ADFD023" w:rsidR="00CF6E6E" w:rsidRDefault="0023373D" w:rsidP="00D44628">
      <w:pPr>
        <w:keepNext/>
        <w:rPr>
          <w:color w:val="000000" w:themeColor="text1"/>
        </w:rPr>
      </w:pPr>
      <w:r>
        <w:rPr>
          <w:color w:val="000000" w:themeColor="text1"/>
        </w:rPr>
        <w:t xml:space="preserve">Sub-band full duplex (SBFD) is a special addition </w:t>
      </w:r>
      <w:r w:rsidR="00EA2936">
        <w:rPr>
          <w:color w:val="000000" w:themeColor="text1"/>
        </w:rPr>
        <w:t>of</w:t>
      </w:r>
      <w:r>
        <w:rPr>
          <w:color w:val="000000" w:themeColor="text1"/>
        </w:rPr>
        <w:t xml:space="preserve"> dynamic TDD systems</w:t>
      </w:r>
      <w:r w:rsidR="00EA2936">
        <w:rPr>
          <w:color w:val="000000" w:themeColor="text1"/>
        </w:rPr>
        <w:t xml:space="preserve">, where gNBs dynamically </w:t>
      </w:r>
      <w:r w:rsidR="00946998">
        <w:rPr>
          <w:color w:val="000000" w:themeColor="text1"/>
        </w:rPr>
        <w:t>adapt</w:t>
      </w:r>
      <w:r w:rsidR="00EA2936">
        <w:rPr>
          <w:color w:val="000000" w:themeColor="text1"/>
        </w:rPr>
        <w:t xml:space="preserve"> </w:t>
      </w:r>
      <w:r w:rsidR="00946998">
        <w:rPr>
          <w:color w:val="000000" w:themeColor="text1"/>
        </w:rPr>
        <w:t xml:space="preserve">the </w:t>
      </w:r>
      <w:r w:rsidR="00B91286">
        <w:rPr>
          <w:color w:val="000000" w:themeColor="text1"/>
        </w:rPr>
        <w:t xml:space="preserve">timing and frequency resources to varying downlink and uplink traffic arrivals. </w:t>
      </w:r>
      <w:r w:rsidR="00BD232B">
        <w:rPr>
          <w:color w:val="000000" w:themeColor="text1"/>
        </w:rPr>
        <w:t xml:space="preserve">Compared to dynamic TDD, </w:t>
      </w:r>
      <w:r w:rsidR="003F638D">
        <w:rPr>
          <w:color w:val="000000" w:themeColor="text1"/>
        </w:rPr>
        <w:t xml:space="preserve">NR </w:t>
      </w:r>
      <w:r w:rsidR="00DA32E4">
        <w:rPr>
          <w:color w:val="000000" w:themeColor="text1"/>
        </w:rPr>
        <w:t>SBFD</w:t>
      </w:r>
      <w:r w:rsidR="003F638D">
        <w:rPr>
          <w:color w:val="000000" w:themeColor="text1"/>
        </w:rPr>
        <w:t xml:space="preserve"> offers more </w:t>
      </w:r>
      <w:r w:rsidR="004321F5">
        <w:rPr>
          <w:color w:val="000000" w:themeColor="text1"/>
        </w:rPr>
        <w:t xml:space="preserve">transmission opportunities, over part of the available bandwidth, </w:t>
      </w:r>
      <w:r w:rsidR="00D64843">
        <w:rPr>
          <w:color w:val="000000" w:themeColor="text1"/>
        </w:rPr>
        <w:t xml:space="preserve">for uplink transmissions within a TDD downlink slot or frame, and </w:t>
      </w:r>
      <w:r w:rsidR="003322B0">
        <w:rPr>
          <w:color w:val="000000" w:themeColor="text1"/>
        </w:rPr>
        <w:t>vice versa</w:t>
      </w:r>
      <w:r w:rsidR="00D64843">
        <w:rPr>
          <w:color w:val="000000" w:themeColor="text1"/>
        </w:rPr>
        <w:t xml:space="preserve">. </w:t>
      </w:r>
      <w:r w:rsidR="003322B0">
        <w:rPr>
          <w:color w:val="000000" w:themeColor="text1"/>
        </w:rPr>
        <w:t xml:space="preserve">Therefore, SBFD </w:t>
      </w:r>
      <w:r w:rsidR="00C6688E">
        <w:rPr>
          <w:color w:val="000000" w:themeColor="text1"/>
        </w:rPr>
        <w:t xml:space="preserve">enhances </w:t>
      </w:r>
      <w:r w:rsidR="00647EB8">
        <w:rPr>
          <w:color w:val="000000" w:themeColor="text1"/>
        </w:rPr>
        <w:t xml:space="preserve">the </w:t>
      </w:r>
      <w:r w:rsidR="00C6688E">
        <w:rPr>
          <w:color w:val="000000" w:themeColor="text1"/>
        </w:rPr>
        <w:t>dynamic TDD buffering latency</w:t>
      </w:r>
      <w:r w:rsidR="008A6631">
        <w:rPr>
          <w:color w:val="000000" w:themeColor="text1"/>
        </w:rPr>
        <w:t xml:space="preserve"> (i.e., due to </w:t>
      </w:r>
      <w:r w:rsidR="00AC3827">
        <w:rPr>
          <w:color w:val="000000" w:themeColor="text1"/>
        </w:rPr>
        <w:t xml:space="preserve">the </w:t>
      </w:r>
      <w:r w:rsidR="00A34638">
        <w:rPr>
          <w:color w:val="000000" w:themeColor="text1"/>
        </w:rPr>
        <w:t>exclusive</w:t>
      </w:r>
      <w:r w:rsidR="00E820F5">
        <w:rPr>
          <w:color w:val="000000" w:themeColor="text1"/>
        </w:rPr>
        <w:t xml:space="preserve"> transmission direction at a time</w:t>
      </w:r>
      <w:r w:rsidR="008A6631">
        <w:rPr>
          <w:color w:val="000000" w:themeColor="text1"/>
        </w:rPr>
        <w:t>)</w:t>
      </w:r>
      <w:r w:rsidR="00C6688E">
        <w:rPr>
          <w:color w:val="000000" w:themeColor="text1"/>
        </w:rPr>
        <w:t xml:space="preserve">, and particularly, </w:t>
      </w:r>
      <w:r w:rsidR="00573B8B">
        <w:rPr>
          <w:color w:val="000000" w:themeColor="text1"/>
        </w:rPr>
        <w:t xml:space="preserve">it optimizes </w:t>
      </w:r>
      <w:r w:rsidR="00C6688E">
        <w:rPr>
          <w:color w:val="000000" w:themeColor="text1"/>
        </w:rPr>
        <w:t xml:space="preserve">the corresponding uplink </w:t>
      </w:r>
      <w:r w:rsidR="00573B8B">
        <w:rPr>
          <w:color w:val="000000" w:themeColor="text1"/>
        </w:rPr>
        <w:t xml:space="preserve">coverage and </w:t>
      </w:r>
      <w:r w:rsidR="00824005">
        <w:rPr>
          <w:color w:val="000000" w:themeColor="text1"/>
        </w:rPr>
        <w:t>performance.</w:t>
      </w:r>
      <w:r w:rsidR="00B115A2">
        <w:rPr>
          <w:color w:val="000000" w:themeColor="text1"/>
        </w:rPr>
        <w:t xml:space="preserve"> However, as depicted by Fig. 1,</w:t>
      </w:r>
      <w:r w:rsidR="006020E9">
        <w:rPr>
          <w:color w:val="000000" w:themeColor="text1"/>
        </w:rPr>
        <w:t xml:space="preserve"> </w:t>
      </w:r>
      <w:r w:rsidR="00871275">
        <w:rPr>
          <w:color w:val="000000" w:themeColor="text1"/>
        </w:rPr>
        <w:t>baseline dynamic TDD</w:t>
      </w:r>
      <w:r w:rsidR="00FE0AF2">
        <w:rPr>
          <w:color w:val="000000" w:themeColor="text1"/>
        </w:rPr>
        <w:t xml:space="preserve"> deployments</w:t>
      </w:r>
      <w:r w:rsidR="009708AE">
        <w:rPr>
          <w:color w:val="000000" w:themeColor="text1"/>
        </w:rPr>
        <w:t>, and thus, SBFD networks,</w:t>
      </w:r>
      <w:r w:rsidR="00FE0AF2">
        <w:rPr>
          <w:color w:val="000000" w:themeColor="text1"/>
        </w:rPr>
        <w:t xml:space="preserve"> suffer from gNB-to-gNB and UE-to-UE cross-link interference (CLI)</w:t>
      </w:r>
      <w:r w:rsidR="00BB6132">
        <w:rPr>
          <w:color w:val="000000" w:themeColor="text1"/>
        </w:rPr>
        <w:t>, that is</w:t>
      </w:r>
      <w:r w:rsidR="00F3685E">
        <w:rPr>
          <w:color w:val="000000" w:themeColor="text1"/>
        </w:rPr>
        <w:t>,</w:t>
      </w:r>
      <w:r w:rsidR="00BB6132">
        <w:rPr>
          <w:color w:val="000000" w:themeColor="text1"/>
        </w:rPr>
        <w:t xml:space="preserve"> </w:t>
      </w:r>
      <w:r w:rsidR="000106C4">
        <w:rPr>
          <w:color w:val="000000" w:themeColor="text1"/>
        </w:rPr>
        <w:t xml:space="preserve">co-channel and adjacent channel interference, </w:t>
      </w:r>
      <w:r w:rsidR="00FE0AF2">
        <w:rPr>
          <w:color w:val="000000" w:themeColor="text1"/>
        </w:rPr>
        <w:t>due to neighboring gNBs simultaneously adopting opposite transmission directions</w:t>
      </w:r>
      <w:r w:rsidR="003066EA">
        <w:rPr>
          <w:color w:val="000000" w:themeColor="text1"/>
        </w:rPr>
        <w:t xml:space="preserve"> over time </w:t>
      </w:r>
      <w:r w:rsidR="000B7273">
        <w:rPr>
          <w:color w:val="000000" w:themeColor="text1"/>
        </w:rPr>
        <w:t>and/</w:t>
      </w:r>
      <w:r w:rsidR="003066EA">
        <w:rPr>
          <w:color w:val="000000" w:themeColor="text1"/>
        </w:rPr>
        <w:t>or frequency resources</w:t>
      </w:r>
      <w:r w:rsidR="00FE0AF2">
        <w:rPr>
          <w:color w:val="000000" w:themeColor="text1"/>
        </w:rPr>
        <w:t>.</w:t>
      </w:r>
      <w:r w:rsidR="0019505D">
        <w:rPr>
          <w:color w:val="000000" w:themeColor="text1"/>
        </w:rPr>
        <w:t xml:space="preserve"> </w:t>
      </w:r>
    </w:p>
    <w:p w14:paraId="65985A0C" w14:textId="77777777" w:rsidR="002D478D" w:rsidRDefault="002D478D" w:rsidP="00D44628">
      <w:pPr>
        <w:keepNext/>
        <w:rPr>
          <w:color w:val="000000" w:themeColor="text1"/>
        </w:rPr>
      </w:pPr>
    </w:p>
    <w:p w14:paraId="51EC3E3E" w14:textId="20ECEDA8" w:rsidR="005E28EA" w:rsidRDefault="0038410C" w:rsidP="005E28EA">
      <w:pPr>
        <w:keepNext/>
        <w:jc w:val="center"/>
      </w:pPr>
      <w:r>
        <w:rPr>
          <w:noProof/>
        </w:rPr>
        <w:t>`</w:t>
      </w:r>
      <w:r w:rsidR="00C253B7">
        <w:rPr>
          <w:noProof/>
        </w:rPr>
        <w:drawing>
          <wp:inline distT="0" distB="0" distL="0" distR="0" wp14:anchorId="391144D5" wp14:editId="5BD74207">
            <wp:extent cx="4195248" cy="2976745"/>
            <wp:effectExtent l="0" t="0" r="0" b="0"/>
            <wp:docPr id="4" name="Picture 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shap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04740" cy="2983480"/>
                    </a:xfrm>
                    <a:prstGeom prst="rect">
                      <a:avLst/>
                    </a:prstGeom>
                  </pic:spPr>
                </pic:pic>
              </a:graphicData>
            </a:graphic>
          </wp:inline>
        </w:drawing>
      </w:r>
    </w:p>
    <w:p w14:paraId="11963EBA" w14:textId="78FB79DA" w:rsidR="00321D99" w:rsidRPr="005E28EA" w:rsidRDefault="005E28EA" w:rsidP="005E28EA">
      <w:pPr>
        <w:pStyle w:val="Caption"/>
        <w:jc w:val="center"/>
        <w:rPr>
          <w:i w:val="0"/>
          <w:iCs w:val="0"/>
          <w:color w:val="000000" w:themeColor="text1"/>
        </w:rPr>
      </w:pPr>
      <w:r w:rsidRPr="005E28EA">
        <w:rPr>
          <w:i w:val="0"/>
          <w:iCs w:val="0"/>
        </w:rPr>
        <w:t xml:space="preserve">Figure </w:t>
      </w:r>
      <w:r w:rsidRPr="005E28EA">
        <w:rPr>
          <w:i w:val="0"/>
          <w:iCs w:val="0"/>
        </w:rPr>
        <w:fldChar w:fldCharType="begin"/>
      </w:r>
      <w:r w:rsidRPr="005E28EA">
        <w:rPr>
          <w:i w:val="0"/>
          <w:iCs w:val="0"/>
        </w:rPr>
        <w:instrText xml:space="preserve"> SEQ Figure \* ARABIC </w:instrText>
      </w:r>
      <w:r w:rsidRPr="005E28EA">
        <w:rPr>
          <w:i w:val="0"/>
          <w:iCs w:val="0"/>
        </w:rPr>
        <w:fldChar w:fldCharType="separate"/>
      </w:r>
      <w:r w:rsidR="00CF1AA9">
        <w:rPr>
          <w:i w:val="0"/>
          <w:iCs w:val="0"/>
          <w:noProof/>
        </w:rPr>
        <w:t>1</w:t>
      </w:r>
      <w:r w:rsidRPr="005E28EA">
        <w:rPr>
          <w:i w:val="0"/>
          <w:iCs w:val="0"/>
        </w:rPr>
        <w:fldChar w:fldCharType="end"/>
      </w:r>
      <w:r w:rsidRPr="005E28EA">
        <w:rPr>
          <w:i w:val="0"/>
          <w:iCs w:val="0"/>
        </w:rPr>
        <w:t>: Baseline TDD deployment for NR full duplex.</w:t>
      </w:r>
    </w:p>
    <w:p w14:paraId="03E7883C" w14:textId="77777777" w:rsidR="00251DEE" w:rsidRDefault="00251DEE" w:rsidP="0009374C">
      <w:pPr>
        <w:keepNext/>
        <w:rPr>
          <w:color w:val="000000" w:themeColor="text1"/>
        </w:rPr>
      </w:pPr>
    </w:p>
    <w:p w14:paraId="29503F7C" w14:textId="5E908AE7" w:rsidR="00F23F7C" w:rsidRDefault="0009374C" w:rsidP="00F10015">
      <w:pPr>
        <w:keepNext/>
        <w:rPr>
          <w:color w:val="000000" w:themeColor="text1"/>
        </w:rPr>
      </w:pPr>
      <w:r>
        <w:rPr>
          <w:color w:val="000000" w:themeColor="text1"/>
        </w:rPr>
        <w:t xml:space="preserve">During the </w:t>
      </w:r>
      <w:r w:rsidR="007241F5">
        <w:rPr>
          <w:color w:val="000000" w:themeColor="text1"/>
        </w:rPr>
        <w:t xml:space="preserve">Rel-16 </w:t>
      </w:r>
      <w:r>
        <w:rPr>
          <w:color w:val="000000" w:themeColor="text1"/>
        </w:rPr>
        <w:t xml:space="preserve">study on CLI </w:t>
      </w:r>
      <w:r w:rsidR="00440E59">
        <w:rPr>
          <w:color w:val="000000" w:themeColor="text1"/>
        </w:rPr>
        <w:t xml:space="preserve">handling </w:t>
      </w:r>
      <w:r>
        <w:rPr>
          <w:color w:val="000000" w:themeColor="text1"/>
        </w:rPr>
        <w:t>and remote interference</w:t>
      </w:r>
      <w:r w:rsidR="00440E59">
        <w:rPr>
          <w:color w:val="000000" w:themeColor="text1"/>
        </w:rPr>
        <w:t xml:space="preserve"> management</w:t>
      </w:r>
      <w:r w:rsidR="006B6954">
        <w:rPr>
          <w:color w:val="000000" w:themeColor="text1"/>
        </w:rPr>
        <w:t xml:space="preserve"> </w:t>
      </w:r>
      <w:r w:rsidR="00260500">
        <w:rPr>
          <w:color w:val="000000" w:themeColor="text1"/>
        </w:rPr>
        <w:t>[2]</w:t>
      </w:r>
      <w:r>
        <w:rPr>
          <w:color w:val="000000" w:themeColor="text1"/>
        </w:rPr>
        <w:t xml:space="preserve">, </w:t>
      </w:r>
      <w:r w:rsidR="00DB3627">
        <w:rPr>
          <w:color w:val="000000" w:themeColor="text1"/>
        </w:rPr>
        <w:t xml:space="preserve">it has been concluded that the feasibility of dynamic TDD in high-transmit-power Macro deployments is </w:t>
      </w:r>
      <w:r w:rsidR="00891F6C">
        <w:rPr>
          <w:color w:val="000000" w:themeColor="text1"/>
        </w:rPr>
        <w:t xml:space="preserve">challenging, mainly due to the resulting CLI. In particular, the gNB-to-gNB CLI </w:t>
      </w:r>
      <w:r w:rsidR="003E3103">
        <w:rPr>
          <w:color w:val="000000" w:themeColor="text1"/>
        </w:rPr>
        <w:t xml:space="preserve">is </w:t>
      </w:r>
      <w:r w:rsidR="007F3C2F">
        <w:rPr>
          <w:color w:val="000000" w:themeColor="text1"/>
        </w:rPr>
        <w:t xml:space="preserve">shown </w:t>
      </w:r>
      <w:r w:rsidR="000108F3">
        <w:rPr>
          <w:color w:val="000000" w:themeColor="text1"/>
        </w:rPr>
        <w:t xml:space="preserve">to severely degrade the uplink performance because of the larger downlink transmit power compared to that is of the uplink direction. </w:t>
      </w:r>
      <w:r w:rsidR="0095327E">
        <w:rPr>
          <w:color w:val="000000" w:themeColor="text1"/>
        </w:rPr>
        <w:t xml:space="preserve">Hence, dynamic TDD </w:t>
      </w:r>
      <w:r w:rsidR="003616C4">
        <w:rPr>
          <w:color w:val="000000" w:themeColor="text1"/>
        </w:rPr>
        <w:t>is most suitable for small cell deployments over the frequency range 1 (FR1)</w:t>
      </w:r>
      <w:r w:rsidR="009B1D5F">
        <w:rPr>
          <w:color w:val="000000" w:themeColor="text1"/>
        </w:rPr>
        <w:t>, where the</w:t>
      </w:r>
      <w:r w:rsidR="0027432C">
        <w:rPr>
          <w:color w:val="000000" w:themeColor="text1"/>
        </w:rPr>
        <w:t xml:space="preserve"> transmit downlink power is lower and there is likely more isolation </w:t>
      </w:r>
      <w:r w:rsidR="0038060C">
        <w:rPr>
          <w:color w:val="000000" w:themeColor="text1"/>
        </w:rPr>
        <w:t xml:space="preserve">among interfering gNBs. </w:t>
      </w:r>
      <w:r w:rsidR="002126FD">
        <w:rPr>
          <w:color w:val="000000" w:themeColor="text1"/>
        </w:rPr>
        <w:t xml:space="preserve">Over FR2, </w:t>
      </w:r>
      <w:r w:rsidR="00DF0BF5">
        <w:rPr>
          <w:color w:val="000000" w:themeColor="text1"/>
        </w:rPr>
        <w:t>dynamic TDD can be deployed within Macro and small cell networks due to the higher inter-cell path-loss and CLI isolation</w:t>
      </w:r>
      <w:r w:rsidR="0090033F">
        <w:rPr>
          <w:color w:val="000000" w:themeColor="text1"/>
        </w:rPr>
        <w:t xml:space="preserve"> due to the sufficient beamforming</w:t>
      </w:r>
      <w:r w:rsidR="00591898">
        <w:rPr>
          <w:color w:val="000000" w:themeColor="text1"/>
        </w:rPr>
        <w:t xml:space="preserve">. </w:t>
      </w:r>
      <w:r w:rsidR="00DF0BF5">
        <w:rPr>
          <w:color w:val="000000" w:themeColor="text1"/>
        </w:rPr>
        <w:t xml:space="preserve"> </w:t>
      </w:r>
    </w:p>
    <w:p w14:paraId="42DC19F1" w14:textId="77777777" w:rsidR="00F10015" w:rsidRPr="00F10015" w:rsidRDefault="00F10015" w:rsidP="00F10015">
      <w:pPr>
        <w:keepNext/>
        <w:rPr>
          <w:color w:val="000000" w:themeColor="text1"/>
        </w:rPr>
      </w:pPr>
    </w:p>
    <w:p w14:paraId="03280247" w14:textId="3B7241BA" w:rsidR="00321D99" w:rsidRDefault="00321D99" w:rsidP="4989BE7F">
      <w:pPr>
        <w:rPr>
          <w:b/>
          <w:bCs/>
          <w:i/>
          <w:iCs/>
        </w:rPr>
      </w:pPr>
      <w:r w:rsidRPr="00337923">
        <w:rPr>
          <w:b/>
          <w:bCs/>
          <w:i/>
          <w:iCs/>
        </w:rPr>
        <w:t xml:space="preserve">Observation </w:t>
      </w:r>
      <w:r w:rsidR="004F41AC">
        <w:rPr>
          <w:b/>
          <w:bCs/>
          <w:i/>
          <w:iCs/>
        </w:rPr>
        <w:t>1</w:t>
      </w:r>
      <w:r w:rsidRPr="00337923">
        <w:rPr>
          <w:b/>
          <w:bCs/>
          <w:i/>
          <w:iCs/>
        </w:rPr>
        <w:t>:</w:t>
      </w:r>
      <w:r w:rsidR="004F41AC">
        <w:rPr>
          <w:b/>
          <w:bCs/>
          <w:i/>
          <w:iCs/>
        </w:rPr>
        <w:t xml:space="preserve"> </w:t>
      </w:r>
      <w:r w:rsidR="00416B2E">
        <w:rPr>
          <w:b/>
          <w:bCs/>
          <w:i/>
          <w:iCs/>
        </w:rPr>
        <w:t>A</w:t>
      </w:r>
      <w:r w:rsidR="00245B4D">
        <w:rPr>
          <w:b/>
          <w:bCs/>
          <w:i/>
          <w:iCs/>
        </w:rPr>
        <w:t xml:space="preserve">s per the conclusions of the Rel-16 dynamic TDD study </w:t>
      </w:r>
      <w:r w:rsidR="00F07DC5">
        <w:rPr>
          <w:b/>
          <w:bCs/>
          <w:i/>
          <w:iCs/>
        </w:rPr>
        <w:t xml:space="preserve">on cross-link interference (CLI) </w:t>
      </w:r>
      <w:r w:rsidR="00DE66AE">
        <w:rPr>
          <w:b/>
          <w:bCs/>
          <w:i/>
          <w:iCs/>
        </w:rPr>
        <w:t>[</w:t>
      </w:r>
      <w:r w:rsidR="00245B4D" w:rsidRPr="00245B4D">
        <w:rPr>
          <w:b/>
          <w:bCs/>
          <w:i/>
          <w:iCs/>
        </w:rPr>
        <w:t>TR 38.828</w:t>
      </w:r>
      <w:r w:rsidR="00DE66AE">
        <w:rPr>
          <w:b/>
          <w:bCs/>
          <w:i/>
          <w:iCs/>
        </w:rPr>
        <w:t>]</w:t>
      </w:r>
      <w:r w:rsidR="007918FE">
        <w:rPr>
          <w:b/>
          <w:bCs/>
          <w:i/>
          <w:iCs/>
        </w:rPr>
        <w:t>, the feasibility of the dynamic TDD in FR1 Macro deployments is challenging due to severe gNB-to-gNB CLI.</w:t>
      </w:r>
      <w:r w:rsidR="002138A2">
        <w:rPr>
          <w:b/>
          <w:bCs/>
          <w:i/>
          <w:iCs/>
        </w:rPr>
        <w:t xml:space="preserve"> Therefore, </w:t>
      </w:r>
      <w:r w:rsidR="007935A2">
        <w:rPr>
          <w:b/>
          <w:bCs/>
          <w:i/>
          <w:iCs/>
        </w:rPr>
        <w:t xml:space="preserve">FR1 </w:t>
      </w:r>
      <w:r w:rsidR="00131DD4">
        <w:rPr>
          <w:b/>
          <w:bCs/>
          <w:i/>
          <w:iCs/>
        </w:rPr>
        <w:t xml:space="preserve">dynamic TDD </w:t>
      </w:r>
      <w:r w:rsidR="00023BA2">
        <w:rPr>
          <w:b/>
          <w:bCs/>
          <w:i/>
          <w:iCs/>
        </w:rPr>
        <w:t xml:space="preserve">is most feasible within low transmit power deployments, e.g., small cell deployments. </w:t>
      </w:r>
    </w:p>
    <w:p w14:paraId="7A5E1C1E" w14:textId="77777777" w:rsidR="002D2BA3" w:rsidRDefault="002D2BA3" w:rsidP="4989BE7F">
      <w:pPr>
        <w:rPr>
          <w:b/>
          <w:bCs/>
          <w:i/>
          <w:iCs/>
        </w:rPr>
      </w:pPr>
    </w:p>
    <w:p w14:paraId="00A03840" w14:textId="30DEF0E6" w:rsidR="00086671" w:rsidRDefault="00086671" w:rsidP="00086671">
      <w:pPr>
        <w:rPr>
          <w:b/>
          <w:bCs/>
          <w:i/>
          <w:iCs/>
        </w:rPr>
      </w:pPr>
      <w:r w:rsidRPr="00337923">
        <w:rPr>
          <w:b/>
          <w:bCs/>
          <w:i/>
          <w:iCs/>
        </w:rPr>
        <w:lastRenderedPageBreak/>
        <w:t xml:space="preserve">Observation </w:t>
      </w:r>
      <w:r w:rsidR="007A3F00">
        <w:rPr>
          <w:b/>
          <w:bCs/>
          <w:i/>
          <w:iCs/>
        </w:rPr>
        <w:t>2</w:t>
      </w:r>
      <w:r w:rsidRPr="00337923">
        <w:rPr>
          <w:b/>
          <w:bCs/>
          <w:i/>
          <w:iCs/>
        </w:rPr>
        <w:t>:</w:t>
      </w:r>
      <w:r>
        <w:rPr>
          <w:b/>
          <w:bCs/>
          <w:i/>
          <w:iCs/>
        </w:rPr>
        <w:t xml:space="preserve"> </w:t>
      </w:r>
      <w:r w:rsidR="00416B2E">
        <w:rPr>
          <w:b/>
          <w:bCs/>
          <w:i/>
          <w:iCs/>
        </w:rPr>
        <w:t>D</w:t>
      </w:r>
      <w:r w:rsidR="00A90637">
        <w:rPr>
          <w:b/>
          <w:bCs/>
          <w:i/>
          <w:iCs/>
        </w:rPr>
        <w:t xml:space="preserve">ynamic TDD </w:t>
      </w:r>
      <w:r w:rsidR="00675369">
        <w:rPr>
          <w:b/>
          <w:bCs/>
          <w:i/>
          <w:iCs/>
        </w:rPr>
        <w:t xml:space="preserve">Macro deployments over FR2 are more feasible due to </w:t>
      </w:r>
      <w:r w:rsidR="008D7E94">
        <w:rPr>
          <w:b/>
          <w:bCs/>
          <w:i/>
          <w:iCs/>
        </w:rPr>
        <w:t xml:space="preserve">the higher path-loss and </w:t>
      </w:r>
      <w:r w:rsidR="007C2CF7">
        <w:rPr>
          <w:b/>
          <w:bCs/>
          <w:i/>
          <w:iCs/>
        </w:rPr>
        <w:t xml:space="preserve">the </w:t>
      </w:r>
      <w:r w:rsidR="008D7E94">
        <w:rPr>
          <w:b/>
          <w:bCs/>
          <w:i/>
          <w:iCs/>
        </w:rPr>
        <w:t xml:space="preserve">beam-forming </w:t>
      </w:r>
      <w:r w:rsidR="009E0402">
        <w:rPr>
          <w:b/>
          <w:bCs/>
          <w:i/>
          <w:iCs/>
        </w:rPr>
        <w:t>isolation</w:t>
      </w:r>
      <w:r w:rsidR="008D7E94">
        <w:rPr>
          <w:b/>
          <w:bCs/>
          <w:i/>
          <w:iCs/>
        </w:rPr>
        <w:t xml:space="preserve">, </w:t>
      </w:r>
      <w:r w:rsidR="00A47786">
        <w:rPr>
          <w:b/>
          <w:bCs/>
          <w:i/>
          <w:iCs/>
        </w:rPr>
        <w:t>resulting in a controlled</w:t>
      </w:r>
      <w:r w:rsidR="008D7E94">
        <w:rPr>
          <w:b/>
          <w:bCs/>
          <w:i/>
          <w:iCs/>
        </w:rPr>
        <w:t xml:space="preserve"> gNB-to-gNB CLI.</w:t>
      </w:r>
    </w:p>
    <w:p w14:paraId="383F865B" w14:textId="77777777" w:rsidR="000254C2" w:rsidRDefault="000254C2" w:rsidP="4989BE7F">
      <w:pPr>
        <w:rPr>
          <w:color w:val="000000" w:themeColor="text1"/>
        </w:rPr>
      </w:pPr>
    </w:p>
    <w:p w14:paraId="64121890" w14:textId="6C70A38F" w:rsidR="00513E2E" w:rsidRDefault="00B510E6" w:rsidP="4989BE7F">
      <w:pPr>
        <w:rPr>
          <w:color w:val="000000" w:themeColor="text1"/>
        </w:rPr>
      </w:pPr>
      <w:r>
        <w:rPr>
          <w:color w:val="000000" w:themeColor="text1"/>
        </w:rPr>
        <w:t xml:space="preserve">As baseline </w:t>
      </w:r>
      <w:r w:rsidR="002D478D">
        <w:rPr>
          <w:color w:val="000000" w:themeColor="text1"/>
        </w:rPr>
        <w:t xml:space="preserve">deployment </w:t>
      </w:r>
      <w:r w:rsidR="00DC08C6">
        <w:rPr>
          <w:color w:val="000000" w:themeColor="text1"/>
        </w:rPr>
        <w:t>scenarios</w:t>
      </w:r>
      <w:r>
        <w:rPr>
          <w:color w:val="000000" w:themeColor="text1"/>
        </w:rPr>
        <w:t xml:space="preserve"> for </w:t>
      </w:r>
      <w:r w:rsidR="00E0188A">
        <w:rPr>
          <w:color w:val="000000" w:themeColor="text1"/>
        </w:rPr>
        <w:t>NR SBFD and</w:t>
      </w:r>
      <w:r w:rsidR="00CA6F82">
        <w:rPr>
          <w:color w:val="000000" w:themeColor="text1"/>
        </w:rPr>
        <w:t xml:space="preserve"> based on </w:t>
      </w:r>
      <w:r w:rsidR="00972EDE">
        <w:rPr>
          <w:color w:val="000000" w:themeColor="text1"/>
        </w:rPr>
        <w:t xml:space="preserve">the Rel-16 </w:t>
      </w:r>
      <w:r w:rsidR="00CA6F82">
        <w:rPr>
          <w:color w:val="000000" w:themeColor="text1"/>
        </w:rPr>
        <w:t xml:space="preserve">CLI and RIM study conclusions [2], </w:t>
      </w:r>
      <w:r w:rsidR="008260D6">
        <w:rPr>
          <w:color w:val="000000" w:themeColor="text1"/>
        </w:rPr>
        <w:t xml:space="preserve">it is </w:t>
      </w:r>
      <w:r w:rsidR="00D06969">
        <w:rPr>
          <w:color w:val="000000" w:themeColor="text1"/>
        </w:rPr>
        <w:t xml:space="preserve">recommended </w:t>
      </w:r>
      <w:r w:rsidR="00463FB5">
        <w:rPr>
          <w:color w:val="000000" w:themeColor="text1"/>
        </w:rPr>
        <w:t xml:space="preserve">not to repeat </w:t>
      </w:r>
      <w:r w:rsidR="00E230F2">
        <w:rPr>
          <w:color w:val="000000" w:themeColor="text1"/>
        </w:rPr>
        <w:t xml:space="preserve">the </w:t>
      </w:r>
      <w:r w:rsidR="00463FB5">
        <w:rPr>
          <w:color w:val="000000" w:themeColor="text1"/>
        </w:rPr>
        <w:t xml:space="preserve">CLI evaluations over </w:t>
      </w:r>
      <w:r w:rsidR="00E230F2">
        <w:rPr>
          <w:color w:val="000000" w:themeColor="text1"/>
        </w:rPr>
        <w:t xml:space="preserve">the </w:t>
      </w:r>
      <w:r w:rsidR="00463FB5">
        <w:rPr>
          <w:color w:val="000000" w:themeColor="text1"/>
        </w:rPr>
        <w:t xml:space="preserve">FR1 Macro deployments, unless </w:t>
      </w:r>
      <w:r w:rsidR="00E230F2">
        <w:rPr>
          <w:color w:val="000000" w:themeColor="text1"/>
        </w:rPr>
        <w:t xml:space="preserve">the </w:t>
      </w:r>
      <w:r w:rsidR="00463FB5">
        <w:rPr>
          <w:color w:val="000000" w:themeColor="text1"/>
        </w:rPr>
        <w:t xml:space="preserve">deployment setup and </w:t>
      </w:r>
      <w:r w:rsidR="00E230F2">
        <w:rPr>
          <w:color w:val="000000" w:themeColor="text1"/>
        </w:rPr>
        <w:t xml:space="preserve">transmit power </w:t>
      </w:r>
      <w:r w:rsidR="00463FB5">
        <w:rPr>
          <w:color w:val="000000" w:themeColor="text1"/>
        </w:rPr>
        <w:t xml:space="preserve">requirements are updated. Therefore, </w:t>
      </w:r>
      <w:r w:rsidR="00E230F2">
        <w:rPr>
          <w:color w:val="000000" w:themeColor="text1"/>
        </w:rPr>
        <w:t xml:space="preserve">for SBFD deployments, it is suggested to </w:t>
      </w:r>
      <w:r w:rsidR="0049779A">
        <w:rPr>
          <w:color w:val="000000" w:themeColor="text1"/>
        </w:rPr>
        <w:t xml:space="preserve">consider </w:t>
      </w:r>
      <w:r w:rsidR="00E42534">
        <w:rPr>
          <w:color w:val="000000" w:themeColor="text1"/>
        </w:rPr>
        <w:t xml:space="preserve">low-power </w:t>
      </w:r>
      <w:r w:rsidR="0049779A">
        <w:rPr>
          <w:color w:val="000000" w:themeColor="text1"/>
        </w:rPr>
        <w:t>small cell deployments over FR1 and urban Macro/indoor hotspot</w:t>
      </w:r>
      <w:r w:rsidR="005A05EB">
        <w:rPr>
          <w:color w:val="000000" w:themeColor="text1"/>
        </w:rPr>
        <w:t xml:space="preserve"> over FR2</w:t>
      </w:r>
      <w:r w:rsidR="00952190">
        <w:rPr>
          <w:color w:val="000000" w:themeColor="text1"/>
        </w:rPr>
        <w:t xml:space="preserve">. </w:t>
      </w:r>
      <w:r w:rsidR="00E230F2">
        <w:rPr>
          <w:color w:val="000000" w:themeColor="text1"/>
        </w:rPr>
        <w:t xml:space="preserve"> </w:t>
      </w:r>
    </w:p>
    <w:p w14:paraId="0AE7603F" w14:textId="77777777" w:rsidR="00C15E92" w:rsidRDefault="00C15E92" w:rsidP="4989BE7F">
      <w:pPr>
        <w:rPr>
          <w:color w:val="000000" w:themeColor="text1"/>
        </w:rPr>
      </w:pPr>
    </w:p>
    <w:p w14:paraId="7952C0DA" w14:textId="33817FB4" w:rsidR="002A6083" w:rsidRPr="00A3234B" w:rsidRDefault="007070FE" w:rsidP="002A6083">
      <w:pPr>
        <w:pBdr>
          <w:bottom w:val="single" w:sz="6" w:space="1" w:color="auto"/>
        </w:pBdr>
        <w:rPr>
          <w:b/>
          <w:bCs/>
          <w:i/>
          <w:iCs/>
        </w:rPr>
      </w:pPr>
      <w:r w:rsidRPr="00A3234B">
        <w:rPr>
          <w:b/>
          <w:bCs/>
          <w:i/>
          <w:iCs/>
        </w:rPr>
        <w:t>Proposal 1:</w:t>
      </w:r>
      <w:r w:rsidR="00CB3217" w:rsidRPr="00A3234B">
        <w:rPr>
          <w:b/>
          <w:bCs/>
          <w:i/>
          <w:iCs/>
        </w:rPr>
        <w:t xml:space="preserve"> </w:t>
      </w:r>
      <w:r w:rsidR="00416B2E" w:rsidRPr="00A3234B">
        <w:rPr>
          <w:b/>
          <w:bCs/>
          <w:i/>
          <w:iCs/>
        </w:rPr>
        <w:t>T</w:t>
      </w:r>
      <w:r w:rsidR="002B1B8F" w:rsidRPr="00A3234B">
        <w:rPr>
          <w:b/>
          <w:bCs/>
          <w:i/>
          <w:iCs/>
        </w:rPr>
        <w:t xml:space="preserve">o avoid </w:t>
      </w:r>
      <w:r w:rsidR="006B03FC" w:rsidRPr="00A3234B">
        <w:rPr>
          <w:b/>
          <w:bCs/>
          <w:i/>
          <w:iCs/>
        </w:rPr>
        <w:t xml:space="preserve">repetition of Rel-16 dynamic TDD study </w:t>
      </w:r>
      <w:r w:rsidR="00EE2EC1">
        <w:rPr>
          <w:b/>
          <w:bCs/>
          <w:i/>
          <w:iCs/>
        </w:rPr>
        <w:t xml:space="preserve">simulation </w:t>
      </w:r>
      <w:r w:rsidR="006B03FC" w:rsidRPr="00A3234B">
        <w:rPr>
          <w:b/>
          <w:bCs/>
          <w:i/>
          <w:iCs/>
        </w:rPr>
        <w:t xml:space="preserve">activities, </w:t>
      </w:r>
      <w:r w:rsidR="00CE2856" w:rsidRPr="00A3234B">
        <w:rPr>
          <w:b/>
          <w:bCs/>
          <w:i/>
          <w:iCs/>
        </w:rPr>
        <w:t>evaluations of NR full duplex consider indoor</w:t>
      </w:r>
      <w:r w:rsidR="00E33DBE" w:rsidRPr="00A3234B">
        <w:rPr>
          <w:b/>
          <w:bCs/>
          <w:i/>
          <w:iCs/>
        </w:rPr>
        <w:t>/small cell</w:t>
      </w:r>
      <w:r w:rsidR="00216CFA" w:rsidRPr="00A3234B">
        <w:rPr>
          <w:b/>
          <w:bCs/>
          <w:i/>
          <w:iCs/>
        </w:rPr>
        <w:t>/indoor hot-spot</w:t>
      </w:r>
      <w:r w:rsidR="00E33DBE" w:rsidRPr="00A3234B">
        <w:rPr>
          <w:b/>
          <w:bCs/>
          <w:i/>
          <w:iCs/>
        </w:rPr>
        <w:t xml:space="preserve"> deployments </w:t>
      </w:r>
      <w:r w:rsidR="00874F8E" w:rsidRPr="00A3234B">
        <w:rPr>
          <w:b/>
          <w:bCs/>
          <w:i/>
          <w:iCs/>
        </w:rPr>
        <w:t>over FR1</w:t>
      </w:r>
      <w:r w:rsidR="0002673A" w:rsidRPr="00A3234B">
        <w:rPr>
          <w:b/>
          <w:bCs/>
          <w:i/>
          <w:iCs/>
        </w:rPr>
        <w:t xml:space="preserve">. For FR2, </w:t>
      </w:r>
      <w:r w:rsidR="00CB38F7" w:rsidRPr="00A3234B">
        <w:rPr>
          <w:b/>
          <w:bCs/>
          <w:i/>
          <w:iCs/>
        </w:rPr>
        <w:t>d</w:t>
      </w:r>
      <w:r w:rsidR="00956212" w:rsidRPr="00A3234B">
        <w:rPr>
          <w:b/>
          <w:bCs/>
          <w:i/>
          <w:iCs/>
        </w:rPr>
        <w:t xml:space="preserve">ense urban, </w:t>
      </w:r>
      <w:r w:rsidR="00CB38F7" w:rsidRPr="00A3234B">
        <w:rPr>
          <w:b/>
          <w:bCs/>
          <w:i/>
          <w:iCs/>
        </w:rPr>
        <w:t>u</w:t>
      </w:r>
      <w:r w:rsidR="00956212" w:rsidRPr="00A3234B">
        <w:rPr>
          <w:b/>
          <w:bCs/>
          <w:i/>
          <w:iCs/>
        </w:rPr>
        <w:t xml:space="preserve">rban macro, and </w:t>
      </w:r>
      <w:r w:rsidR="00CB38F7" w:rsidRPr="00A3234B">
        <w:rPr>
          <w:b/>
          <w:bCs/>
          <w:i/>
          <w:iCs/>
        </w:rPr>
        <w:t>i</w:t>
      </w:r>
      <w:r w:rsidR="00956212" w:rsidRPr="00A3234B">
        <w:rPr>
          <w:b/>
          <w:bCs/>
          <w:i/>
          <w:iCs/>
        </w:rPr>
        <w:t>ndoor hotspot</w:t>
      </w:r>
      <w:r w:rsidR="00CB38F7" w:rsidRPr="00A3234B">
        <w:rPr>
          <w:b/>
          <w:bCs/>
          <w:i/>
          <w:iCs/>
        </w:rPr>
        <w:t xml:space="preserve"> deployments </w:t>
      </w:r>
      <w:r w:rsidR="00546F36" w:rsidRPr="00A3234B">
        <w:rPr>
          <w:b/>
          <w:bCs/>
          <w:i/>
          <w:iCs/>
        </w:rPr>
        <w:t>are considered</w:t>
      </w:r>
      <w:r w:rsidR="00CB38F7" w:rsidRPr="00A3234B">
        <w:rPr>
          <w:b/>
          <w:bCs/>
          <w:i/>
          <w:iCs/>
        </w:rPr>
        <w:t xml:space="preserve">. </w:t>
      </w:r>
    </w:p>
    <w:p w14:paraId="213BB644" w14:textId="77777777" w:rsidR="002A6083" w:rsidRPr="002A6083" w:rsidRDefault="002A6083" w:rsidP="002A6083">
      <w:pPr>
        <w:pBdr>
          <w:bottom w:val="single" w:sz="6" w:space="1" w:color="auto"/>
        </w:pBdr>
        <w:rPr>
          <w:b/>
          <w:bCs/>
        </w:rPr>
      </w:pPr>
    </w:p>
    <w:p w14:paraId="04E21534" w14:textId="7C22372D" w:rsidR="00BD47C0" w:rsidRPr="00945F88" w:rsidRDefault="00A6288F" w:rsidP="00BD47C0">
      <w:pPr>
        <w:pStyle w:val="Heading1"/>
        <w:rPr>
          <w:sz w:val="36"/>
          <w:szCs w:val="36"/>
        </w:rPr>
      </w:pPr>
      <w:r w:rsidRPr="00945F88">
        <w:rPr>
          <w:sz w:val="36"/>
          <w:szCs w:val="36"/>
        </w:rPr>
        <w:t>Evaluation</w:t>
      </w:r>
      <w:r w:rsidR="009841A9" w:rsidRPr="00945F88">
        <w:rPr>
          <w:sz w:val="36"/>
          <w:szCs w:val="36"/>
        </w:rPr>
        <w:t xml:space="preserve"> </w:t>
      </w:r>
      <w:r w:rsidR="00081EB6" w:rsidRPr="00945F88">
        <w:rPr>
          <w:sz w:val="36"/>
          <w:szCs w:val="36"/>
        </w:rPr>
        <w:t>Methodology</w:t>
      </w:r>
    </w:p>
    <w:p w14:paraId="1BE2C474" w14:textId="16CA232E" w:rsidR="00B413B5" w:rsidRDefault="00E51387" w:rsidP="4989BE7F">
      <w:pPr>
        <w:rPr>
          <w:color w:val="000000" w:themeColor="text1"/>
        </w:rPr>
      </w:pPr>
      <w:r>
        <w:rPr>
          <w:color w:val="000000" w:themeColor="text1"/>
        </w:rPr>
        <w:t>With n</w:t>
      </w:r>
      <w:r w:rsidR="00EF7FFE">
        <w:rPr>
          <w:color w:val="000000" w:themeColor="text1"/>
        </w:rPr>
        <w:t>ew radio SBFD</w:t>
      </w:r>
      <w:r>
        <w:rPr>
          <w:color w:val="000000" w:themeColor="text1"/>
        </w:rPr>
        <w:t xml:space="preserve">, gNBs </w:t>
      </w:r>
      <w:r w:rsidR="00016428">
        <w:rPr>
          <w:color w:val="000000" w:themeColor="text1"/>
        </w:rPr>
        <w:t xml:space="preserve">can dynamically allocate part of the </w:t>
      </w:r>
      <w:r w:rsidR="004801EE">
        <w:rPr>
          <w:color w:val="000000" w:themeColor="text1"/>
        </w:rPr>
        <w:t xml:space="preserve">available TDD </w:t>
      </w:r>
      <w:r w:rsidR="00016428">
        <w:rPr>
          <w:color w:val="000000" w:themeColor="text1"/>
        </w:rPr>
        <w:t>bandwidth</w:t>
      </w:r>
      <w:r w:rsidR="00CA37AA">
        <w:rPr>
          <w:color w:val="000000" w:themeColor="text1"/>
        </w:rPr>
        <w:t xml:space="preserve">, i.e., one or more sub-bands, </w:t>
      </w:r>
      <w:r w:rsidR="00AC4C98">
        <w:rPr>
          <w:color w:val="000000" w:themeColor="text1"/>
        </w:rPr>
        <w:t xml:space="preserve">to downlink transmissions during TDD uplink </w:t>
      </w:r>
      <w:r w:rsidR="00B440CC">
        <w:rPr>
          <w:color w:val="000000" w:themeColor="text1"/>
        </w:rPr>
        <w:t xml:space="preserve">slots/frames and </w:t>
      </w:r>
      <w:r w:rsidR="00672392">
        <w:rPr>
          <w:color w:val="000000" w:themeColor="text1"/>
        </w:rPr>
        <w:t>to uplink transmissions during TDD downlink slots/frames</w:t>
      </w:r>
      <w:r w:rsidR="00857B6F">
        <w:rPr>
          <w:color w:val="000000" w:themeColor="text1"/>
        </w:rPr>
        <w:t>, as depicted by Fig. 2</w:t>
      </w:r>
      <w:r w:rsidR="00672392">
        <w:rPr>
          <w:color w:val="000000" w:themeColor="text1"/>
        </w:rPr>
        <w:t>.</w:t>
      </w:r>
      <w:r w:rsidR="00857B6F">
        <w:rPr>
          <w:color w:val="000000" w:themeColor="text1"/>
        </w:rPr>
        <w:t xml:space="preserve"> The SBFD allows for more transmission </w:t>
      </w:r>
      <w:r w:rsidR="00BB62EB">
        <w:rPr>
          <w:color w:val="000000" w:themeColor="text1"/>
        </w:rPr>
        <w:t xml:space="preserve">opportunities of both downlink and uplink directions, and hence, </w:t>
      </w:r>
      <w:r w:rsidR="00AF7463">
        <w:rPr>
          <w:color w:val="000000" w:themeColor="text1"/>
        </w:rPr>
        <w:t xml:space="preserve">reducing the common TDD buffering delay (e.g., due to the exclusive transmission directions). </w:t>
      </w:r>
      <w:proofErr w:type="gramStart"/>
      <w:r w:rsidR="00AF7463">
        <w:rPr>
          <w:color w:val="000000" w:themeColor="text1"/>
        </w:rPr>
        <w:t>In particular, SBFD</w:t>
      </w:r>
      <w:proofErr w:type="gramEnd"/>
      <w:r w:rsidR="00AF7463">
        <w:rPr>
          <w:color w:val="000000" w:themeColor="text1"/>
        </w:rPr>
        <w:t xml:space="preserve"> is most beneficial for uplink coverage and performance enhancement, </w:t>
      </w:r>
      <w:r w:rsidR="0001528E">
        <w:rPr>
          <w:color w:val="000000" w:themeColor="text1"/>
        </w:rPr>
        <w:t xml:space="preserve">respectively, </w:t>
      </w:r>
      <w:r w:rsidR="00AF7463">
        <w:rPr>
          <w:color w:val="000000" w:themeColor="text1"/>
        </w:rPr>
        <w:t xml:space="preserve">by offering more uplink transmission opportunities that may be utilized for fast </w:t>
      </w:r>
      <w:r w:rsidR="00C40D72">
        <w:rPr>
          <w:color w:val="000000" w:themeColor="text1"/>
        </w:rPr>
        <w:t xml:space="preserve">uplink </w:t>
      </w:r>
      <w:r w:rsidR="00E50053">
        <w:rPr>
          <w:color w:val="000000" w:themeColor="text1"/>
        </w:rPr>
        <w:t xml:space="preserve">HARQ feedback, uplink payload repetition for reliability and coverage improvement. </w:t>
      </w:r>
    </w:p>
    <w:p w14:paraId="613C92EF" w14:textId="5EB63E89" w:rsidR="00BE151A" w:rsidRDefault="009A1E26" w:rsidP="4989BE7F">
      <w:pPr>
        <w:rPr>
          <w:color w:val="000000" w:themeColor="text1"/>
        </w:rPr>
      </w:pPr>
      <w:r>
        <w:rPr>
          <w:color w:val="000000" w:themeColor="text1"/>
        </w:rPr>
        <w:t xml:space="preserve">Therefore, </w:t>
      </w:r>
      <w:r w:rsidR="008450C9">
        <w:rPr>
          <w:color w:val="000000" w:themeColor="text1"/>
        </w:rPr>
        <w:t xml:space="preserve">downlink and uplink sub-bands can be co-located </w:t>
      </w:r>
      <w:r w:rsidR="006C05AA">
        <w:rPr>
          <w:color w:val="000000" w:themeColor="text1"/>
        </w:rPr>
        <w:t xml:space="preserve">in the frequency domain </w:t>
      </w:r>
      <w:r w:rsidR="008450C9">
        <w:rPr>
          <w:color w:val="000000" w:themeColor="text1"/>
        </w:rPr>
        <w:t>at the same time</w:t>
      </w:r>
      <w:r w:rsidR="001E1E76">
        <w:rPr>
          <w:color w:val="000000" w:themeColor="text1"/>
        </w:rPr>
        <w:t xml:space="preserve">. A guard band between </w:t>
      </w:r>
      <w:r w:rsidR="009D1137">
        <w:rPr>
          <w:color w:val="000000" w:themeColor="text1"/>
        </w:rPr>
        <w:t xml:space="preserve">each downlink and uplink sub-band </w:t>
      </w:r>
      <w:r w:rsidR="00EC2D8C">
        <w:rPr>
          <w:color w:val="000000" w:themeColor="text1"/>
        </w:rPr>
        <w:t xml:space="preserve">is needed </w:t>
      </w:r>
      <w:proofErr w:type="gramStart"/>
      <w:r w:rsidR="00EF61BC">
        <w:rPr>
          <w:color w:val="000000" w:themeColor="text1"/>
        </w:rPr>
        <w:t xml:space="preserve">in order </w:t>
      </w:r>
      <w:r w:rsidR="00EC2D8C">
        <w:rPr>
          <w:color w:val="000000" w:themeColor="text1"/>
        </w:rPr>
        <w:t>to</w:t>
      </w:r>
      <w:proofErr w:type="gramEnd"/>
      <w:r w:rsidR="00EC2D8C">
        <w:rPr>
          <w:color w:val="000000" w:themeColor="text1"/>
        </w:rPr>
        <w:t xml:space="preserve"> </w:t>
      </w:r>
      <w:r w:rsidR="00B143A1">
        <w:rPr>
          <w:color w:val="000000" w:themeColor="text1"/>
        </w:rPr>
        <w:t>absorb</w:t>
      </w:r>
      <w:r w:rsidR="00EC2D8C">
        <w:rPr>
          <w:color w:val="000000" w:themeColor="text1"/>
        </w:rPr>
        <w:t xml:space="preserve"> the adjacent-channel interference of both </w:t>
      </w:r>
      <w:r w:rsidR="00EF61BC">
        <w:rPr>
          <w:color w:val="000000" w:themeColor="text1"/>
        </w:rPr>
        <w:t xml:space="preserve">the </w:t>
      </w:r>
      <w:r w:rsidR="00EC2D8C">
        <w:rPr>
          <w:color w:val="000000" w:themeColor="text1"/>
        </w:rPr>
        <w:t xml:space="preserve">downlink and uplink traffic. </w:t>
      </w:r>
      <w:r w:rsidR="00786035">
        <w:rPr>
          <w:color w:val="000000" w:themeColor="text1"/>
        </w:rPr>
        <w:t>Furthermore, t</w:t>
      </w:r>
      <w:r w:rsidR="004D698C">
        <w:rPr>
          <w:color w:val="000000" w:themeColor="text1"/>
        </w:rPr>
        <w:t xml:space="preserve">he full duplex operation is only </w:t>
      </w:r>
      <w:r w:rsidR="00D5188B">
        <w:rPr>
          <w:color w:val="000000" w:themeColor="text1"/>
        </w:rPr>
        <w:t xml:space="preserve">supported at the gNB side, </w:t>
      </w:r>
      <w:r w:rsidR="00E32159">
        <w:rPr>
          <w:color w:val="000000" w:themeColor="text1"/>
        </w:rPr>
        <w:t xml:space="preserve">while it is transparent to </w:t>
      </w:r>
      <w:r w:rsidR="00D5188B">
        <w:rPr>
          <w:color w:val="000000" w:themeColor="text1"/>
        </w:rPr>
        <w:t>UEs</w:t>
      </w:r>
      <w:r w:rsidR="00E32159">
        <w:rPr>
          <w:color w:val="000000" w:themeColor="text1"/>
        </w:rPr>
        <w:t>, which</w:t>
      </w:r>
      <w:r w:rsidR="00D5188B">
        <w:rPr>
          <w:color w:val="000000" w:themeColor="text1"/>
        </w:rPr>
        <w:t xml:space="preserve"> are operating </w:t>
      </w:r>
      <w:r w:rsidR="00C21965">
        <w:rPr>
          <w:color w:val="000000" w:themeColor="text1"/>
        </w:rPr>
        <w:t>with half-duplex</w:t>
      </w:r>
      <w:r w:rsidR="000312ED">
        <w:rPr>
          <w:color w:val="000000" w:themeColor="text1"/>
        </w:rPr>
        <w:t xml:space="preserve">, and hence, </w:t>
      </w:r>
      <w:r w:rsidR="00612C62">
        <w:rPr>
          <w:color w:val="000000" w:themeColor="text1"/>
        </w:rPr>
        <w:t xml:space="preserve">SBFD </w:t>
      </w:r>
      <w:r w:rsidR="006079BB">
        <w:rPr>
          <w:color w:val="000000" w:themeColor="text1"/>
        </w:rPr>
        <w:t>should have</w:t>
      </w:r>
      <w:r w:rsidR="00612C62">
        <w:rPr>
          <w:color w:val="000000" w:themeColor="text1"/>
        </w:rPr>
        <w:t xml:space="preserve"> a </w:t>
      </w:r>
      <w:r w:rsidR="000312ED">
        <w:rPr>
          <w:color w:val="000000" w:themeColor="text1"/>
        </w:rPr>
        <w:t>little device impact</w:t>
      </w:r>
      <w:r w:rsidR="00C21965">
        <w:rPr>
          <w:color w:val="000000" w:themeColor="text1"/>
        </w:rPr>
        <w:t xml:space="preserve">. </w:t>
      </w:r>
    </w:p>
    <w:p w14:paraId="35AA13E7" w14:textId="55DE4FD9" w:rsidR="00CF1AA9" w:rsidRDefault="005B4AD0" w:rsidP="00CF1AA9">
      <w:pPr>
        <w:keepNext/>
        <w:jc w:val="center"/>
      </w:pPr>
      <w:r>
        <w:rPr>
          <w:noProof/>
        </w:rPr>
        <w:drawing>
          <wp:inline distT="0" distB="0" distL="0" distR="0" wp14:anchorId="4CAA2B39" wp14:editId="45D8754F">
            <wp:extent cx="5442969" cy="2914332"/>
            <wp:effectExtent l="0" t="0" r="0" b="0"/>
            <wp:docPr id="6" name="Picture 6"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47487" cy="2916751"/>
                    </a:xfrm>
                    <a:prstGeom prst="rect">
                      <a:avLst/>
                    </a:prstGeom>
                  </pic:spPr>
                </pic:pic>
              </a:graphicData>
            </a:graphic>
          </wp:inline>
        </w:drawing>
      </w:r>
    </w:p>
    <w:p w14:paraId="7C0654FE" w14:textId="544072A7" w:rsidR="00B413B5" w:rsidRPr="00CF1AA9" w:rsidRDefault="00CF1AA9" w:rsidP="00CF1AA9">
      <w:pPr>
        <w:pStyle w:val="Caption"/>
        <w:jc w:val="center"/>
        <w:rPr>
          <w:i w:val="0"/>
          <w:iCs w:val="0"/>
          <w:color w:val="000000" w:themeColor="text1"/>
        </w:rPr>
      </w:pPr>
      <w:r w:rsidRPr="00CF1AA9">
        <w:rPr>
          <w:i w:val="0"/>
          <w:iCs w:val="0"/>
        </w:rPr>
        <w:t xml:space="preserve">Figure </w:t>
      </w:r>
      <w:r w:rsidRPr="00CF1AA9">
        <w:rPr>
          <w:i w:val="0"/>
          <w:iCs w:val="0"/>
        </w:rPr>
        <w:fldChar w:fldCharType="begin"/>
      </w:r>
      <w:r w:rsidRPr="00CF1AA9">
        <w:rPr>
          <w:i w:val="0"/>
          <w:iCs w:val="0"/>
        </w:rPr>
        <w:instrText xml:space="preserve"> SEQ Figure \* ARABIC </w:instrText>
      </w:r>
      <w:r w:rsidRPr="00CF1AA9">
        <w:rPr>
          <w:i w:val="0"/>
          <w:iCs w:val="0"/>
        </w:rPr>
        <w:fldChar w:fldCharType="separate"/>
      </w:r>
      <w:r w:rsidRPr="00CF1AA9">
        <w:rPr>
          <w:i w:val="0"/>
          <w:iCs w:val="0"/>
          <w:noProof/>
        </w:rPr>
        <w:t>2</w:t>
      </w:r>
      <w:r w:rsidRPr="00CF1AA9">
        <w:rPr>
          <w:i w:val="0"/>
          <w:iCs w:val="0"/>
        </w:rPr>
        <w:fldChar w:fldCharType="end"/>
      </w:r>
      <w:r w:rsidRPr="00CF1AA9">
        <w:rPr>
          <w:i w:val="0"/>
          <w:iCs w:val="0"/>
        </w:rPr>
        <w:t>: NR sub-band full duplex.</w:t>
      </w:r>
    </w:p>
    <w:p w14:paraId="149A82EB" w14:textId="77777777" w:rsidR="00A3234B" w:rsidRDefault="00A3234B" w:rsidP="4989BE7F">
      <w:pPr>
        <w:rPr>
          <w:color w:val="000000" w:themeColor="text1"/>
        </w:rPr>
      </w:pPr>
    </w:p>
    <w:p w14:paraId="49612591" w14:textId="051F15F8" w:rsidR="00B413B5" w:rsidRDefault="00E56963" w:rsidP="4989BE7F">
      <w:pPr>
        <w:rPr>
          <w:color w:val="000000" w:themeColor="text1"/>
        </w:rPr>
      </w:pPr>
      <w:r>
        <w:rPr>
          <w:color w:val="000000" w:themeColor="text1"/>
        </w:rPr>
        <w:lastRenderedPageBreak/>
        <w:t>In addition to the CLI of the</w:t>
      </w:r>
      <w:r w:rsidR="00AC6EC1">
        <w:rPr>
          <w:color w:val="000000" w:themeColor="text1"/>
        </w:rPr>
        <w:t xml:space="preserve"> dynamic TDD</w:t>
      </w:r>
      <w:r w:rsidR="005B14C9">
        <w:rPr>
          <w:color w:val="000000" w:themeColor="text1"/>
        </w:rPr>
        <w:t xml:space="preserve">, NR SBFD </w:t>
      </w:r>
      <w:r w:rsidR="00AB329A">
        <w:rPr>
          <w:color w:val="000000" w:themeColor="text1"/>
        </w:rPr>
        <w:t>introduces additional types of intra-cell and inter-cell interference</w:t>
      </w:r>
      <w:r w:rsidR="000A7B94">
        <w:rPr>
          <w:color w:val="000000" w:themeColor="text1"/>
        </w:rPr>
        <w:t xml:space="preserve"> as follows:</w:t>
      </w:r>
    </w:p>
    <w:p w14:paraId="0A297EB3" w14:textId="2C8B2B20" w:rsidR="000A7B94" w:rsidRDefault="00233940" w:rsidP="00D24206">
      <w:pPr>
        <w:pStyle w:val="ListParagraph"/>
        <w:numPr>
          <w:ilvl w:val="0"/>
          <w:numId w:val="22"/>
        </w:numPr>
        <w:rPr>
          <w:color w:val="000000" w:themeColor="text1"/>
        </w:rPr>
      </w:pPr>
      <w:r>
        <w:rPr>
          <w:color w:val="000000" w:themeColor="text1"/>
        </w:rPr>
        <w:t>SBFD interference impacting uplink</w:t>
      </w:r>
      <w:r w:rsidR="00F72540">
        <w:rPr>
          <w:color w:val="000000" w:themeColor="text1"/>
        </w:rPr>
        <w:t xml:space="preserve"> direction</w:t>
      </w:r>
    </w:p>
    <w:p w14:paraId="165A6ABC" w14:textId="590E8FAE" w:rsidR="00233940" w:rsidRDefault="005C5002" w:rsidP="00233940">
      <w:pPr>
        <w:pStyle w:val="ListParagraph"/>
        <w:numPr>
          <w:ilvl w:val="1"/>
          <w:numId w:val="22"/>
        </w:numPr>
        <w:rPr>
          <w:color w:val="000000" w:themeColor="text1"/>
        </w:rPr>
      </w:pPr>
      <w:r>
        <w:rPr>
          <w:color w:val="000000" w:themeColor="text1"/>
        </w:rPr>
        <w:t>Self</w:t>
      </w:r>
      <w:r w:rsidR="003E2FFE">
        <w:rPr>
          <w:color w:val="000000" w:themeColor="text1"/>
        </w:rPr>
        <w:t>-</w:t>
      </w:r>
      <w:r>
        <w:rPr>
          <w:color w:val="000000" w:themeColor="text1"/>
        </w:rPr>
        <w:t>interference (SI)</w:t>
      </w:r>
      <w:r w:rsidR="003E2FFE">
        <w:rPr>
          <w:color w:val="000000" w:themeColor="text1"/>
        </w:rPr>
        <w:t xml:space="preserve"> [intra-gNB]</w:t>
      </w:r>
    </w:p>
    <w:p w14:paraId="1BAD0C8B" w14:textId="2BF0C2A4" w:rsidR="003E2FFE" w:rsidRDefault="008502C2" w:rsidP="00233940">
      <w:pPr>
        <w:pStyle w:val="ListParagraph"/>
        <w:numPr>
          <w:ilvl w:val="1"/>
          <w:numId w:val="22"/>
        </w:numPr>
        <w:rPr>
          <w:color w:val="000000" w:themeColor="text1"/>
        </w:rPr>
      </w:pPr>
      <w:r>
        <w:rPr>
          <w:color w:val="000000" w:themeColor="text1"/>
        </w:rPr>
        <w:t>gNB-to-gNB CLI [inter-gNB]</w:t>
      </w:r>
    </w:p>
    <w:p w14:paraId="69D75685" w14:textId="77777777" w:rsidR="00A3234B" w:rsidRDefault="00A3234B" w:rsidP="00A3234B">
      <w:pPr>
        <w:pStyle w:val="ListParagraph"/>
        <w:ind w:left="1440"/>
        <w:rPr>
          <w:color w:val="000000" w:themeColor="text1"/>
        </w:rPr>
      </w:pPr>
    </w:p>
    <w:p w14:paraId="59ACB12F" w14:textId="6DE74950" w:rsidR="00C87643" w:rsidRDefault="00C87643" w:rsidP="00C87643">
      <w:pPr>
        <w:pStyle w:val="ListParagraph"/>
        <w:numPr>
          <w:ilvl w:val="0"/>
          <w:numId w:val="22"/>
        </w:numPr>
        <w:rPr>
          <w:color w:val="000000" w:themeColor="text1"/>
        </w:rPr>
      </w:pPr>
      <w:r>
        <w:rPr>
          <w:color w:val="000000" w:themeColor="text1"/>
        </w:rPr>
        <w:t>SBFD interference impacting downlink direction</w:t>
      </w:r>
    </w:p>
    <w:p w14:paraId="7F40526A" w14:textId="164FD02F" w:rsidR="008502C2" w:rsidRDefault="004523DE" w:rsidP="004523DE">
      <w:pPr>
        <w:pStyle w:val="ListParagraph"/>
        <w:numPr>
          <w:ilvl w:val="1"/>
          <w:numId w:val="22"/>
        </w:numPr>
        <w:rPr>
          <w:color w:val="000000" w:themeColor="text1"/>
        </w:rPr>
      </w:pPr>
      <w:r>
        <w:rPr>
          <w:color w:val="000000" w:themeColor="text1"/>
        </w:rPr>
        <w:t>UE-to-UE CLI (</w:t>
      </w:r>
      <w:r w:rsidR="00E80EB4">
        <w:rPr>
          <w:color w:val="000000" w:themeColor="text1"/>
        </w:rPr>
        <w:t>intra and inter-gNB</w:t>
      </w:r>
      <w:r>
        <w:rPr>
          <w:color w:val="000000" w:themeColor="text1"/>
        </w:rPr>
        <w:t>)</w:t>
      </w:r>
    </w:p>
    <w:p w14:paraId="0B8CB01E" w14:textId="4653C427" w:rsidR="00B413B5" w:rsidRDefault="00185262" w:rsidP="4989BE7F">
      <w:pPr>
        <w:rPr>
          <w:color w:val="000000" w:themeColor="text1"/>
        </w:rPr>
      </w:pPr>
      <w:r>
        <w:rPr>
          <w:color w:val="000000" w:themeColor="text1"/>
        </w:rPr>
        <w:t xml:space="preserve">Depending on the deployment scenario and </w:t>
      </w:r>
      <w:r w:rsidR="007D1EE1">
        <w:rPr>
          <w:color w:val="000000" w:themeColor="text1"/>
        </w:rPr>
        <w:t>SBFD setup, the exhibited interference types shall vary including co-channel and adjacent-channel interference for co-located SBFD</w:t>
      </w:r>
      <w:r w:rsidR="00B006EE">
        <w:rPr>
          <w:color w:val="000000" w:themeColor="text1"/>
        </w:rPr>
        <w:t xml:space="preserve"> sub-bands. </w:t>
      </w:r>
      <w:r w:rsidR="0098235B">
        <w:rPr>
          <w:color w:val="000000" w:themeColor="text1"/>
        </w:rPr>
        <w:t xml:space="preserve">For a reasonable simulation effort, </w:t>
      </w:r>
      <w:r w:rsidR="00D56993">
        <w:rPr>
          <w:color w:val="000000" w:themeColor="text1"/>
        </w:rPr>
        <w:t>i</w:t>
      </w:r>
      <w:r w:rsidR="00552AB9">
        <w:rPr>
          <w:color w:val="000000" w:themeColor="text1"/>
        </w:rPr>
        <w:t>t is recommended that the evaluation phase of the SBFD interference consider</w:t>
      </w:r>
      <w:r w:rsidR="000F017A">
        <w:rPr>
          <w:color w:val="000000" w:themeColor="text1"/>
        </w:rPr>
        <w:t>s</w:t>
      </w:r>
      <w:r w:rsidR="00552AB9">
        <w:rPr>
          <w:color w:val="000000" w:themeColor="text1"/>
        </w:rPr>
        <w:t xml:space="preserve"> the interference types </w:t>
      </w:r>
      <w:r w:rsidR="000F017A">
        <w:rPr>
          <w:color w:val="000000" w:themeColor="text1"/>
        </w:rPr>
        <w:t xml:space="preserve">which are </w:t>
      </w:r>
      <w:r w:rsidR="00552AB9">
        <w:rPr>
          <w:color w:val="000000" w:themeColor="text1"/>
        </w:rPr>
        <w:t xml:space="preserve">specific to SBFD </w:t>
      </w:r>
      <w:r w:rsidR="00280FC7">
        <w:rPr>
          <w:color w:val="000000" w:themeColor="text1"/>
        </w:rPr>
        <w:t xml:space="preserve">rather </w:t>
      </w:r>
      <w:r w:rsidR="00B64DD9">
        <w:rPr>
          <w:color w:val="000000" w:themeColor="text1"/>
        </w:rPr>
        <w:t xml:space="preserve">than </w:t>
      </w:r>
      <w:r w:rsidR="00280FC7">
        <w:rPr>
          <w:color w:val="000000" w:themeColor="text1"/>
        </w:rPr>
        <w:t xml:space="preserve">dynamic TDD. </w:t>
      </w:r>
    </w:p>
    <w:p w14:paraId="048B7795" w14:textId="77777777" w:rsidR="0021009A" w:rsidRDefault="0021009A" w:rsidP="4989BE7F">
      <w:pPr>
        <w:rPr>
          <w:color w:val="000000" w:themeColor="text1"/>
        </w:rPr>
      </w:pPr>
    </w:p>
    <w:p w14:paraId="18613839" w14:textId="33391274" w:rsidR="006D4AAD" w:rsidRPr="00A3234B" w:rsidRDefault="004534C5">
      <w:pPr>
        <w:rPr>
          <w:b/>
          <w:bCs/>
          <w:i/>
          <w:iCs/>
        </w:rPr>
      </w:pPr>
      <w:r w:rsidRPr="00A3234B">
        <w:rPr>
          <w:b/>
          <w:bCs/>
          <w:i/>
          <w:iCs/>
        </w:rPr>
        <w:t xml:space="preserve">Proposal </w:t>
      </w:r>
      <w:r w:rsidR="004C0333" w:rsidRPr="00A3234B">
        <w:rPr>
          <w:b/>
          <w:bCs/>
          <w:i/>
          <w:iCs/>
        </w:rPr>
        <w:t>2</w:t>
      </w:r>
      <w:r w:rsidRPr="00A3234B">
        <w:rPr>
          <w:b/>
          <w:bCs/>
          <w:i/>
          <w:iCs/>
        </w:rPr>
        <w:t>:</w:t>
      </w:r>
      <w:r w:rsidR="00F97520" w:rsidRPr="00A3234B">
        <w:rPr>
          <w:b/>
          <w:bCs/>
          <w:i/>
          <w:iCs/>
        </w:rPr>
        <w:t xml:space="preserve"> </w:t>
      </w:r>
      <w:r w:rsidR="00416B2E" w:rsidRPr="00A3234B">
        <w:rPr>
          <w:b/>
          <w:bCs/>
          <w:i/>
          <w:iCs/>
        </w:rPr>
        <w:t>D</w:t>
      </w:r>
      <w:r w:rsidR="008A360D" w:rsidRPr="00A3234B">
        <w:rPr>
          <w:b/>
          <w:bCs/>
          <w:i/>
          <w:iCs/>
        </w:rPr>
        <w:t>iscuss and agree on SBFD evaluation scenarios which</w:t>
      </w:r>
      <w:r w:rsidR="002F5840" w:rsidRPr="00A3234B">
        <w:rPr>
          <w:b/>
          <w:bCs/>
          <w:i/>
          <w:iCs/>
        </w:rPr>
        <w:t xml:space="preserve"> </w:t>
      </w:r>
      <w:r w:rsidR="00D56A4F" w:rsidRPr="00A3234B">
        <w:rPr>
          <w:b/>
          <w:bCs/>
          <w:i/>
          <w:iCs/>
        </w:rPr>
        <w:t xml:space="preserve">specifically show the </w:t>
      </w:r>
      <w:r w:rsidR="000D597F" w:rsidRPr="00A3234B">
        <w:rPr>
          <w:b/>
          <w:bCs/>
          <w:i/>
          <w:iCs/>
        </w:rPr>
        <w:t xml:space="preserve">downlink and uplink </w:t>
      </w:r>
      <w:r w:rsidR="00D56A4F" w:rsidRPr="00A3234B">
        <w:rPr>
          <w:b/>
          <w:bCs/>
          <w:i/>
          <w:iCs/>
        </w:rPr>
        <w:t xml:space="preserve">performance impact of the </w:t>
      </w:r>
      <w:r w:rsidR="006716FC" w:rsidRPr="00A3234B">
        <w:rPr>
          <w:b/>
          <w:bCs/>
          <w:i/>
          <w:iCs/>
        </w:rPr>
        <w:t xml:space="preserve">new </w:t>
      </w:r>
      <w:r w:rsidR="00D56A4F" w:rsidRPr="00A3234B">
        <w:rPr>
          <w:b/>
          <w:bCs/>
          <w:i/>
          <w:iCs/>
        </w:rPr>
        <w:t xml:space="preserve">SBFD-specific interference </w:t>
      </w:r>
      <w:r w:rsidR="006716FC" w:rsidRPr="00A3234B">
        <w:rPr>
          <w:b/>
          <w:bCs/>
          <w:i/>
          <w:iCs/>
        </w:rPr>
        <w:t>types.</w:t>
      </w:r>
    </w:p>
    <w:p w14:paraId="47D5183D" w14:textId="77777777" w:rsidR="003920D7" w:rsidRDefault="003920D7">
      <w:pPr>
        <w:rPr>
          <w:b/>
          <w:bCs/>
        </w:rPr>
      </w:pPr>
    </w:p>
    <w:p w14:paraId="271CE76A" w14:textId="1BFF0F9A" w:rsidR="00BA3958" w:rsidRPr="000A2314" w:rsidRDefault="009B45B4">
      <w:pPr>
        <w:rPr>
          <w:color w:val="000000" w:themeColor="text1"/>
        </w:rPr>
      </w:pPr>
      <w:r>
        <w:rPr>
          <w:color w:val="000000" w:themeColor="text1"/>
        </w:rPr>
        <w:t xml:space="preserve">There are several ways </w:t>
      </w:r>
      <w:r w:rsidR="0076726C">
        <w:rPr>
          <w:color w:val="000000" w:themeColor="text1"/>
        </w:rPr>
        <w:t xml:space="preserve">for allocating </w:t>
      </w:r>
      <w:r w:rsidR="00572BE1">
        <w:rPr>
          <w:color w:val="000000" w:themeColor="text1"/>
        </w:rPr>
        <w:t>the SBFD sub-bands</w:t>
      </w:r>
      <w:r w:rsidR="00E96398">
        <w:rPr>
          <w:color w:val="000000" w:themeColor="text1"/>
        </w:rPr>
        <w:t xml:space="preserve"> per gNB</w:t>
      </w:r>
      <w:r w:rsidR="00572BE1">
        <w:rPr>
          <w:color w:val="000000" w:themeColor="text1"/>
        </w:rPr>
        <w:t xml:space="preserve"> and corresponding SBFD downlink-to-uplink ratio. As a baseline framework for evaluation, we suggest considering a fixed </w:t>
      </w:r>
      <w:r w:rsidR="004E3307">
        <w:rPr>
          <w:color w:val="000000" w:themeColor="text1"/>
        </w:rPr>
        <w:t xml:space="preserve">set of SBFD patterns of different downlink-to-uplink sub-band ratios. </w:t>
      </w:r>
      <w:r w:rsidR="000002FB">
        <w:rPr>
          <w:color w:val="000000" w:themeColor="text1"/>
        </w:rPr>
        <w:t xml:space="preserve">Therefore, scenarios for </w:t>
      </w:r>
      <w:r w:rsidR="0017536F">
        <w:rPr>
          <w:color w:val="000000" w:themeColor="text1"/>
        </w:rPr>
        <w:t xml:space="preserve">inter-gNB </w:t>
      </w:r>
      <w:r w:rsidR="000002FB">
        <w:rPr>
          <w:color w:val="000000" w:themeColor="text1"/>
        </w:rPr>
        <w:t>aligned and non-aligned SBFD</w:t>
      </w:r>
      <w:r w:rsidR="005D4F1B">
        <w:rPr>
          <w:color w:val="000000" w:themeColor="text1"/>
        </w:rPr>
        <w:t xml:space="preserve"> sub-bands</w:t>
      </w:r>
      <w:r w:rsidR="000002FB">
        <w:rPr>
          <w:color w:val="000000" w:themeColor="text1"/>
        </w:rPr>
        <w:t xml:space="preserve"> are considered. </w:t>
      </w:r>
      <w:r w:rsidR="001502B2">
        <w:rPr>
          <w:color w:val="000000" w:themeColor="text1"/>
        </w:rPr>
        <w:t>A</w:t>
      </w:r>
      <w:r w:rsidR="004021CE">
        <w:rPr>
          <w:color w:val="000000" w:themeColor="text1"/>
        </w:rPr>
        <w:t xml:space="preserve"> default TDD </w:t>
      </w:r>
      <w:r w:rsidR="003E6267">
        <w:rPr>
          <w:color w:val="000000" w:themeColor="text1"/>
        </w:rPr>
        <w:t xml:space="preserve">frame format and respective downlink and uplink </w:t>
      </w:r>
      <w:r w:rsidR="00495DAF">
        <w:rPr>
          <w:color w:val="000000" w:themeColor="text1"/>
        </w:rPr>
        <w:t xml:space="preserve">symbol ratio </w:t>
      </w:r>
      <w:r w:rsidR="00E523D8">
        <w:rPr>
          <w:color w:val="000000" w:themeColor="text1"/>
        </w:rPr>
        <w:t xml:space="preserve">for several downlink and uplink traffic splits are </w:t>
      </w:r>
      <w:r w:rsidR="00254A73">
        <w:rPr>
          <w:color w:val="000000" w:themeColor="text1"/>
        </w:rPr>
        <w:t>considered for evaluation.</w:t>
      </w:r>
    </w:p>
    <w:p w14:paraId="193F6617" w14:textId="77777777" w:rsidR="00BA3958" w:rsidRDefault="00BA3958">
      <w:pPr>
        <w:rPr>
          <w:b/>
          <w:bCs/>
        </w:rPr>
      </w:pPr>
    </w:p>
    <w:p w14:paraId="32D41834" w14:textId="7980CBBE" w:rsidR="00DD632F" w:rsidRPr="00A3234B" w:rsidRDefault="00DD632F" w:rsidP="00DD632F">
      <w:pPr>
        <w:rPr>
          <w:b/>
          <w:bCs/>
          <w:i/>
          <w:iCs/>
        </w:rPr>
      </w:pPr>
      <w:r w:rsidRPr="00A3234B">
        <w:rPr>
          <w:b/>
          <w:bCs/>
          <w:i/>
          <w:iCs/>
        </w:rPr>
        <w:t xml:space="preserve">Proposal </w:t>
      </w:r>
      <w:r w:rsidR="00706A49" w:rsidRPr="00A3234B">
        <w:rPr>
          <w:b/>
          <w:bCs/>
          <w:i/>
          <w:iCs/>
        </w:rPr>
        <w:t>3</w:t>
      </w:r>
      <w:r w:rsidRPr="00A3234B">
        <w:rPr>
          <w:b/>
          <w:bCs/>
          <w:i/>
          <w:iCs/>
        </w:rPr>
        <w:t xml:space="preserve">: </w:t>
      </w:r>
      <w:r w:rsidR="00416B2E" w:rsidRPr="00A3234B">
        <w:rPr>
          <w:b/>
          <w:bCs/>
          <w:i/>
          <w:iCs/>
        </w:rPr>
        <w:t>C</w:t>
      </w:r>
      <w:r w:rsidR="0013149B" w:rsidRPr="00A3234B">
        <w:rPr>
          <w:b/>
          <w:bCs/>
          <w:i/>
          <w:iCs/>
        </w:rPr>
        <w:t>onsider</w:t>
      </w:r>
      <w:r w:rsidR="00DE7726" w:rsidRPr="00A3234B">
        <w:rPr>
          <w:b/>
          <w:bCs/>
          <w:i/>
          <w:iCs/>
        </w:rPr>
        <w:t xml:space="preserve">, as an initial evaluation step, </w:t>
      </w:r>
      <w:r w:rsidR="00360BFA" w:rsidRPr="00A3234B">
        <w:rPr>
          <w:b/>
          <w:bCs/>
          <w:i/>
          <w:iCs/>
        </w:rPr>
        <w:t xml:space="preserve">a </w:t>
      </w:r>
      <w:r w:rsidR="006E6028" w:rsidRPr="00A3234B">
        <w:rPr>
          <w:b/>
          <w:bCs/>
          <w:i/>
          <w:iCs/>
        </w:rPr>
        <w:t xml:space="preserve">set of </w:t>
      </w:r>
      <w:r w:rsidR="00416B2E" w:rsidRPr="00A3234B">
        <w:rPr>
          <w:b/>
          <w:bCs/>
          <w:i/>
          <w:iCs/>
        </w:rPr>
        <w:t>fixed DL-</w:t>
      </w:r>
      <w:r w:rsidR="00A32AAB" w:rsidRPr="00A3234B">
        <w:rPr>
          <w:b/>
          <w:bCs/>
          <w:i/>
          <w:iCs/>
        </w:rPr>
        <w:t xml:space="preserve">to-UL </w:t>
      </w:r>
      <w:r w:rsidR="006E6028" w:rsidRPr="00A3234B">
        <w:rPr>
          <w:b/>
          <w:bCs/>
          <w:i/>
          <w:iCs/>
        </w:rPr>
        <w:t>SBFD ratios</w:t>
      </w:r>
      <w:r w:rsidR="00941080" w:rsidRPr="00A3234B">
        <w:rPr>
          <w:b/>
          <w:bCs/>
          <w:i/>
          <w:iCs/>
        </w:rPr>
        <w:t xml:space="preserve"> </w:t>
      </w:r>
      <w:r w:rsidR="00BF040A" w:rsidRPr="00A3234B">
        <w:rPr>
          <w:b/>
          <w:bCs/>
          <w:i/>
          <w:iCs/>
        </w:rPr>
        <w:t xml:space="preserve">or patterns </w:t>
      </w:r>
      <w:r w:rsidR="00941080" w:rsidRPr="00A3234B">
        <w:rPr>
          <w:b/>
          <w:bCs/>
          <w:i/>
          <w:iCs/>
        </w:rPr>
        <w:t>with pre-defined resource locations and guard bands.</w:t>
      </w:r>
    </w:p>
    <w:p w14:paraId="3D81ACEF" w14:textId="77777777" w:rsidR="00DD632F" w:rsidRDefault="00DD632F">
      <w:pPr>
        <w:rPr>
          <w:b/>
          <w:bCs/>
        </w:rPr>
      </w:pPr>
    </w:p>
    <w:p w14:paraId="11155768" w14:textId="141CD28F" w:rsidR="00EE2301" w:rsidRPr="00A3234B" w:rsidRDefault="00EE2301">
      <w:pPr>
        <w:rPr>
          <w:b/>
          <w:bCs/>
          <w:i/>
          <w:iCs/>
        </w:rPr>
      </w:pPr>
      <w:r w:rsidRPr="00A3234B">
        <w:rPr>
          <w:b/>
          <w:bCs/>
          <w:i/>
          <w:iCs/>
        </w:rPr>
        <w:t xml:space="preserve">Proposal </w:t>
      </w:r>
      <w:r w:rsidR="00706A49" w:rsidRPr="00A3234B">
        <w:rPr>
          <w:b/>
          <w:bCs/>
          <w:i/>
          <w:iCs/>
        </w:rPr>
        <w:t>4</w:t>
      </w:r>
      <w:r w:rsidRPr="00A3234B">
        <w:rPr>
          <w:b/>
          <w:bCs/>
          <w:i/>
          <w:iCs/>
        </w:rPr>
        <w:t>:</w:t>
      </w:r>
      <w:r w:rsidR="007055BE" w:rsidRPr="00A3234B">
        <w:rPr>
          <w:b/>
          <w:bCs/>
          <w:i/>
          <w:iCs/>
        </w:rPr>
        <w:t xml:space="preserve"> </w:t>
      </w:r>
      <w:r w:rsidR="00442E1B" w:rsidRPr="00A3234B">
        <w:rPr>
          <w:b/>
          <w:bCs/>
          <w:i/>
          <w:iCs/>
        </w:rPr>
        <w:t>Consider</w:t>
      </w:r>
      <w:r w:rsidR="00120693" w:rsidRPr="00A3234B">
        <w:rPr>
          <w:b/>
          <w:bCs/>
          <w:i/>
          <w:iCs/>
        </w:rPr>
        <w:t xml:space="preserve"> </w:t>
      </w:r>
      <w:r w:rsidR="00470438" w:rsidRPr="00A3234B">
        <w:rPr>
          <w:b/>
          <w:bCs/>
          <w:i/>
          <w:iCs/>
        </w:rPr>
        <w:t xml:space="preserve">a set of </w:t>
      </w:r>
      <w:proofErr w:type="gramStart"/>
      <w:r w:rsidR="00120693" w:rsidRPr="00A3234B">
        <w:rPr>
          <w:b/>
          <w:bCs/>
          <w:i/>
          <w:iCs/>
        </w:rPr>
        <w:t>baseline</w:t>
      </w:r>
      <w:proofErr w:type="gramEnd"/>
      <w:r w:rsidR="00120693" w:rsidRPr="00A3234B">
        <w:rPr>
          <w:b/>
          <w:bCs/>
          <w:i/>
          <w:iCs/>
        </w:rPr>
        <w:t xml:space="preserve"> </w:t>
      </w:r>
      <w:r w:rsidR="00470438" w:rsidRPr="00A3234B">
        <w:rPr>
          <w:b/>
          <w:bCs/>
          <w:i/>
          <w:iCs/>
        </w:rPr>
        <w:t xml:space="preserve">TDD </w:t>
      </w:r>
      <w:r w:rsidR="00952B8B">
        <w:rPr>
          <w:b/>
          <w:bCs/>
          <w:i/>
          <w:iCs/>
        </w:rPr>
        <w:t xml:space="preserve">radio </w:t>
      </w:r>
      <w:r w:rsidR="00470438" w:rsidRPr="00A3234B">
        <w:rPr>
          <w:b/>
          <w:bCs/>
          <w:i/>
          <w:iCs/>
        </w:rPr>
        <w:t>frame formats, corresponding to</w:t>
      </w:r>
      <w:r w:rsidR="00E3198B" w:rsidRPr="00A3234B">
        <w:rPr>
          <w:b/>
          <w:bCs/>
          <w:i/>
          <w:iCs/>
        </w:rPr>
        <w:t xml:space="preserve"> </w:t>
      </w:r>
      <w:r w:rsidR="00507D81" w:rsidRPr="00A3234B">
        <w:rPr>
          <w:b/>
          <w:bCs/>
          <w:i/>
          <w:iCs/>
        </w:rPr>
        <w:t>a set of</w:t>
      </w:r>
      <w:r w:rsidR="00757D96" w:rsidRPr="00A3234B">
        <w:rPr>
          <w:b/>
          <w:bCs/>
          <w:i/>
          <w:iCs/>
        </w:rPr>
        <w:t xml:space="preserve"> DL-to-UL offered traffic ratios. </w:t>
      </w:r>
    </w:p>
    <w:p w14:paraId="589D5A76" w14:textId="77777777" w:rsidR="003920D7" w:rsidRDefault="003920D7">
      <w:pPr>
        <w:rPr>
          <w:b/>
          <w:bCs/>
        </w:rPr>
      </w:pPr>
    </w:p>
    <w:p w14:paraId="7775E072" w14:textId="36A504C6" w:rsidR="002A6D36" w:rsidRPr="00251E76" w:rsidRDefault="006C1608" w:rsidP="002A4084">
      <w:pPr>
        <w:rPr>
          <w:rFonts w:eastAsia="Wingdings" w:cs="Wingdings"/>
          <w:lang w:val="en-GB"/>
        </w:rPr>
      </w:pPr>
      <w:r>
        <w:rPr>
          <w:rFonts w:eastAsia="Wingdings" w:cs="Wingdings"/>
          <w:lang w:val="en-GB"/>
        </w:rPr>
        <w:t xml:space="preserve">For performance evaluation, the FTP3 traffic model </w:t>
      </w:r>
      <w:r w:rsidR="00617495">
        <w:rPr>
          <w:rFonts w:eastAsia="Wingdings" w:cs="Wingdings"/>
          <w:lang w:val="en-GB"/>
        </w:rPr>
        <w:t xml:space="preserve">can be used with </w:t>
      </w:r>
      <w:r w:rsidR="006F1DE2">
        <w:rPr>
          <w:rFonts w:eastAsia="Wingdings" w:cs="Wingdings"/>
          <w:lang w:val="en-GB"/>
        </w:rPr>
        <w:t>a predetermined payload size and average packet inter-arrival rate</w:t>
      </w:r>
      <w:r w:rsidR="003579FE">
        <w:rPr>
          <w:rFonts w:eastAsia="Wingdings" w:cs="Wingdings"/>
          <w:lang w:val="en-GB"/>
        </w:rPr>
        <w:t xml:space="preserve">, for all SBFD deployment scenarios </w:t>
      </w:r>
      <w:r w:rsidR="004F3A3B">
        <w:rPr>
          <w:rFonts w:eastAsia="Wingdings" w:cs="Wingdings"/>
          <w:lang w:val="en-GB"/>
        </w:rPr>
        <w:t>under evaluation</w:t>
      </w:r>
      <w:r w:rsidR="006F1DE2">
        <w:rPr>
          <w:rFonts w:eastAsia="Wingdings" w:cs="Wingdings"/>
          <w:lang w:val="en-GB"/>
        </w:rPr>
        <w:t>.</w:t>
      </w:r>
      <w:r w:rsidR="00425EDD">
        <w:rPr>
          <w:rFonts w:eastAsia="Wingdings" w:cs="Wingdings"/>
          <w:lang w:val="en-GB"/>
        </w:rPr>
        <w:t xml:space="preserve"> Both uplink and downlink traffic should be considered</w:t>
      </w:r>
      <w:r w:rsidR="001D395A">
        <w:rPr>
          <w:rFonts w:eastAsia="Wingdings" w:cs="Wingdings"/>
          <w:lang w:val="en-GB"/>
        </w:rPr>
        <w:t>,</w:t>
      </w:r>
      <w:r w:rsidR="00425EDD">
        <w:rPr>
          <w:rFonts w:eastAsia="Wingdings" w:cs="Wingdings"/>
          <w:lang w:val="en-GB"/>
        </w:rPr>
        <w:t xml:space="preserve"> </w:t>
      </w:r>
      <w:r w:rsidR="001E0DA9">
        <w:rPr>
          <w:rFonts w:eastAsia="Wingdings" w:cs="Wingdings"/>
          <w:lang w:val="en-GB"/>
        </w:rPr>
        <w:t xml:space="preserve">with </w:t>
      </w:r>
      <w:r w:rsidR="00961DD4">
        <w:rPr>
          <w:rFonts w:eastAsia="Wingdings" w:cs="Wingdings"/>
          <w:lang w:val="en-GB"/>
        </w:rPr>
        <w:t>pre-</w:t>
      </w:r>
      <w:r w:rsidR="00EB1F78">
        <w:rPr>
          <w:rFonts w:eastAsia="Wingdings" w:cs="Wingdings"/>
          <w:lang w:val="en-GB"/>
        </w:rPr>
        <w:t>determined</w:t>
      </w:r>
      <w:r w:rsidR="001E0DA9">
        <w:rPr>
          <w:rFonts w:eastAsia="Wingdings" w:cs="Wingdings"/>
          <w:lang w:val="en-GB"/>
        </w:rPr>
        <w:t xml:space="preserve"> offered loads, </w:t>
      </w:r>
      <w:r w:rsidR="00425EDD">
        <w:rPr>
          <w:rFonts w:eastAsia="Wingdings" w:cs="Wingdings"/>
          <w:lang w:val="en-GB"/>
        </w:rPr>
        <w:t xml:space="preserve">for evaluating the </w:t>
      </w:r>
      <w:r w:rsidR="00553C81">
        <w:rPr>
          <w:rFonts w:eastAsia="Wingdings" w:cs="Wingdings"/>
          <w:lang w:val="en-GB"/>
        </w:rPr>
        <w:t>SBFD interference impacts</w:t>
      </w:r>
      <w:r w:rsidR="001B513C">
        <w:rPr>
          <w:rFonts w:eastAsia="Wingdings" w:cs="Wingdings"/>
          <w:lang w:val="en-GB"/>
        </w:rPr>
        <w:t xml:space="preserve"> under different load scenarios</w:t>
      </w:r>
      <w:r w:rsidR="00553C81">
        <w:rPr>
          <w:rFonts w:eastAsia="Wingdings" w:cs="Wingdings"/>
          <w:lang w:val="en-GB"/>
        </w:rPr>
        <w:t>.</w:t>
      </w:r>
      <w:r w:rsidR="006A4337">
        <w:rPr>
          <w:rFonts w:eastAsia="Wingdings" w:cs="Wingdings"/>
          <w:lang w:val="en-GB"/>
        </w:rPr>
        <w:t xml:space="preserve"> The performance key performance indicators (KPIs) of interest </w:t>
      </w:r>
      <w:r w:rsidR="001F45FA">
        <w:rPr>
          <w:rFonts w:eastAsia="Wingdings" w:cs="Wingdings"/>
          <w:lang w:val="en-GB"/>
        </w:rPr>
        <w:t xml:space="preserve">should be selected such that </w:t>
      </w:r>
      <w:r w:rsidR="00F91F4D">
        <w:rPr>
          <w:rFonts w:eastAsia="Wingdings" w:cs="Wingdings"/>
          <w:lang w:val="en-GB"/>
        </w:rPr>
        <w:t xml:space="preserve">the </w:t>
      </w:r>
      <w:r w:rsidR="00D30230">
        <w:rPr>
          <w:rFonts w:eastAsia="Wingdings" w:cs="Wingdings"/>
          <w:lang w:val="en-GB"/>
        </w:rPr>
        <w:t xml:space="preserve">uplink </w:t>
      </w:r>
      <w:r w:rsidR="00F91F4D">
        <w:rPr>
          <w:rFonts w:eastAsia="Wingdings" w:cs="Wingdings"/>
          <w:lang w:val="en-GB"/>
        </w:rPr>
        <w:t xml:space="preserve">performance </w:t>
      </w:r>
      <w:r w:rsidR="0094660B">
        <w:rPr>
          <w:rFonts w:eastAsia="Wingdings" w:cs="Wingdings"/>
          <w:lang w:val="en-GB"/>
        </w:rPr>
        <w:t xml:space="preserve">gain of SBFD </w:t>
      </w:r>
      <w:r w:rsidR="00D30230">
        <w:rPr>
          <w:rFonts w:eastAsia="Wingdings" w:cs="Wingdings"/>
          <w:lang w:val="en-GB"/>
        </w:rPr>
        <w:t xml:space="preserve">and SBFD interference </w:t>
      </w:r>
      <w:r w:rsidR="00F91F4D">
        <w:rPr>
          <w:rFonts w:eastAsia="Wingdings" w:cs="Wingdings"/>
          <w:lang w:val="en-GB"/>
        </w:rPr>
        <w:t>impact</w:t>
      </w:r>
      <w:r w:rsidR="00D30230">
        <w:rPr>
          <w:rFonts w:eastAsia="Wingdings" w:cs="Wingdings"/>
          <w:lang w:val="en-GB"/>
        </w:rPr>
        <w:t xml:space="preserve">s are </w:t>
      </w:r>
      <w:r w:rsidR="002A5C51">
        <w:rPr>
          <w:rFonts w:eastAsia="Wingdings" w:cs="Wingdings"/>
          <w:lang w:val="en-GB"/>
        </w:rPr>
        <w:t xml:space="preserve">both </w:t>
      </w:r>
      <w:r w:rsidR="00977C79">
        <w:rPr>
          <w:rFonts w:eastAsia="Wingdings" w:cs="Wingdings"/>
          <w:lang w:val="en-GB"/>
        </w:rPr>
        <w:t>identified</w:t>
      </w:r>
      <w:r w:rsidR="00D30230">
        <w:rPr>
          <w:rFonts w:eastAsia="Wingdings" w:cs="Wingdings"/>
          <w:lang w:val="en-GB"/>
        </w:rPr>
        <w:t xml:space="preserve">. </w:t>
      </w:r>
      <w:r w:rsidR="00F91F4D">
        <w:rPr>
          <w:rFonts w:eastAsia="Wingdings" w:cs="Wingdings"/>
          <w:lang w:val="en-GB"/>
        </w:rPr>
        <w:t xml:space="preserve"> </w:t>
      </w:r>
      <w:r w:rsidR="00977C79">
        <w:rPr>
          <w:rFonts w:eastAsia="Wingdings" w:cs="Wingdings"/>
          <w:lang w:val="en-GB"/>
        </w:rPr>
        <w:t>Exemplary performance KPIs are</w:t>
      </w:r>
      <w:r w:rsidR="00D05429">
        <w:rPr>
          <w:rFonts w:eastAsia="Wingdings" w:cs="Wingdings"/>
          <w:lang w:val="en-GB"/>
        </w:rPr>
        <w:t>: (1)</w:t>
      </w:r>
      <w:r w:rsidR="00977C79">
        <w:rPr>
          <w:rFonts w:eastAsia="Wingdings" w:cs="Wingdings"/>
          <w:lang w:val="en-GB"/>
        </w:rPr>
        <w:t xml:space="preserve"> the average received uplink </w:t>
      </w:r>
      <w:r w:rsidR="0024744D">
        <w:rPr>
          <w:rFonts w:eastAsia="Wingdings" w:cs="Wingdings"/>
          <w:lang w:val="en-GB"/>
        </w:rPr>
        <w:t xml:space="preserve">user </w:t>
      </w:r>
      <w:r w:rsidR="00977C79">
        <w:rPr>
          <w:rFonts w:eastAsia="Wingdings" w:cs="Wingdings"/>
          <w:lang w:val="en-GB"/>
        </w:rPr>
        <w:t>throughput</w:t>
      </w:r>
      <w:r w:rsidR="0024744D">
        <w:rPr>
          <w:rFonts w:eastAsia="Wingdings" w:cs="Wingdings"/>
          <w:lang w:val="en-GB"/>
        </w:rPr>
        <w:t>, (2) uplink and downlink average user signal to interference ratio (SINR)</w:t>
      </w:r>
      <w:r w:rsidR="00983DAE">
        <w:rPr>
          <w:rFonts w:eastAsia="Wingdings" w:cs="Wingdings"/>
          <w:lang w:val="en-GB"/>
        </w:rPr>
        <w:t xml:space="preserve">, and (3) </w:t>
      </w:r>
      <w:r w:rsidR="00C61F84">
        <w:rPr>
          <w:rFonts w:eastAsia="Wingdings" w:cs="Wingdings"/>
          <w:lang w:val="en-GB"/>
        </w:rPr>
        <w:t xml:space="preserve">uplink and downlink average latency, where the latter considers the delays from the moment a packet is generated until it is successfully decoded at intended receiver, including HARQ </w:t>
      </w:r>
      <w:r w:rsidR="00AD13A6">
        <w:rPr>
          <w:rFonts w:eastAsia="Wingdings" w:cs="Wingdings"/>
          <w:lang w:val="en-GB"/>
        </w:rPr>
        <w:t>retransmission delays, dynamic scheduling delay</w:t>
      </w:r>
      <w:r w:rsidR="00B308C6">
        <w:rPr>
          <w:rFonts w:eastAsia="Wingdings" w:cs="Wingdings"/>
          <w:lang w:val="en-GB"/>
        </w:rPr>
        <w:t>s</w:t>
      </w:r>
      <w:r w:rsidR="00AD13A6">
        <w:rPr>
          <w:rFonts w:eastAsia="Wingdings" w:cs="Wingdings"/>
          <w:lang w:val="en-GB"/>
        </w:rPr>
        <w:t>, and gNB and UE processing delays</w:t>
      </w:r>
      <w:r w:rsidR="00B308C6">
        <w:rPr>
          <w:rFonts w:eastAsia="Wingdings" w:cs="Wingdings"/>
          <w:lang w:val="en-GB"/>
        </w:rPr>
        <w:t>, respectively</w:t>
      </w:r>
      <w:r w:rsidR="00AD13A6">
        <w:rPr>
          <w:rFonts w:eastAsia="Wingdings" w:cs="Wingdings"/>
          <w:lang w:val="en-GB"/>
        </w:rPr>
        <w:t xml:space="preserve">. </w:t>
      </w:r>
      <w:r w:rsidR="00977C79">
        <w:rPr>
          <w:rFonts w:eastAsia="Wingdings" w:cs="Wingdings"/>
          <w:lang w:val="en-GB"/>
        </w:rPr>
        <w:t xml:space="preserve"> </w:t>
      </w:r>
    </w:p>
    <w:p w14:paraId="219E96E9" w14:textId="77777777" w:rsidR="004F02AA" w:rsidRDefault="004F02AA" w:rsidP="002A4084">
      <w:pPr>
        <w:rPr>
          <w:b/>
          <w:bCs/>
        </w:rPr>
      </w:pPr>
    </w:p>
    <w:p w14:paraId="1A9B0CC3" w14:textId="50F35206" w:rsidR="002A4084" w:rsidRPr="00B36712" w:rsidRDefault="002A4084" w:rsidP="002A4084">
      <w:pPr>
        <w:rPr>
          <w:b/>
          <w:bCs/>
          <w:i/>
          <w:iCs/>
        </w:rPr>
      </w:pPr>
      <w:r w:rsidRPr="00B36712">
        <w:rPr>
          <w:b/>
          <w:bCs/>
          <w:i/>
          <w:iCs/>
        </w:rPr>
        <w:t xml:space="preserve">Proposal </w:t>
      </w:r>
      <w:r w:rsidR="00CF0BAC" w:rsidRPr="00B36712">
        <w:rPr>
          <w:b/>
          <w:bCs/>
          <w:i/>
          <w:iCs/>
        </w:rPr>
        <w:t>5</w:t>
      </w:r>
      <w:r w:rsidRPr="00B36712">
        <w:rPr>
          <w:b/>
          <w:bCs/>
          <w:i/>
          <w:iCs/>
        </w:rPr>
        <w:t xml:space="preserve">: Consider </w:t>
      </w:r>
      <w:r w:rsidR="00146705" w:rsidRPr="00B36712">
        <w:rPr>
          <w:b/>
          <w:bCs/>
          <w:i/>
          <w:iCs/>
        </w:rPr>
        <w:t>FTP3 traffic mode</w:t>
      </w:r>
      <w:r w:rsidR="00D114AA" w:rsidRPr="00B36712">
        <w:rPr>
          <w:b/>
          <w:bCs/>
          <w:i/>
          <w:iCs/>
        </w:rPr>
        <w:t>l</w:t>
      </w:r>
      <w:r w:rsidR="00146705" w:rsidRPr="00B36712">
        <w:rPr>
          <w:b/>
          <w:bCs/>
          <w:i/>
          <w:iCs/>
        </w:rPr>
        <w:t xml:space="preserve"> </w:t>
      </w:r>
      <w:r w:rsidR="00D114AA" w:rsidRPr="00B36712">
        <w:rPr>
          <w:b/>
          <w:bCs/>
          <w:i/>
          <w:iCs/>
        </w:rPr>
        <w:t xml:space="preserve">in both DL and UL directions, with pre-determined packet sizes and </w:t>
      </w:r>
      <w:r w:rsidR="0092655F" w:rsidRPr="00B36712">
        <w:rPr>
          <w:b/>
          <w:bCs/>
          <w:i/>
          <w:iCs/>
        </w:rPr>
        <w:t>average arrival rate</w:t>
      </w:r>
      <w:r w:rsidR="008274F3" w:rsidRPr="00B36712">
        <w:rPr>
          <w:b/>
          <w:bCs/>
          <w:i/>
          <w:iCs/>
        </w:rPr>
        <w:t>s</w:t>
      </w:r>
      <w:r w:rsidR="0092655F" w:rsidRPr="00B36712">
        <w:rPr>
          <w:b/>
          <w:bCs/>
          <w:i/>
          <w:iCs/>
        </w:rPr>
        <w:t xml:space="preserve">. </w:t>
      </w:r>
      <w:r w:rsidR="00146705" w:rsidRPr="00B36712">
        <w:rPr>
          <w:b/>
          <w:bCs/>
          <w:i/>
          <w:iCs/>
        </w:rPr>
        <w:t xml:space="preserve"> </w:t>
      </w:r>
    </w:p>
    <w:p w14:paraId="648F2ADA" w14:textId="77777777" w:rsidR="003920D7" w:rsidRDefault="003920D7">
      <w:pPr>
        <w:rPr>
          <w:rFonts w:eastAsia="Wingdings" w:cs="Wingdings"/>
        </w:rPr>
      </w:pPr>
    </w:p>
    <w:p w14:paraId="6A3E1FFF" w14:textId="6E7DFF7A" w:rsidR="00133845" w:rsidRPr="00B36712" w:rsidRDefault="005E7994" w:rsidP="00133845">
      <w:pPr>
        <w:pBdr>
          <w:bottom w:val="single" w:sz="6" w:space="1" w:color="auto"/>
        </w:pBdr>
        <w:rPr>
          <w:b/>
          <w:bCs/>
          <w:i/>
          <w:iCs/>
        </w:rPr>
      </w:pPr>
      <w:r w:rsidRPr="00B36712">
        <w:rPr>
          <w:b/>
          <w:bCs/>
          <w:i/>
          <w:iCs/>
        </w:rPr>
        <w:t xml:space="preserve">Proposal </w:t>
      </w:r>
      <w:r w:rsidR="003871CC">
        <w:rPr>
          <w:b/>
          <w:bCs/>
          <w:i/>
          <w:iCs/>
        </w:rPr>
        <w:t>6</w:t>
      </w:r>
      <w:r w:rsidRPr="00B36712">
        <w:rPr>
          <w:b/>
          <w:bCs/>
          <w:i/>
          <w:iCs/>
        </w:rPr>
        <w:t xml:space="preserve">: </w:t>
      </w:r>
      <w:r w:rsidR="00D77EC1" w:rsidRPr="00B36712">
        <w:rPr>
          <w:b/>
          <w:bCs/>
          <w:i/>
          <w:iCs/>
        </w:rPr>
        <w:t>Performance evaluation criteria are</w:t>
      </w:r>
      <w:r w:rsidR="006D2AD6" w:rsidRPr="00B36712">
        <w:rPr>
          <w:b/>
          <w:bCs/>
          <w:i/>
          <w:iCs/>
        </w:rPr>
        <w:t>:</w:t>
      </w:r>
      <w:r w:rsidR="00A13F82" w:rsidRPr="00B36712">
        <w:rPr>
          <w:b/>
          <w:bCs/>
          <w:i/>
          <w:iCs/>
        </w:rPr>
        <w:t xml:space="preserve"> average UL SINR, DL and UL radio latency</w:t>
      </w:r>
      <w:r w:rsidR="00D15A62" w:rsidRPr="00B36712">
        <w:rPr>
          <w:b/>
          <w:bCs/>
          <w:i/>
          <w:iCs/>
        </w:rPr>
        <w:t xml:space="preserve">, and average UL and DL user throughput. </w:t>
      </w:r>
      <w:r w:rsidR="00D77EC1" w:rsidRPr="00B36712">
        <w:rPr>
          <w:b/>
          <w:bCs/>
          <w:i/>
          <w:iCs/>
        </w:rPr>
        <w:t xml:space="preserve"> </w:t>
      </w:r>
      <w:r w:rsidR="00D15A62" w:rsidRPr="00B36712">
        <w:rPr>
          <w:b/>
          <w:bCs/>
          <w:i/>
          <w:iCs/>
        </w:rPr>
        <w:t xml:space="preserve">The latency metric is captured similarly to </w:t>
      </w:r>
      <w:r w:rsidR="006D2AD6" w:rsidRPr="00B36712">
        <w:rPr>
          <w:b/>
          <w:bCs/>
          <w:i/>
          <w:iCs/>
        </w:rPr>
        <w:t xml:space="preserve">that is of the URLLC evaluations, implying the </w:t>
      </w:r>
      <w:r w:rsidR="00D167D8">
        <w:rPr>
          <w:b/>
          <w:bCs/>
          <w:i/>
          <w:iCs/>
        </w:rPr>
        <w:t>delay</w:t>
      </w:r>
      <w:r w:rsidR="006D2AD6" w:rsidRPr="00B36712">
        <w:rPr>
          <w:b/>
          <w:bCs/>
          <w:i/>
          <w:iCs/>
        </w:rPr>
        <w:t xml:space="preserve"> from the moment the packet is generated until it is being successfully received</w:t>
      </w:r>
      <w:r w:rsidR="00767120" w:rsidRPr="00B36712">
        <w:rPr>
          <w:b/>
          <w:bCs/>
          <w:i/>
          <w:iCs/>
        </w:rPr>
        <w:t xml:space="preserve"> at the intended receiver, including the HARQ retransmission delay.</w:t>
      </w:r>
      <w:r w:rsidRPr="00B36712">
        <w:rPr>
          <w:b/>
          <w:bCs/>
          <w:i/>
          <w:iCs/>
        </w:rPr>
        <w:t xml:space="preserve">  </w:t>
      </w:r>
    </w:p>
    <w:p w14:paraId="6AF94C41" w14:textId="77777777" w:rsidR="00133845" w:rsidRPr="00133845" w:rsidRDefault="00133845" w:rsidP="00133845">
      <w:pPr>
        <w:pBdr>
          <w:bottom w:val="single" w:sz="6" w:space="1" w:color="auto"/>
        </w:pBdr>
        <w:rPr>
          <w:b/>
          <w:bCs/>
        </w:rPr>
      </w:pPr>
    </w:p>
    <w:p w14:paraId="64B6AE28" w14:textId="77777777" w:rsidR="006D4AAD" w:rsidRPr="000E2729" w:rsidRDefault="006342FD">
      <w:pPr>
        <w:pStyle w:val="Heading1"/>
        <w:rPr>
          <w:sz w:val="36"/>
          <w:szCs w:val="36"/>
        </w:rPr>
      </w:pPr>
      <w:r w:rsidRPr="000E2729">
        <w:rPr>
          <w:rFonts w:eastAsia="Wingdings" w:cs="Wingdings"/>
          <w:sz w:val="36"/>
          <w:szCs w:val="36"/>
        </w:rPr>
        <w:t>Conclusion</w:t>
      </w:r>
    </w:p>
    <w:p w14:paraId="5CD14C57" w14:textId="040B1B51" w:rsidR="00FE51A8" w:rsidRPr="00DC4CB1" w:rsidRDefault="4989BE7F" w:rsidP="001211FD">
      <w:pPr>
        <w:rPr>
          <w:rFonts w:eastAsia="Wingdings" w:cs="Wingdings"/>
          <w:kern w:val="2"/>
          <w:lang w:val="en-GB"/>
        </w:rPr>
      </w:pPr>
      <w:r w:rsidRPr="00BD6F27">
        <w:rPr>
          <w:rFonts w:eastAsia="Wingdings" w:cs="Wingdings"/>
          <w:lang w:val="en-GB"/>
        </w:rPr>
        <w:t>The following observations and proposals are made in this contribution</w:t>
      </w:r>
      <w:r w:rsidR="00804018">
        <w:rPr>
          <w:rFonts w:eastAsia="Wingdings" w:cs="Wingdings"/>
          <w:lang w:val="en-GB"/>
        </w:rPr>
        <w:t>:</w:t>
      </w:r>
    </w:p>
    <w:p w14:paraId="3A772A47" w14:textId="5B120186" w:rsidR="001211FD" w:rsidRDefault="001211FD" w:rsidP="001211FD">
      <w:pPr>
        <w:rPr>
          <w:b/>
          <w:bCs/>
          <w:i/>
          <w:iCs/>
        </w:rPr>
      </w:pPr>
      <w:r w:rsidRPr="00337923">
        <w:rPr>
          <w:b/>
          <w:bCs/>
          <w:i/>
          <w:iCs/>
        </w:rPr>
        <w:t xml:space="preserve">Observation </w:t>
      </w:r>
      <w:r>
        <w:rPr>
          <w:b/>
          <w:bCs/>
          <w:i/>
          <w:iCs/>
        </w:rPr>
        <w:t>1</w:t>
      </w:r>
      <w:r w:rsidRPr="00337923">
        <w:rPr>
          <w:b/>
          <w:bCs/>
          <w:i/>
          <w:iCs/>
        </w:rPr>
        <w:t>:</w:t>
      </w:r>
      <w:r>
        <w:rPr>
          <w:b/>
          <w:bCs/>
          <w:i/>
          <w:iCs/>
        </w:rPr>
        <w:t xml:space="preserve"> As per the conclusions of the Rel-16 dynamic TDD study on cross-link interference (CLI) [</w:t>
      </w:r>
      <w:r w:rsidRPr="00245B4D">
        <w:rPr>
          <w:b/>
          <w:bCs/>
          <w:i/>
          <w:iCs/>
        </w:rPr>
        <w:t>TR 38.828</w:t>
      </w:r>
      <w:r>
        <w:rPr>
          <w:b/>
          <w:bCs/>
          <w:i/>
          <w:iCs/>
        </w:rPr>
        <w:t xml:space="preserve">], the feasibility of the dynamic TDD in FR1 Macro deployments is challenging due to severe gNB-to-gNB CLI. Therefore, FR1 dynamic TDD is most feasible within low transmit power deployments, e.g., small cell deployments. </w:t>
      </w:r>
    </w:p>
    <w:p w14:paraId="089DBEF6" w14:textId="77777777" w:rsidR="001211FD" w:rsidRDefault="001211FD" w:rsidP="001211FD">
      <w:pPr>
        <w:rPr>
          <w:b/>
          <w:bCs/>
          <w:i/>
          <w:iCs/>
        </w:rPr>
      </w:pPr>
    </w:p>
    <w:p w14:paraId="26B39CB0" w14:textId="77777777" w:rsidR="001211FD" w:rsidRDefault="001211FD" w:rsidP="001211FD">
      <w:pPr>
        <w:rPr>
          <w:b/>
          <w:bCs/>
          <w:i/>
          <w:iCs/>
        </w:rPr>
      </w:pPr>
      <w:r w:rsidRPr="00337923">
        <w:rPr>
          <w:b/>
          <w:bCs/>
          <w:i/>
          <w:iCs/>
        </w:rPr>
        <w:t xml:space="preserve">Observation </w:t>
      </w:r>
      <w:r>
        <w:rPr>
          <w:b/>
          <w:bCs/>
          <w:i/>
          <w:iCs/>
        </w:rPr>
        <w:t>2</w:t>
      </w:r>
      <w:r w:rsidRPr="00337923">
        <w:rPr>
          <w:b/>
          <w:bCs/>
          <w:i/>
          <w:iCs/>
        </w:rPr>
        <w:t>:</w:t>
      </w:r>
      <w:r>
        <w:rPr>
          <w:b/>
          <w:bCs/>
          <w:i/>
          <w:iCs/>
        </w:rPr>
        <w:t xml:space="preserve"> Dynamic TDD Macro deployments over FR2 are more feasible due to the higher path-loss and the beam-forming isolation, resulting in a controlled gNB-to-gNB CLI.</w:t>
      </w:r>
    </w:p>
    <w:p w14:paraId="0C6A3807" w14:textId="3A7E86F6" w:rsidR="4989BE7F" w:rsidRDefault="4989BE7F" w:rsidP="4989BE7F"/>
    <w:p w14:paraId="32575675" w14:textId="77777777" w:rsidR="0029109E" w:rsidRPr="007044B2" w:rsidRDefault="0029109E" w:rsidP="0029109E">
      <w:pPr>
        <w:rPr>
          <w:i/>
          <w:iCs/>
          <w:color w:val="000000" w:themeColor="text1"/>
        </w:rPr>
      </w:pPr>
      <w:r w:rsidRPr="007044B2">
        <w:rPr>
          <w:b/>
          <w:bCs/>
          <w:i/>
          <w:iCs/>
        </w:rPr>
        <w:t xml:space="preserve">Proposal 1: To avoid repetition of Rel-16 dynamic TDD study activities, evaluations of NR full duplex consider indoor/small cell/indoor hot-spot deployments over FR1. For FR2, dense urban, urban macro, and indoor hotspot deployments are considered. </w:t>
      </w:r>
    </w:p>
    <w:p w14:paraId="40B20E81" w14:textId="77777777" w:rsidR="005D1A61" w:rsidRDefault="005D1A61" w:rsidP="005F0C47">
      <w:pPr>
        <w:rPr>
          <w:b/>
          <w:bCs/>
        </w:rPr>
      </w:pPr>
    </w:p>
    <w:p w14:paraId="431904F9" w14:textId="35C0CE2B" w:rsidR="005F0C47" w:rsidRPr="007044B2" w:rsidRDefault="005F0C47" w:rsidP="005F0C47">
      <w:pPr>
        <w:rPr>
          <w:b/>
          <w:bCs/>
          <w:i/>
          <w:iCs/>
        </w:rPr>
      </w:pPr>
      <w:r w:rsidRPr="007044B2">
        <w:rPr>
          <w:b/>
          <w:bCs/>
          <w:i/>
          <w:iCs/>
        </w:rPr>
        <w:t>Proposal 2: Discuss and agree on SBFD evaluation scenarios which specifically show the downlink and uplink performance impact of the new SBFD-specific interference types.</w:t>
      </w:r>
    </w:p>
    <w:p w14:paraId="5695D878" w14:textId="77777777" w:rsidR="0029109E" w:rsidRDefault="0029109E" w:rsidP="4989BE7F"/>
    <w:p w14:paraId="708E7F30" w14:textId="77777777" w:rsidR="00C07A36" w:rsidRPr="007044B2" w:rsidRDefault="00C07A36" w:rsidP="00C07A36">
      <w:pPr>
        <w:rPr>
          <w:b/>
          <w:bCs/>
          <w:i/>
          <w:iCs/>
        </w:rPr>
      </w:pPr>
      <w:r w:rsidRPr="007044B2">
        <w:rPr>
          <w:b/>
          <w:bCs/>
          <w:i/>
          <w:iCs/>
        </w:rPr>
        <w:t>Proposal 3: Consider, as an initial evaluation step, a set of fixed DL-to-UL SBFD ratios or patterns with pre-defined resource locations and guard bands.</w:t>
      </w:r>
    </w:p>
    <w:p w14:paraId="25B24E59" w14:textId="77777777" w:rsidR="00C07A36" w:rsidRDefault="00C07A36" w:rsidP="00C07A36">
      <w:pPr>
        <w:rPr>
          <w:b/>
          <w:bCs/>
        </w:rPr>
      </w:pPr>
    </w:p>
    <w:p w14:paraId="44747430" w14:textId="6EEF0120" w:rsidR="00C07A36" w:rsidRPr="007044B2" w:rsidRDefault="00C07A36" w:rsidP="00C07A36">
      <w:pPr>
        <w:rPr>
          <w:b/>
          <w:bCs/>
          <w:i/>
          <w:iCs/>
        </w:rPr>
      </w:pPr>
      <w:r w:rsidRPr="007044B2">
        <w:rPr>
          <w:b/>
          <w:bCs/>
          <w:i/>
          <w:iCs/>
        </w:rPr>
        <w:t xml:space="preserve">Proposal 4: Consider a set of </w:t>
      </w:r>
      <w:proofErr w:type="gramStart"/>
      <w:r w:rsidRPr="007044B2">
        <w:rPr>
          <w:b/>
          <w:bCs/>
          <w:i/>
          <w:iCs/>
        </w:rPr>
        <w:t>baseline</w:t>
      </w:r>
      <w:proofErr w:type="gramEnd"/>
      <w:r w:rsidRPr="007044B2">
        <w:rPr>
          <w:b/>
          <w:bCs/>
          <w:i/>
          <w:iCs/>
        </w:rPr>
        <w:t xml:space="preserve"> TDD </w:t>
      </w:r>
      <w:r w:rsidR="0033693F">
        <w:rPr>
          <w:b/>
          <w:bCs/>
          <w:i/>
          <w:iCs/>
        </w:rPr>
        <w:t xml:space="preserve">radio </w:t>
      </w:r>
      <w:r w:rsidRPr="007044B2">
        <w:rPr>
          <w:b/>
          <w:bCs/>
          <w:i/>
          <w:iCs/>
        </w:rPr>
        <w:t xml:space="preserve">frame formats, corresponding to a set of DL-to-UL offered traffic ratios. </w:t>
      </w:r>
    </w:p>
    <w:p w14:paraId="6D7AAF94" w14:textId="77777777" w:rsidR="00A20A03" w:rsidRDefault="00A20A03" w:rsidP="4989BE7F"/>
    <w:p w14:paraId="152F22B8" w14:textId="77777777" w:rsidR="009E3034" w:rsidRPr="007044B2" w:rsidRDefault="009E3034" w:rsidP="009E3034">
      <w:pPr>
        <w:rPr>
          <w:b/>
          <w:bCs/>
          <w:i/>
          <w:iCs/>
        </w:rPr>
      </w:pPr>
      <w:r w:rsidRPr="007044B2">
        <w:rPr>
          <w:b/>
          <w:bCs/>
          <w:i/>
          <w:iCs/>
        </w:rPr>
        <w:t xml:space="preserve">Proposal 5: Consider FTP3 traffic model in both DL and UL directions, with pre-determined packet sizes and average arrival rates.  </w:t>
      </w:r>
    </w:p>
    <w:p w14:paraId="4C539CDF" w14:textId="77777777" w:rsidR="009E3034" w:rsidRDefault="009E3034" w:rsidP="009E3034">
      <w:pPr>
        <w:rPr>
          <w:rFonts w:eastAsia="Wingdings" w:cs="Wingdings"/>
        </w:rPr>
      </w:pPr>
    </w:p>
    <w:p w14:paraId="6E3712D7" w14:textId="55B5A956" w:rsidR="0058083B" w:rsidRDefault="009E3034" w:rsidP="0058083B">
      <w:pPr>
        <w:pBdr>
          <w:bottom w:val="single" w:sz="6" w:space="1" w:color="auto"/>
        </w:pBdr>
        <w:rPr>
          <w:b/>
          <w:bCs/>
          <w:i/>
          <w:iCs/>
        </w:rPr>
      </w:pPr>
      <w:r w:rsidRPr="007044B2">
        <w:rPr>
          <w:b/>
          <w:bCs/>
          <w:i/>
          <w:iCs/>
        </w:rPr>
        <w:t xml:space="preserve">Proposal </w:t>
      </w:r>
      <w:r w:rsidR="000801B3" w:rsidRPr="007044B2">
        <w:rPr>
          <w:b/>
          <w:bCs/>
          <w:i/>
          <w:iCs/>
        </w:rPr>
        <w:t>6</w:t>
      </w:r>
      <w:r w:rsidRPr="007044B2">
        <w:rPr>
          <w:b/>
          <w:bCs/>
          <w:i/>
          <w:iCs/>
        </w:rPr>
        <w:t xml:space="preserve">: Performance evaluation criteria are: average UL SINR, DL and UL radio latency, and average UL and DL user throughput.  The latency metric is captured similarly to that is of the URLLC evaluations, implying the latency from the moment the packet is generated until it is being successfully received at the intended receiver, including the HARQ retransmission delay.  </w:t>
      </w:r>
    </w:p>
    <w:p w14:paraId="2CCFE8C2" w14:textId="77777777" w:rsidR="0058083B" w:rsidRPr="007044B2" w:rsidRDefault="0058083B" w:rsidP="0058083B">
      <w:pPr>
        <w:pBdr>
          <w:bottom w:val="single" w:sz="6" w:space="1" w:color="auto"/>
        </w:pBdr>
        <w:rPr>
          <w:b/>
          <w:bCs/>
          <w:i/>
          <w:iCs/>
        </w:rPr>
      </w:pPr>
    </w:p>
    <w:p w14:paraId="062687CB" w14:textId="77777777" w:rsidR="006D4AAD" w:rsidRPr="00BD6F27" w:rsidRDefault="006342FD">
      <w:pPr>
        <w:pStyle w:val="Heading1"/>
        <w:numPr>
          <w:ilvl w:val="0"/>
          <w:numId w:val="0"/>
        </w:numPr>
        <w:ind w:left="432" w:hanging="432"/>
      </w:pPr>
      <w:bookmarkStart w:id="4" w:name="_Ref71620620"/>
      <w:bookmarkStart w:id="5" w:name="_Ref124671424"/>
      <w:bookmarkStart w:id="6" w:name="_Ref124589665"/>
      <w:r w:rsidRPr="00BD6F27">
        <w:rPr>
          <w:rFonts w:eastAsia="Wingdings" w:cs="Wingdings"/>
        </w:rPr>
        <w:t>References</w:t>
      </w:r>
    </w:p>
    <w:bookmarkEnd w:id="2"/>
    <w:bookmarkEnd w:id="4"/>
    <w:bookmarkEnd w:id="5"/>
    <w:bookmarkEnd w:id="6"/>
    <w:p w14:paraId="401885A5" w14:textId="0F4E6A25" w:rsidR="00102A59" w:rsidRDefault="00633CD7" w:rsidP="00102A59">
      <w:pPr>
        <w:pStyle w:val="References"/>
        <w:numPr>
          <w:ilvl w:val="0"/>
          <w:numId w:val="1"/>
        </w:numPr>
        <w:rPr>
          <w:rFonts w:eastAsia="Times New Roman"/>
          <w:color w:val="000000" w:themeColor="text1"/>
          <w:szCs w:val="20"/>
          <w:lang w:val="en-GB"/>
        </w:rPr>
      </w:pPr>
      <w:r>
        <w:rPr>
          <w:rFonts w:eastAsia="Wingdings" w:cs="Wingdings"/>
          <w:kern w:val="2"/>
          <w:lang w:val="en-GB" w:eastAsia="ko-KR"/>
        </w:rPr>
        <w:t xml:space="preserve"> </w:t>
      </w:r>
      <w:bookmarkStart w:id="7" w:name="OLE_LINK12"/>
      <w:bookmarkStart w:id="8" w:name="_Ref446582201"/>
      <w:bookmarkStart w:id="9" w:name="_Ref485833320"/>
      <w:r w:rsidR="007137BB" w:rsidRPr="00B91FD0">
        <w:rPr>
          <w:rFonts w:eastAsia="Wingdings" w:cs="Wingdings"/>
          <w:i/>
          <w:iCs/>
          <w:kern w:val="2"/>
          <w:lang w:val="en-GB"/>
        </w:rPr>
        <w:t>New SI: Study on evolution of NR duplex operation</w:t>
      </w:r>
      <w:r w:rsidR="00B91FD0">
        <w:rPr>
          <w:rFonts w:eastAsia="Wingdings" w:cs="Wingdings"/>
          <w:kern w:val="2"/>
          <w:lang w:val="en-GB" w:eastAsia="ko-KR"/>
        </w:rPr>
        <w:t xml:space="preserve">, </w:t>
      </w:r>
      <w:r w:rsidR="00102A59" w:rsidRPr="4989BE7F">
        <w:rPr>
          <w:rFonts w:eastAsia="Wingdings" w:cs="Wingdings"/>
          <w:kern w:val="2"/>
          <w:lang w:val="en-GB" w:eastAsia="ko-KR"/>
        </w:rPr>
        <w:t>RP-</w:t>
      </w:r>
      <w:bookmarkEnd w:id="7"/>
      <w:r w:rsidR="00102A59" w:rsidRPr="4989BE7F">
        <w:rPr>
          <w:rFonts w:eastAsia="Wingdings" w:cs="Wingdings"/>
          <w:kern w:val="2"/>
          <w:lang w:val="en-GB" w:eastAsia="ko-KR"/>
        </w:rPr>
        <w:t>21</w:t>
      </w:r>
      <w:r w:rsidR="00102A59" w:rsidRPr="4989BE7F">
        <w:rPr>
          <w:rFonts w:eastAsia="Wingdings" w:cs="Wingdings"/>
          <w:kern w:val="2"/>
          <w:lang w:val="en-GB"/>
        </w:rPr>
        <w:t>3591</w:t>
      </w:r>
      <w:bookmarkEnd w:id="8"/>
      <w:bookmarkEnd w:id="9"/>
      <w:r w:rsidR="00102A59" w:rsidRPr="4989BE7F">
        <w:rPr>
          <w:rFonts w:eastAsia="Wingdings" w:cs="Wingdings"/>
          <w:kern w:val="2"/>
          <w:lang w:val="en-GB"/>
        </w:rPr>
        <w:t>, RAN#94-e, Dec. 2021</w:t>
      </w:r>
    </w:p>
    <w:p w14:paraId="0F342368" w14:textId="60F24702" w:rsidR="006D4AAD" w:rsidRPr="00BD6F27" w:rsidRDefault="00721571" w:rsidP="4989BE7F">
      <w:pPr>
        <w:pStyle w:val="References"/>
        <w:numPr>
          <w:ilvl w:val="0"/>
          <w:numId w:val="1"/>
        </w:numPr>
        <w:rPr>
          <w:rFonts w:eastAsia="Times New Roman"/>
          <w:color w:val="000000" w:themeColor="text1"/>
          <w:szCs w:val="20"/>
          <w:lang w:val="en-GB"/>
        </w:rPr>
      </w:pPr>
      <w:r w:rsidRPr="00C80595">
        <w:rPr>
          <w:rFonts w:eastAsia="Times New Roman"/>
          <w:i/>
          <w:iCs/>
          <w:color w:val="000000" w:themeColor="text1"/>
          <w:szCs w:val="20"/>
          <w:lang w:val="en-GB"/>
        </w:rPr>
        <w:t>Cross Link Interference (CLI) handling and Remote Interference Management (RIM) for NR</w:t>
      </w:r>
      <w:r>
        <w:rPr>
          <w:rFonts w:eastAsia="Times New Roman"/>
          <w:color w:val="000000" w:themeColor="text1"/>
          <w:szCs w:val="20"/>
          <w:lang w:val="en-GB"/>
        </w:rPr>
        <w:t xml:space="preserve">, </w:t>
      </w:r>
      <w:r w:rsidR="002E0E4E">
        <w:rPr>
          <w:rFonts w:eastAsia="Times New Roman"/>
          <w:color w:val="000000" w:themeColor="text1"/>
          <w:szCs w:val="20"/>
          <w:lang w:val="en-GB"/>
        </w:rPr>
        <w:t xml:space="preserve">3GPP, </w:t>
      </w:r>
      <w:r w:rsidR="002E0E4E" w:rsidRPr="002E0E4E">
        <w:rPr>
          <w:rFonts w:eastAsia="Times New Roman"/>
          <w:color w:val="000000" w:themeColor="text1"/>
          <w:szCs w:val="20"/>
          <w:lang w:val="en-GB"/>
        </w:rPr>
        <w:t>TR 38.828</w:t>
      </w:r>
      <w:r w:rsidR="002E0E4E">
        <w:rPr>
          <w:rFonts w:eastAsia="Times New Roman"/>
          <w:color w:val="000000" w:themeColor="text1"/>
          <w:szCs w:val="20"/>
          <w:lang w:val="en-GB"/>
        </w:rPr>
        <w:t xml:space="preserve">, Release-16, </w:t>
      </w:r>
      <w:r w:rsidR="00EA2EFE" w:rsidRPr="00EA2EFE">
        <w:rPr>
          <w:rFonts w:eastAsia="Times New Roman"/>
          <w:color w:val="000000" w:themeColor="text1"/>
          <w:szCs w:val="20"/>
          <w:lang w:val="en-GB"/>
        </w:rPr>
        <w:t>V16.1.0</w:t>
      </w:r>
      <w:r w:rsidR="00EA2EFE">
        <w:rPr>
          <w:rFonts w:eastAsia="Times New Roman"/>
          <w:color w:val="000000" w:themeColor="text1"/>
          <w:szCs w:val="20"/>
          <w:lang w:val="en-GB"/>
        </w:rPr>
        <w:t>, Sep. 2019.</w:t>
      </w:r>
    </w:p>
    <w:p w14:paraId="5E3F0A25" w14:textId="7D3D8C79" w:rsidR="006D4AAD" w:rsidRPr="00BD6F27" w:rsidRDefault="006D4AAD" w:rsidP="004A1280">
      <w:pPr>
        <w:pStyle w:val="References"/>
        <w:numPr>
          <w:ilvl w:val="0"/>
          <w:numId w:val="0"/>
        </w:numPr>
        <w:ind w:left="720"/>
        <w:rPr>
          <w:rFonts w:eastAsia="Times New Roman"/>
          <w:szCs w:val="20"/>
          <w:lang w:val="en-GB" w:eastAsia="ko-KR"/>
        </w:rPr>
      </w:pPr>
    </w:p>
    <w:sectPr w:rsidR="006D4AAD" w:rsidRPr="00BD6F27">
      <w:pgSz w:w="11906" w:h="16838"/>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BB62" w14:textId="77777777" w:rsidR="008D75C9" w:rsidRDefault="008D75C9" w:rsidP="008D75C9">
      <w:pPr>
        <w:spacing w:after="0"/>
      </w:pPr>
      <w:r>
        <w:separator/>
      </w:r>
    </w:p>
  </w:endnote>
  <w:endnote w:type="continuationSeparator" w:id="0">
    <w:p w14:paraId="6DAE9356" w14:textId="77777777" w:rsidR="008D75C9" w:rsidRDefault="008D75C9" w:rsidP="008D75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Regular">
    <w:charset w:val="00"/>
    <w:family w:val="roman"/>
    <w:pitch w:val="default"/>
  </w:font>
  <w:font w:name="FreeSans">
    <w:altName w:val="Calibri"/>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AD859" w14:textId="77777777" w:rsidR="008D75C9" w:rsidRDefault="008D75C9" w:rsidP="008D75C9">
      <w:pPr>
        <w:spacing w:after="0"/>
      </w:pPr>
      <w:r>
        <w:separator/>
      </w:r>
    </w:p>
  </w:footnote>
  <w:footnote w:type="continuationSeparator" w:id="0">
    <w:p w14:paraId="31F285C5" w14:textId="77777777" w:rsidR="008D75C9" w:rsidRDefault="008D75C9" w:rsidP="008D75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i w:val="0"/>
        <w:sz w:val="24"/>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pStyle w:val="References"/>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
      <w:numFmt w:val="bullet"/>
      <w:lvlText w:val="o"/>
      <w:lvlJc w:val="left"/>
      <w:pPr>
        <w:tabs>
          <w:tab w:val="num" w:pos="0"/>
        </w:tabs>
        <w:ind w:left="720" w:hanging="360"/>
      </w:pPr>
      <w:rPr>
        <w:rFonts w:ascii="Courier New" w:hAnsi="Courier New" w:cs="Courier New" w:hint="default"/>
        <w:lang w:eastAsia="ko-KR"/>
      </w:rPr>
    </w:lvl>
    <w:lvl w:ilvl="1">
      <w:start w:val="1"/>
      <w:numFmt w:val="bullet"/>
      <w:lvlText w:val="o"/>
      <w:lvlJc w:val="left"/>
      <w:pPr>
        <w:tabs>
          <w:tab w:val="num" w:pos="0"/>
        </w:tabs>
        <w:ind w:left="1440" w:hanging="360"/>
      </w:pPr>
      <w:rPr>
        <w:rFonts w:ascii="Courier New" w:hAnsi="Courier New" w:cs="Courier New" w:hint="default"/>
        <w:lang w:eastAsia="ko-KR"/>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lang w:eastAsia="ko-KR"/>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lang w:eastAsia="ko-KR"/>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4"/>
    <w:multiLevelType w:val="multilevel"/>
    <w:tmpl w:val="00000004"/>
    <w:name w:val="WW8Num4"/>
    <w:lvl w:ilvl="0">
      <w:start w:val="1"/>
      <w:numFmt w:val="bullet"/>
      <w:lvlText w:val="o"/>
      <w:lvlJc w:val="left"/>
      <w:pPr>
        <w:tabs>
          <w:tab w:val="num" w:pos="0"/>
        </w:tabs>
        <w:ind w:left="720" w:hanging="360"/>
      </w:pPr>
      <w:rPr>
        <w:rFonts w:ascii="Courier New" w:hAnsi="Courier New" w:cs="Courier New" w:hint="default"/>
        <w:lang w:eastAsia="ko-KR"/>
      </w:rPr>
    </w:lvl>
    <w:lvl w:ilvl="1">
      <w:start w:val="1"/>
      <w:numFmt w:val="bullet"/>
      <w:lvlText w:val="o"/>
      <w:lvlJc w:val="left"/>
      <w:pPr>
        <w:tabs>
          <w:tab w:val="num" w:pos="0"/>
        </w:tabs>
        <w:ind w:left="1440" w:hanging="360"/>
      </w:pPr>
      <w:rPr>
        <w:rFonts w:ascii="Courier New" w:hAnsi="Courier New" w:cs="Courier New" w:hint="default"/>
        <w:lang w:eastAsia="ko-KR"/>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lang w:eastAsia="ko-KR"/>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lang w:eastAsia="ko-KR"/>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hint="default"/>
        <w:lang w:eastAsia="ko-KR"/>
      </w:rPr>
    </w:lvl>
    <w:lvl w:ilvl="1">
      <w:start w:val="1"/>
      <w:numFmt w:val="bullet"/>
      <w:lvlText w:val="o"/>
      <w:lvlJc w:val="left"/>
      <w:pPr>
        <w:tabs>
          <w:tab w:val="num" w:pos="0"/>
        </w:tabs>
        <w:ind w:left="1440" w:hanging="360"/>
      </w:pPr>
      <w:rPr>
        <w:rFonts w:ascii="Courier New" w:hAnsi="Courier New" w:cs="Courier New" w:hint="default"/>
        <w:sz w:val="24"/>
        <w:szCs w:val="24"/>
        <w:lang w:eastAsia="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lang w:eastAsia="ko-KR"/>
      </w:rPr>
    </w:lvl>
    <w:lvl w:ilvl="4">
      <w:start w:val="1"/>
      <w:numFmt w:val="bullet"/>
      <w:lvlText w:val="o"/>
      <w:lvlJc w:val="left"/>
      <w:pPr>
        <w:tabs>
          <w:tab w:val="num" w:pos="0"/>
        </w:tabs>
        <w:ind w:left="3600" w:hanging="360"/>
      </w:pPr>
      <w:rPr>
        <w:rFonts w:ascii="Courier New" w:hAnsi="Courier New" w:cs="Courier New" w:hint="default"/>
        <w:sz w:val="24"/>
        <w:szCs w:val="24"/>
        <w:lang w:eastAsia="en-US"/>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lang w:eastAsia="ko-KR"/>
      </w:rPr>
    </w:lvl>
    <w:lvl w:ilvl="7">
      <w:start w:val="1"/>
      <w:numFmt w:val="bullet"/>
      <w:lvlText w:val="o"/>
      <w:lvlJc w:val="left"/>
      <w:pPr>
        <w:tabs>
          <w:tab w:val="num" w:pos="0"/>
        </w:tabs>
        <w:ind w:left="5760" w:hanging="360"/>
      </w:pPr>
      <w:rPr>
        <w:rFonts w:ascii="Courier New" w:hAnsi="Courier New" w:cs="Courier New" w:hint="default"/>
        <w:sz w:val="24"/>
        <w:szCs w:val="24"/>
        <w:lang w:eastAsia="en-US"/>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0000006"/>
    <w:multiLevelType w:val="multilevel"/>
    <w:tmpl w:val="00000006"/>
    <w:name w:val="WW8Num6"/>
    <w:lvl w:ilvl="0">
      <w:start w:val="4"/>
      <w:numFmt w:val="bullet"/>
      <w:lvlText w:val="-"/>
      <w:lvlJc w:val="left"/>
      <w:pPr>
        <w:tabs>
          <w:tab w:val="num" w:pos="0"/>
        </w:tabs>
        <w:ind w:left="1080" w:hanging="360"/>
      </w:pPr>
      <w:rPr>
        <w:rFonts w:ascii="Times New Roman" w:hAnsi="Times New Roman" w:cs="Times New Roman"/>
        <w:lang w:eastAsia="ko-KR"/>
      </w:rPr>
    </w:lvl>
    <w:lvl w:ilvl="1">
      <w:start w:val="1"/>
      <w:numFmt w:val="bullet"/>
      <w:lvlText w:val=""/>
      <w:lvlJc w:val="left"/>
      <w:pPr>
        <w:tabs>
          <w:tab w:val="num" w:pos="0"/>
        </w:tabs>
        <w:ind w:left="1520" w:hanging="400"/>
      </w:pPr>
      <w:rPr>
        <w:rFonts w:ascii="Wingdings" w:hAnsi="Wingdings" w:cs="Wingdings"/>
      </w:rPr>
    </w:lvl>
    <w:lvl w:ilvl="2">
      <w:start w:val="1"/>
      <w:numFmt w:val="bullet"/>
      <w:lvlText w:val=""/>
      <w:lvlJc w:val="left"/>
      <w:pPr>
        <w:tabs>
          <w:tab w:val="num" w:pos="0"/>
        </w:tabs>
        <w:ind w:left="1920" w:hanging="400"/>
      </w:pPr>
      <w:rPr>
        <w:rFonts w:ascii="Wingdings" w:hAnsi="Wingdings" w:cs="Wingdings"/>
      </w:rPr>
    </w:lvl>
    <w:lvl w:ilvl="3">
      <w:start w:val="1"/>
      <w:numFmt w:val="bullet"/>
      <w:lvlText w:val=""/>
      <w:lvlJc w:val="left"/>
      <w:pPr>
        <w:tabs>
          <w:tab w:val="num" w:pos="0"/>
        </w:tabs>
        <w:ind w:left="2320" w:hanging="400"/>
      </w:pPr>
      <w:rPr>
        <w:rFonts w:ascii="Wingdings" w:hAnsi="Wingdings" w:cs="Wingdings"/>
      </w:rPr>
    </w:lvl>
    <w:lvl w:ilvl="4">
      <w:start w:val="1"/>
      <w:numFmt w:val="bullet"/>
      <w:lvlText w:val=""/>
      <w:lvlJc w:val="left"/>
      <w:pPr>
        <w:tabs>
          <w:tab w:val="num" w:pos="0"/>
        </w:tabs>
        <w:ind w:left="2720" w:hanging="400"/>
      </w:pPr>
      <w:rPr>
        <w:rFonts w:ascii="Wingdings" w:hAnsi="Wingdings" w:cs="Wingdings"/>
      </w:rPr>
    </w:lvl>
    <w:lvl w:ilvl="5">
      <w:start w:val="1"/>
      <w:numFmt w:val="bullet"/>
      <w:lvlText w:val=""/>
      <w:lvlJc w:val="left"/>
      <w:pPr>
        <w:tabs>
          <w:tab w:val="num" w:pos="0"/>
        </w:tabs>
        <w:ind w:left="3120" w:hanging="400"/>
      </w:pPr>
      <w:rPr>
        <w:rFonts w:ascii="Wingdings" w:hAnsi="Wingdings" w:cs="Wingdings"/>
      </w:rPr>
    </w:lvl>
    <w:lvl w:ilvl="6">
      <w:start w:val="1"/>
      <w:numFmt w:val="bullet"/>
      <w:lvlText w:val=""/>
      <w:lvlJc w:val="left"/>
      <w:pPr>
        <w:tabs>
          <w:tab w:val="num" w:pos="0"/>
        </w:tabs>
        <w:ind w:left="3520" w:hanging="400"/>
      </w:pPr>
      <w:rPr>
        <w:rFonts w:ascii="Wingdings" w:hAnsi="Wingdings" w:cs="Wingdings"/>
      </w:rPr>
    </w:lvl>
    <w:lvl w:ilvl="7">
      <w:start w:val="1"/>
      <w:numFmt w:val="bullet"/>
      <w:lvlText w:val=""/>
      <w:lvlJc w:val="left"/>
      <w:pPr>
        <w:tabs>
          <w:tab w:val="num" w:pos="0"/>
        </w:tabs>
        <w:ind w:left="3920" w:hanging="400"/>
      </w:pPr>
      <w:rPr>
        <w:rFonts w:ascii="Wingdings" w:hAnsi="Wingdings" w:cs="Wingdings"/>
      </w:rPr>
    </w:lvl>
    <w:lvl w:ilvl="8">
      <w:start w:val="1"/>
      <w:numFmt w:val="bullet"/>
      <w:lvlText w:val=""/>
      <w:lvlJc w:val="left"/>
      <w:pPr>
        <w:tabs>
          <w:tab w:val="num" w:pos="0"/>
        </w:tabs>
        <w:ind w:left="4320" w:hanging="400"/>
      </w:pPr>
      <w:rPr>
        <w:rFonts w:ascii="Wingdings" w:hAnsi="Wingdings" w:cs="Wingdings"/>
      </w:rPr>
    </w:lvl>
  </w:abstractNum>
  <w:abstractNum w:abstractNumId="6" w15:restartNumberingAfterBreak="0">
    <w:nsid w:val="01DC79B5"/>
    <w:multiLevelType w:val="hybridMultilevel"/>
    <w:tmpl w:val="AFDAD45E"/>
    <w:lvl w:ilvl="0" w:tplc="04090003">
      <w:start w:val="1"/>
      <w:numFmt w:val="bullet"/>
      <w:lvlText w:val="o"/>
      <w:lvlJc w:val="left"/>
      <w:pPr>
        <w:ind w:left="1080" w:hanging="360"/>
      </w:pPr>
      <w:rPr>
        <w:rFonts w:ascii="Courier New" w:hAnsi="Courier New" w:cs="Courier New"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0322655D"/>
    <w:multiLevelType w:val="hybridMultilevel"/>
    <w:tmpl w:val="C1020122"/>
    <w:lvl w:ilvl="0" w:tplc="EC54F29C">
      <w:start w:val="1"/>
      <w:numFmt w:val="decimal"/>
      <w:lvlText w:val="%1."/>
      <w:lvlJc w:val="left"/>
      <w:pPr>
        <w:ind w:left="720" w:hanging="360"/>
      </w:pPr>
    </w:lvl>
    <w:lvl w:ilvl="1" w:tplc="024C73A0">
      <w:start w:val="1"/>
      <w:numFmt w:val="lowerLetter"/>
      <w:lvlText w:val="%2."/>
      <w:lvlJc w:val="left"/>
      <w:pPr>
        <w:ind w:left="1440" w:hanging="360"/>
      </w:pPr>
    </w:lvl>
    <w:lvl w:ilvl="2" w:tplc="4D0E943A">
      <w:start w:val="1"/>
      <w:numFmt w:val="lowerRoman"/>
      <w:lvlText w:val="%3."/>
      <w:lvlJc w:val="right"/>
      <w:pPr>
        <w:ind w:left="2160" w:hanging="180"/>
      </w:pPr>
    </w:lvl>
    <w:lvl w:ilvl="3" w:tplc="E794D662">
      <w:start w:val="1"/>
      <w:numFmt w:val="decimal"/>
      <w:lvlText w:val="%4."/>
      <w:lvlJc w:val="left"/>
      <w:pPr>
        <w:ind w:left="2880" w:hanging="360"/>
      </w:pPr>
    </w:lvl>
    <w:lvl w:ilvl="4" w:tplc="EA2AE62A">
      <w:start w:val="1"/>
      <w:numFmt w:val="lowerLetter"/>
      <w:lvlText w:val="%5."/>
      <w:lvlJc w:val="left"/>
      <w:pPr>
        <w:ind w:left="3600" w:hanging="360"/>
      </w:pPr>
    </w:lvl>
    <w:lvl w:ilvl="5" w:tplc="66B6D5CE">
      <w:start w:val="1"/>
      <w:numFmt w:val="lowerRoman"/>
      <w:lvlText w:val="%6."/>
      <w:lvlJc w:val="right"/>
      <w:pPr>
        <w:ind w:left="4320" w:hanging="180"/>
      </w:pPr>
    </w:lvl>
    <w:lvl w:ilvl="6" w:tplc="C730EE66">
      <w:start w:val="1"/>
      <w:numFmt w:val="decimal"/>
      <w:lvlText w:val="%7."/>
      <w:lvlJc w:val="left"/>
      <w:pPr>
        <w:ind w:left="5040" w:hanging="360"/>
      </w:pPr>
    </w:lvl>
    <w:lvl w:ilvl="7" w:tplc="6B563BB6">
      <w:start w:val="1"/>
      <w:numFmt w:val="lowerLetter"/>
      <w:lvlText w:val="%8."/>
      <w:lvlJc w:val="left"/>
      <w:pPr>
        <w:ind w:left="5760" w:hanging="360"/>
      </w:pPr>
    </w:lvl>
    <w:lvl w:ilvl="8" w:tplc="3EFA570E">
      <w:start w:val="1"/>
      <w:numFmt w:val="lowerRoman"/>
      <w:lvlText w:val="%9."/>
      <w:lvlJc w:val="right"/>
      <w:pPr>
        <w:ind w:left="6480" w:hanging="180"/>
      </w:pPr>
    </w:lvl>
  </w:abstractNum>
  <w:abstractNum w:abstractNumId="8" w15:restartNumberingAfterBreak="0">
    <w:nsid w:val="058F7023"/>
    <w:multiLevelType w:val="hybridMultilevel"/>
    <w:tmpl w:val="63A4F7EE"/>
    <w:lvl w:ilvl="0" w:tplc="C108EC3C">
      <w:start w:val="4"/>
      <w:numFmt w:val="bullet"/>
      <w:lvlText w:val="-"/>
      <w:lvlJc w:val="left"/>
      <w:pPr>
        <w:ind w:left="1080" w:hanging="360"/>
      </w:pPr>
      <w:rPr>
        <w:rFonts w:ascii="Times New Roman" w:eastAsia="Malgun Gothic" w:hAnsi="Times New Roman" w:cs="Times New Roman"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0" w15:restartNumberingAfterBreak="0">
    <w:nsid w:val="116C1693"/>
    <w:multiLevelType w:val="hybridMultilevel"/>
    <w:tmpl w:val="58366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9E94D0D"/>
    <w:multiLevelType w:val="hybridMultilevel"/>
    <w:tmpl w:val="55202026"/>
    <w:lvl w:ilvl="0" w:tplc="04090003">
      <w:start w:val="1"/>
      <w:numFmt w:val="bullet"/>
      <w:lvlText w:val="o"/>
      <w:lvlJc w:val="left"/>
      <w:pPr>
        <w:ind w:left="1080" w:hanging="360"/>
      </w:pPr>
      <w:rPr>
        <w:rFonts w:ascii="Courier New" w:hAnsi="Courier New" w:cs="Courier New"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40083717"/>
    <w:multiLevelType w:val="hybridMultilevel"/>
    <w:tmpl w:val="3B80F3F6"/>
    <w:lvl w:ilvl="0" w:tplc="04090003">
      <w:start w:val="1"/>
      <w:numFmt w:val="bullet"/>
      <w:lvlText w:val="o"/>
      <w:lvlJc w:val="left"/>
      <w:pPr>
        <w:ind w:left="1080" w:hanging="360"/>
      </w:pPr>
      <w:rPr>
        <w:rFonts w:ascii="Courier New" w:hAnsi="Courier New" w:cs="Courier New"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5AB650B8"/>
    <w:multiLevelType w:val="hybridMultilevel"/>
    <w:tmpl w:val="F2D8F594"/>
    <w:lvl w:ilvl="0" w:tplc="04090003">
      <w:start w:val="1"/>
      <w:numFmt w:val="bullet"/>
      <w:lvlText w:val="o"/>
      <w:lvlJc w:val="left"/>
      <w:pPr>
        <w:ind w:left="1080" w:hanging="360"/>
      </w:pPr>
      <w:rPr>
        <w:rFonts w:ascii="Courier New" w:hAnsi="Courier New" w:cs="Courier New"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5C613459"/>
    <w:multiLevelType w:val="hybridMultilevel"/>
    <w:tmpl w:val="F5BCDE66"/>
    <w:lvl w:ilvl="0" w:tplc="04090003">
      <w:start w:val="1"/>
      <w:numFmt w:val="bullet"/>
      <w:lvlText w:val="o"/>
      <w:lvlJc w:val="left"/>
      <w:pPr>
        <w:ind w:left="1080" w:hanging="360"/>
      </w:pPr>
      <w:rPr>
        <w:rFonts w:ascii="Courier New" w:hAnsi="Courier New" w:cs="Courier New"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68832428"/>
    <w:multiLevelType w:val="hybridMultilevel"/>
    <w:tmpl w:val="B0E6E8C0"/>
    <w:lvl w:ilvl="0" w:tplc="04090003">
      <w:start w:val="1"/>
      <w:numFmt w:val="bullet"/>
      <w:lvlText w:val="o"/>
      <w:lvlJc w:val="left"/>
      <w:pPr>
        <w:ind w:left="1080" w:hanging="360"/>
      </w:pPr>
      <w:rPr>
        <w:rFonts w:ascii="Courier New" w:hAnsi="Courier New" w:cs="Courier New"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73A96A29"/>
    <w:multiLevelType w:val="hybridMultilevel"/>
    <w:tmpl w:val="FED60A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0D0D38"/>
    <w:multiLevelType w:val="hybridMultilevel"/>
    <w:tmpl w:val="A42E2930"/>
    <w:lvl w:ilvl="0" w:tplc="04090003">
      <w:start w:val="1"/>
      <w:numFmt w:val="bullet"/>
      <w:lvlText w:val="o"/>
      <w:lvlJc w:val="left"/>
      <w:pPr>
        <w:ind w:left="1080" w:hanging="360"/>
      </w:pPr>
      <w:rPr>
        <w:rFonts w:ascii="Courier New" w:hAnsi="Courier New" w:cs="Courier New"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5"/>
  </w:num>
  <w:num w:numId="8">
    <w:abstractNumId w:val="11"/>
  </w:num>
  <w:num w:numId="9">
    <w:abstractNumId w:val="12"/>
  </w:num>
  <w:num w:numId="10">
    <w:abstractNumId w:val="17"/>
  </w:num>
  <w:num w:numId="11">
    <w:abstractNumId w:val="9"/>
  </w:num>
  <w:num w:numId="12">
    <w:abstractNumId w:val="8"/>
  </w:num>
  <w:num w:numId="13">
    <w:abstractNumId w:val="14"/>
  </w:num>
  <w:num w:numId="14">
    <w:abstractNumId w:val="18"/>
  </w:num>
  <w:num w:numId="15">
    <w:abstractNumId w:val="13"/>
  </w:num>
  <w:num w:numId="16">
    <w:abstractNumId w:val="6"/>
  </w:num>
  <w:num w:numId="17">
    <w:abstractNumId w:val="20"/>
  </w:num>
  <w:num w:numId="18">
    <w:abstractNumId w:val="15"/>
  </w:num>
  <w:num w:numId="19">
    <w:abstractNumId w:val="16"/>
  </w:num>
  <w:num w:numId="20">
    <w:abstractNumId w:val="19"/>
  </w:num>
  <w:num w:numId="21">
    <w:abstractNumId w:val="0"/>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52"/>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2FD"/>
    <w:rsid w:val="000002FB"/>
    <w:rsid w:val="0000052E"/>
    <w:rsid w:val="00001423"/>
    <w:rsid w:val="000015C0"/>
    <w:rsid w:val="000106C4"/>
    <w:rsid w:val="000108F3"/>
    <w:rsid w:val="0001528E"/>
    <w:rsid w:val="00016428"/>
    <w:rsid w:val="00023BA2"/>
    <w:rsid w:val="000254C2"/>
    <w:rsid w:val="0002673A"/>
    <w:rsid w:val="000312ED"/>
    <w:rsid w:val="0003310C"/>
    <w:rsid w:val="000613AA"/>
    <w:rsid w:val="00071293"/>
    <w:rsid w:val="00073295"/>
    <w:rsid w:val="000801B3"/>
    <w:rsid w:val="00081EB6"/>
    <w:rsid w:val="000850A6"/>
    <w:rsid w:val="00086671"/>
    <w:rsid w:val="00087973"/>
    <w:rsid w:val="0009287F"/>
    <w:rsid w:val="0009374C"/>
    <w:rsid w:val="000A2314"/>
    <w:rsid w:val="000A7B94"/>
    <w:rsid w:val="000B7273"/>
    <w:rsid w:val="000C1047"/>
    <w:rsid w:val="000C2319"/>
    <w:rsid w:val="000C2590"/>
    <w:rsid w:val="000D597F"/>
    <w:rsid w:val="000E14B0"/>
    <w:rsid w:val="000E2729"/>
    <w:rsid w:val="000F017A"/>
    <w:rsid w:val="000F69FA"/>
    <w:rsid w:val="00102A59"/>
    <w:rsid w:val="00116EEF"/>
    <w:rsid w:val="00120693"/>
    <w:rsid w:val="001211FD"/>
    <w:rsid w:val="00123035"/>
    <w:rsid w:val="00130953"/>
    <w:rsid w:val="0013149B"/>
    <w:rsid w:val="00131DD4"/>
    <w:rsid w:val="00133845"/>
    <w:rsid w:val="00146705"/>
    <w:rsid w:val="001502B2"/>
    <w:rsid w:val="00154B08"/>
    <w:rsid w:val="0017375E"/>
    <w:rsid w:val="0017536F"/>
    <w:rsid w:val="00185262"/>
    <w:rsid w:val="0019505D"/>
    <w:rsid w:val="001B44C4"/>
    <w:rsid w:val="001B513C"/>
    <w:rsid w:val="001D395A"/>
    <w:rsid w:val="001E06AA"/>
    <w:rsid w:val="001E0DA9"/>
    <w:rsid w:val="001E1E76"/>
    <w:rsid w:val="001F45FA"/>
    <w:rsid w:val="0021009A"/>
    <w:rsid w:val="002126FD"/>
    <w:rsid w:val="00213551"/>
    <w:rsid w:val="002138A2"/>
    <w:rsid w:val="00213E19"/>
    <w:rsid w:val="00216CFA"/>
    <w:rsid w:val="002272EB"/>
    <w:rsid w:val="0023373D"/>
    <w:rsid w:val="00233940"/>
    <w:rsid w:val="0023450F"/>
    <w:rsid w:val="00245B4D"/>
    <w:rsid w:val="0024744D"/>
    <w:rsid w:val="00251986"/>
    <w:rsid w:val="00251DEE"/>
    <w:rsid w:val="00251E76"/>
    <w:rsid w:val="00254A73"/>
    <w:rsid w:val="00256C8C"/>
    <w:rsid w:val="00260500"/>
    <w:rsid w:val="0027432C"/>
    <w:rsid w:val="00280FC7"/>
    <w:rsid w:val="0028397D"/>
    <w:rsid w:val="0029109E"/>
    <w:rsid w:val="002A0C39"/>
    <w:rsid w:val="002A4084"/>
    <w:rsid w:val="002A5C51"/>
    <w:rsid w:val="002A6083"/>
    <w:rsid w:val="002A6D36"/>
    <w:rsid w:val="002B1B8F"/>
    <w:rsid w:val="002C0BF4"/>
    <w:rsid w:val="002D2BA3"/>
    <w:rsid w:val="002D478D"/>
    <w:rsid w:val="002E0E4E"/>
    <w:rsid w:val="002F5840"/>
    <w:rsid w:val="002F7D0E"/>
    <w:rsid w:val="003066EA"/>
    <w:rsid w:val="00312FB9"/>
    <w:rsid w:val="00321D99"/>
    <w:rsid w:val="00323569"/>
    <w:rsid w:val="003322B0"/>
    <w:rsid w:val="0033693F"/>
    <w:rsid w:val="00342659"/>
    <w:rsid w:val="00346FE4"/>
    <w:rsid w:val="003509A4"/>
    <w:rsid w:val="003579FE"/>
    <w:rsid w:val="00360BFA"/>
    <w:rsid w:val="003616C4"/>
    <w:rsid w:val="003731DD"/>
    <w:rsid w:val="0038060C"/>
    <w:rsid w:val="0038410C"/>
    <w:rsid w:val="003871CC"/>
    <w:rsid w:val="003920D7"/>
    <w:rsid w:val="00394F2A"/>
    <w:rsid w:val="00396472"/>
    <w:rsid w:val="00397374"/>
    <w:rsid w:val="003A1E81"/>
    <w:rsid w:val="003A545B"/>
    <w:rsid w:val="003B131E"/>
    <w:rsid w:val="003B495C"/>
    <w:rsid w:val="003E2FFE"/>
    <w:rsid w:val="003E3103"/>
    <w:rsid w:val="003E6267"/>
    <w:rsid w:val="003F36EE"/>
    <w:rsid w:val="003F4A19"/>
    <w:rsid w:val="003F638D"/>
    <w:rsid w:val="004021CE"/>
    <w:rsid w:val="00404E95"/>
    <w:rsid w:val="00416B2E"/>
    <w:rsid w:val="00425EDD"/>
    <w:rsid w:val="004321F5"/>
    <w:rsid w:val="00440E59"/>
    <w:rsid w:val="00442E1B"/>
    <w:rsid w:val="004523DE"/>
    <w:rsid w:val="004534C5"/>
    <w:rsid w:val="0046313B"/>
    <w:rsid w:val="00463FB5"/>
    <w:rsid w:val="00470438"/>
    <w:rsid w:val="004801EE"/>
    <w:rsid w:val="00486606"/>
    <w:rsid w:val="00491543"/>
    <w:rsid w:val="00495DAF"/>
    <w:rsid w:val="0049779A"/>
    <w:rsid w:val="004A1280"/>
    <w:rsid w:val="004A4326"/>
    <w:rsid w:val="004B05D5"/>
    <w:rsid w:val="004C0333"/>
    <w:rsid w:val="004D698C"/>
    <w:rsid w:val="004E3307"/>
    <w:rsid w:val="004F02AA"/>
    <w:rsid w:val="004F3A3B"/>
    <w:rsid w:val="004F41AC"/>
    <w:rsid w:val="00507D81"/>
    <w:rsid w:val="00513E2E"/>
    <w:rsid w:val="00530441"/>
    <w:rsid w:val="00531867"/>
    <w:rsid w:val="00546F36"/>
    <w:rsid w:val="00552AB9"/>
    <w:rsid w:val="00553C81"/>
    <w:rsid w:val="00567B44"/>
    <w:rsid w:val="00567EBE"/>
    <w:rsid w:val="00572BE1"/>
    <w:rsid w:val="00573B8B"/>
    <w:rsid w:val="005747CB"/>
    <w:rsid w:val="0057696E"/>
    <w:rsid w:val="0058083B"/>
    <w:rsid w:val="00591898"/>
    <w:rsid w:val="0059609A"/>
    <w:rsid w:val="0059704F"/>
    <w:rsid w:val="005A05EB"/>
    <w:rsid w:val="005B14C9"/>
    <w:rsid w:val="005B4AD0"/>
    <w:rsid w:val="005C5002"/>
    <w:rsid w:val="005D1A61"/>
    <w:rsid w:val="005D4F1B"/>
    <w:rsid w:val="005E275C"/>
    <w:rsid w:val="005E28EA"/>
    <w:rsid w:val="005E7994"/>
    <w:rsid w:val="005F0C47"/>
    <w:rsid w:val="006020E9"/>
    <w:rsid w:val="006079BB"/>
    <w:rsid w:val="00612C62"/>
    <w:rsid w:val="00617495"/>
    <w:rsid w:val="00633CD7"/>
    <w:rsid w:val="006342FD"/>
    <w:rsid w:val="00642D6E"/>
    <w:rsid w:val="00647EB8"/>
    <w:rsid w:val="006573B0"/>
    <w:rsid w:val="006716FC"/>
    <w:rsid w:val="00672392"/>
    <w:rsid w:val="00675369"/>
    <w:rsid w:val="006824DF"/>
    <w:rsid w:val="006A30E7"/>
    <w:rsid w:val="006A4337"/>
    <w:rsid w:val="006A558B"/>
    <w:rsid w:val="006B03FC"/>
    <w:rsid w:val="006B1206"/>
    <w:rsid w:val="006B1CEC"/>
    <w:rsid w:val="006B2F57"/>
    <w:rsid w:val="006B6954"/>
    <w:rsid w:val="006C013F"/>
    <w:rsid w:val="006C05AA"/>
    <w:rsid w:val="006C1608"/>
    <w:rsid w:val="006D2AD6"/>
    <w:rsid w:val="006D4AAD"/>
    <w:rsid w:val="006E6028"/>
    <w:rsid w:val="006E6521"/>
    <w:rsid w:val="006F1DE2"/>
    <w:rsid w:val="007044B2"/>
    <w:rsid w:val="007055BE"/>
    <w:rsid w:val="00706A49"/>
    <w:rsid w:val="007070FE"/>
    <w:rsid w:val="007137BB"/>
    <w:rsid w:val="00721571"/>
    <w:rsid w:val="007241F5"/>
    <w:rsid w:val="00732CCC"/>
    <w:rsid w:val="00751782"/>
    <w:rsid w:val="00756770"/>
    <w:rsid w:val="00757D96"/>
    <w:rsid w:val="00767120"/>
    <w:rsid w:val="0076726C"/>
    <w:rsid w:val="00770607"/>
    <w:rsid w:val="00783AED"/>
    <w:rsid w:val="00786035"/>
    <w:rsid w:val="007918FE"/>
    <w:rsid w:val="007935A2"/>
    <w:rsid w:val="007A3F00"/>
    <w:rsid w:val="007B4299"/>
    <w:rsid w:val="007C2CF7"/>
    <w:rsid w:val="007D1EE1"/>
    <w:rsid w:val="007D2CF1"/>
    <w:rsid w:val="007D45A0"/>
    <w:rsid w:val="007E42FA"/>
    <w:rsid w:val="007F1332"/>
    <w:rsid w:val="007F3C2F"/>
    <w:rsid w:val="00804018"/>
    <w:rsid w:val="00807802"/>
    <w:rsid w:val="00815F16"/>
    <w:rsid w:val="00822E12"/>
    <w:rsid w:val="00824005"/>
    <w:rsid w:val="008260D6"/>
    <w:rsid w:val="008274F3"/>
    <w:rsid w:val="00841FEE"/>
    <w:rsid w:val="008450C9"/>
    <w:rsid w:val="008502C2"/>
    <w:rsid w:val="00853047"/>
    <w:rsid w:val="00857B6F"/>
    <w:rsid w:val="0086436E"/>
    <w:rsid w:val="00871275"/>
    <w:rsid w:val="00872910"/>
    <w:rsid w:val="00874F8E"/>
    <w:rsid w:val="00885827"/>
    <w:rsid w:val="00891F6C"/>
    <w:rsid w:val="008969B5"/>
    <w:rsid w:val="008A360D"/>
    <w:rsid w:val="008A3AD6"/>
    <w:rsid w:val="008A553F"/>
    <w:rsid w:val="008A6631"/>
    <w:rsid w:val="008D75C9"/>
    <w:rsid w:val="008D7E94"/>
    <w:rsid w:val="008F176A"/>
    <w:rsid w:val="008F35D9"/>
    <w:rsid w:val="0090033F"/>
    <w:rsid w:val="009134F8"/>
    <w:rsid w:val="00921C72"/>
    <w:rsid w:val="0092655F"/>
    <w:rsid w:val="00931B0D"/>
    <w:rsid w:val="009362A2"/>
    <w:rsid w:val="00940296"/>
    <w:rsid w:val="00941080"/>
    <w:rsid w:val="00945F88"/>
    <w:rsid w:val="0094660B"/>
    <w:rsid w:val="00946998"/>
    <w:rsid w:val="00952190"/>
    <w:rsid w:val="009525F8"/>
    <w:rsid w:val="00952B8B"/>
    <w:rsid w:val="0095327E"/>
    <w:rsid w:val="00956212"/>
    <w:rsid w:val="00961DD4"/>
    <w:rsid w:val="00962DD7"/>
    <w:rsid w:val="009708AE"/>
    <w:rsid w:val="00972EDE"/>
    <w:rsid w:val="00977C79"/>
    <w:rsid w:val="0098235B"/>
    <w:rsid w:val="00983DAE"/>
    <w:rsid w:val="009841A9"/>
    <w:rsid w:val="009854AD"/>
    <w:rsid w:val="009A1E26"/>
    <w:rsid w:val="009B1B5E"/>
    <w:rsid w:val="009B1D5F"/>
    <w:rsid w:val="009B45B4"/>
    <w:rsid w:val="009C2F6D"/>
    <w:rsid w:val="009C3EB7"/>
    <w:rsid w:val="009C4A74"/>
    <w:rsid w:val="009D1137"/>
    <w:rsid w:val="009D7A28"/>
    <w:rsid w:val="009E0402"/>
    <w:rsid w:val="009E3034"/>
    <w:rsid w:val="009E5442"/>
    <w:rsid w:val="009F3F3F"/>
    <w:rsid w:val="00A13F82"/>
    <w:rsid w:val="00A20A03"/>
    <w:rsid w:val="00A3234B"/>
    <w:rsid w:val="00A32AAB"/>
    <w:rsid w:val="00A34638"/>
    <w:rsid w:val="00A35157"/>
    <w:rsid w:val="00A47786"/>
    <w:rsid w:val="00A477DB"/>
    <w:rsid w:val="00A50D24"/>
    <w:rsid w:val="00A6288F"/>
    <w:rsid w:val="00A64AA6"/>
    <w:rsid w:val="00A75C8D"/>
    <w:rsid w:val="00A90637"/>
    <w:rsid w:val="00A95EBB"/>
    <w:rsid w:val="00AA7C93"/>
    <w:rsid w:val="00AB329A"/>
    <w:rsid w:val="00AB71FF"/>
    <w:rsid w:val="00AC3827"/>
    <w:rsid w:val="00AC4C98"/>
    <w:rsid w:val="00AC6EC1"/>
    <w:rsid w:val="00AC736B"/>
    <w:rsid w:val="00AD13A6"/>
    <w:rsid w:val="00AF3649"/>
    <w:rsid w:val="00AF7463"/>
    <w:rsid w:val="00B006EE"/>
    <w:rsid w:val="00B115A2"/>
    <w:rsid w:val="00B143A1"/>
    <w:rsid w:val="00B308C6"/>
    <w:rsid w:val="00B36712"/>
    <w:rsid w:val="00B413B5"/>
    <w:rsid w:val="00B440CC"/>
    <w:rsid w:val="00B510E6"/>
    <w:rsid w:val="00B542BC"/>
    <w:rsid w:val="00B64DD9"/>
    <w:rsid w:val="00B70BAB"/>
    <w:rsid w:val="00B803D0"/>
    <w:rsid w:val="00B82298"/>
    <w:rsid w:val="00B91286"/>
    <w:rsid w:val="00B91FD0"/>
    <w:rsid w:val="00B924DE"/>
    <w:rsid w:val="00BA3958"/>
    <w:rsid w:val="00BB6132"/>
    <w:rsid w:val="00BB62EB"/>
    <w:rsid w:val="00BC152E"/>
    <w:rsid w:val="00BC6A1E"/>
    <w:rsid w:val="00BD232B"/>
    <w:rsid w:val="00BD47C0"/>
    <w:rsid w:val="00BD6F27"/>
    <w:rsid w:val="00BE151A"/>
    <w:rsid w:val="00BE5724"/>
    <w:rsid w:val="00BF040A"/>
    <w:rsid w:val="00C071B1"/>
    <w:rsid w:val="00C07A36"/>
    <w:rsid w:val="00C114D3"/>
    <w:rsid w:val="00C15E92"/>
    <w:rsid w:val="00C21965"/>
    <w:rsid w:val="00C253B7"/>
    <w:rsid w:val="00C27ACD"/>
    <w:rsid w:val="00C3501B"/>
    <w:rsid w:val="00C40D72"/>
    <w:rsid w:val="00C42D3D"/>
    <w:rsid w:val="00C44DA9"/>
    <w:rsid w:val="00C61F84"/>
    <w:rsid w:val="00C6688E"/>
    <w:rsid w:val="00C80595"/>
    <w:rsid w:val="00C87643"/>
    <w:rsid w:val="00C9453A"/>
    <w:rsid w:val="00CA37AA"/>
    <w:rsid w:val="00CA6F82"/>
    <w:rsid w:val="00CB3217"/>
    <w:rsid w:val="00CB38F7"/>
    <w:rsid w:val="00CB4B55"/>
    <w:rsid w:val="00CC0BF6"/>
    <w:rsid w:val="00CE2856"/>
    <w:rsid w:val="00CF0BAC"/>
    <w:rsid w:val="00CF1AA9"/>
    <w:rsid w:val="00CF5746"/>
    <w:rsid w:val="00CF6E6E"/>
    <w:rsid w:val="00D05429"/>
    <w:rsid w:val="00D06969"/>
    <w:rsid w:val="00D114AA"/>
    <w:rsid w:val="00D15A62"/>
    <w:rsid w:val="00D164B0"/>
    <w:rsid w:val="00D167D8"/>
    <w:rsid w:val="00D24206"/>
    <w:rsid w:val="00D279CD"/>
    <w:rsid w:val="00D30230"/>
    <w:rsid w:val="00D33261"/>
    <w:rsid w:val="00D44628"/>
    <w:rsid w:val="00D5188B"/>
    <w:rsid w:val="00D56993"/>
    <w:rsid w:val="00D56A4F"/>
    <w:rsid w:val="00D64843"/>
    <w:rsid w:val="00D77EC1"/>
    <w:rsid w:val="00D818F2"/>
    <w:rsid w:val="00DA0911"/>
    <w:rsid w:val="00DA32E4"/>
    <w:rsid w:val="00DB3627"/>
    <w:rsid w:val="00DB5EC2"/>
    <w:rsid w:val="00DC08C6"/>
    <w:rsid w:val="00DC4CB1"/>
    <w:rsid w:val="00DD2525"/>
    <w:rsid w:val="00DD632F"/>
    <w:rsid w:val="00DD76B0"/>
    <w:rsid w:val="00DE66AE"/>
    <w:rsid w:val="00DE7726"/>
    <w:rsid w:val="00DF0BF5"/>
    <w:rsid w:val="00E0188A"/>
    <w:rsid w:val="00E06BC4"/>
    <w:rsid w:val="00E14F59"/>
    <w:rsid w:val="00E230F2"/>
    <w:rsid w:val="00E3198B"/>
    <w:rsid w:val="00E32159"/>
    <w:rsid w:val="00E33DBE"/>
    <w:rsid w:val="00E42534"/>
    <w:rsid w:val="00E50053"/>
    <w:rsid w:val="00E51387"/>
    <w:rsid w:val="00E523D8"/>
    <w:rsid w:val="00E56873"/>
    <w:rsid w:val="00E56963"/>
    <w:rsid w:val="00E57637"/>
    <w:rsid w:val="00E75D95"/>
    <w:rsid w:val="00E80EB4"/>
    <w:rsid w:val="00E820F5"/>
    <w:rsid w:val="00E85C45"/>
    <w:rsid w:val="00E96398"/>
    <w:rsid w:val="00EA2936"/>
    <w:rsid w:val="00EA2EFE"/>
    <w:rsid w:val="00EB03AF"/>
    <w:rsid w:val="00EB1F78"/>
    <w:rsid w:val="00EC2D8C"/>
    <w:rsid w:val="00EC65F8"/>
    <w:rsid w:val="00EE2301"/>
    <w:rsid w:val="00EE2EC1"/>
    <w:rsid w:val="00EE7AEA"/>
    <w:rsid w:val="00EF4255"/>
    <w:rsid w:val="00EF61BC"/>
    <w:rsid w:val="00EF7FFE"/>
    <w:rsid w:val="00F03FCD"/>
    <w:rsid w:val="00F06CD0"/>
    <w:rsid w:val="00F07DC5"/>
    <w:rsid w:val="00F10015"/>
    <w:rsid w:val="00F12939"/>
    <w:rsid w:val="00F132B9"/>
    <w:rsid w:val="00F23F7C"/>
    <w:rsid w:val="00F3685E"/>
    <w:rsid w:val="00F43B67"/>
    <w:rsid w:val="00F51AC1"/>
    <w:rsid w:val="00F72540"/>
    <w:rsid w:val="00F91F4D"/>
    <w:rsid w:val="00F97520"/>
    <w:rsid w:val="00FB07AB"/>
    <w:rsid w:val="00FE0AF2"/>
    <w:rsid w:val="00FE51A8"/>
    <w:rsid w:val="00FE5B95"/>
    <w:rsid w:val="38BCAF55"/>
    <w:rsid w:val="4989BE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1009B589"/>
  <w15:chartTrackingRefBased/>
  <w15:docId w15:val="{CE314E04-DF58-40DD-AC43-D759B2A30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snapToGrid w:val="0"/>
      <w:spacing w:after="120"/>
      <w:jc w:val="both"/>
    </w:pPr>
    <w:rPr>
      <w:rFonts w:eastAsia="SimSun"/>
      <w:sz w:val="22"/>
      <w:szCs w:val="22"/>
      <w:lang w:eastAsia="zh-CN"/>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i w:val="0"/>
      <w:lang w:val="en-US"/>
    </w:rPr>
  </w:style>
  <w:style w:type="character" w:customStyle="1" w:styleId="WW8Num1z1">
    <w:name w:val="WW8Num1z1"/>
    <w:rPr>
      <w:rFonts w:ascii="Times New Roman" w:hAnsi="Times New Roman" w:cs="Times New Roman"/>
      <w:b/>
      <w:i w:val="0"/>
      <w:sz w:val="24"/>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ascii="Courier New" w:eastAsia="Malgun Gothic" w:hAnsi="Courier New" w:cs="Courier New" w:hint="default"/>
      <w:lang w:eastAsia="ko-KR"/>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Courier New" w:eastAsia="Malgun Gothic" w:hAnsi="Courier New" w:cs="Courier New" w:hint="default"/>
      <w:lang w:eastAsia="ko-KR"/>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eastAsia="Malgun Gothic" w:hAnsi="Symbol" w:cs="Symbol" w:hint="default"/>
      <w:lang w:eastAsia="ko-KR"/>
    </w:rPr>
  </w:style>
  <w:style w:type="character" w:customStyle="1" w:styleId="WW8Num5z1">
    <w:name w:val="WW8Num5z1"/>
    <w:rPr>
      <w:rFonts w:ascii="Courier New" w:eastAsia="Malgun Gothic" w:hAnsi="Courier New" w:cs="Courier New" w:hint="default"/>
      <w:sz w:val="24"/>
      <w:szCs w:val="24"/>
      <w:lang w:eastAsia="en-US"/>
    </w:rPr>
  </w:style>
  <w:style w:type="character" w:customStyle="1" w:styleId="WW8Num5z2">
    <w:name w:val="WW8Num5z2"/>
    <w:rPr>
      <w:rFonts w:ascii="Wingdings" w:hAnsi="Wingdings" w:cs="Wingdings" w:hint="default"/>
    </w:rPr>
  </w:style>
  <w:style w:type="character" w:customStyle="1" w:styleId="WW8Num6z0">
    <w:name w:val="WW8Num6z0"/>
    <w:rPr>
      <w:rFonts w:ascii="Times New Roman" w:eastAsia="Malgun Gothic" w:hAnsi="Times New Roman" w:cs="Times New Roman"/>
      <w:lang w:eastAsia="ko-KR"/>
    </w:rPr>
  </w:style>
  <w:style w:type="character" w:customStyle="1" w:styleId="WW8Num6z1">
    <w:name w:val="WW8Num6z1"/>
    <w:rPr>
      <w:rFonts w:ascii="Wingdings" w:hAnsi="Wingdings" w:cs="Wingdings"/>
    </w:rPr>
  </w:style>
  <w:style w:type="character" w:customStyle="1" w:styleId="DefaultParagraphFont0">
    <w:name w:val="Default Paragraph Font0"/>
  </w:style>
  <w:style w:type="character" w:customStyle="1" w:styleId="WW8Num3z1">
    <w:name w:val="WW8Num3z1"/>
    <w:rPr>
      <w:rFonts w:ascii="Wingdings" w:hAnsi="Wingdings" w:cs="Wingdings"/>
    </w:rPr>
  </w:style>
  <w:style w:type="character" w:customStyle="1" w:styleId="WW8Num7z0">
    <w:name w:val="WW8Num7z0"/>
    <w:rPr>
      <w:rFonts w:eastAsia="Wingdings" w:cs="Wingdings"/>
    </w:rPr>
  </w:style>
  <w:style w:type="character" w:customStyle="1" w:styleId="WW8Num8z0">
    <w:name w:val="WW8Num8z0"/>
    <w:rPr>
      <w:lang w:eastAsia="zh-CN"/>
    </w:rPr>
  </w:style>
  <w:style w:type="character" w:customStyle="1" w:styleId="WW8Num9z0">
    <w:name w:val="WW8Num9z0"/>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eastAsia="Wingdings" w:hAnsi="Symbol" w:cs="Symbol" w:hint="default"/>
    </w:rPr>
  </w:style>
  <w:style w:type="character" w:customStyle="1" w:styleId="WW8Num14z1">
    <w:name w:val="WW8Num14z1"/>
    <w:rPr>
      <w:rFonts w:ascii="Courier New" w:eastAsia="Wingdings" w:hAnsi="Courier New" w:cs="Courier New" w:hint="default"/>
      <w:sz w:val="24"/>
      <w:szCs w:val="24"/>
    </w:rPr>
  </w:style>
  <w:style w:type="character" w:customStyle="1" w:styleId="WW8Num14z2">
    <w:name w:val="WW8Num14z2"/>
    <w:rPr>
      <w:rFonts w:ascii="Wingdings" w:eastAsia="Wingdings" w:hAnsi="Wingdings" w:cs="Wingdings" w:hint="default"/>
    </w:rPr>
  </w:style>
  <w:style w:type="character" w:customStyle="1" w:styleId="WW8Num15z0">
    <w:name w:val="WW8Num15z0"/>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DefaultParagraphFont">
    <w:name w:val="WW-Default Paragraph Font"/>
  </w:style>
  <w:style w:type="character" w:customStyle="1" w:styleId="WW8Num2z1">
    <w:name w:val="WW8Num2z1"/>
    <w:rPr>
      <w:rFonts w:ascii="Wingdings" w:hAnsi="Wingdings" w:cs="Wingdings"/>
    </w:rPr>
  </w:style>
  <w:style w:type="character" w:customStyle="1" w:styleId="WW8Num4z1">
    <w:name w:val="WW8Num4z1"/>
    <w:rPr>
      <w:rFonts w:ascii="Wingdings" w:hAnsi="Wingdings" w:cs="Wingdings"/>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1">
    <w:name w:val="WW8Num9z1"/>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a">
    <w:name w:val="默认段落字体"/>
  </w:style>
  <w:style w:type="character" w:customStyle="1" w:styleId="Char">
    <w:name w:val="正文文本 Char"/>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rPr>
      <w:b/>
      <w:bCs/>
      <w:kern w:val="2"/>
      <w:lang w:val="en-GB" w:eastAsia="zh-CN" w:bidi="ar-SA"/>
    </w:rPr>
  </w:style>
  <w:style w:type="character" w:customStyle="1" w:styleId="1">
    <w:name w:val="已访问的超链接1"/>
    <w:rPr>
      <w:color w:val="800080"/>
      <w:kern w:val="2"/>
      <w:u w:val="single"/>
      <w:lang w:val="en-GB" w:eastAsia="zh-CN" w:bidi="ar-SA"/>
    </w:rPr>
  </w:style>
  <w:style w:type="character" w:customStyle="1" w:styleId="FootnoteCharacters">
    <w:name w:val="Footnote Characters"/>
    <w:rPr>
      <w:kern w:val="2"/>
      <w:vertAlign w:val="superscript"/>
      <w:lang w:val="en-GB" w:eastAsia="zh-CN" w:bidi="ar-SA"/>
    </w:rPr>
  </w:style>
  <w:style w:type="character" w:customStyle="1" w:styleId="Char1">
    <w:name w:val="页眉 Char"/>
    <w:rPr>
      <w:kern w:val="2"/>
      <w:sz w:val="22"/>
      <w:szCs w:val="22"/>
      <w:lang w:val="en-GB" w:eastAsia="zh-CN" w:bidi="ar-SA"/>
    </w:rPr>
  </w:style>
  <w:style w:type="character" w:customStyle="1" w:styleId="Char2">
    <w:name w:val="页脚 Char"/>
    <w:rPr>
      <w:kern w:val="2"/>
      <w:sz w:val="22"/>
      <w:szCs w:val="22"/>
      <w:lang w:val="en-GB" w:eastAsia="zh-CN" w:bidi="ar-SA"/>
    </w:rPr>
  </w:style>
  <w:style w:type="character" w:customStyle="1" w:styleId="Char3">
    <w:name w:val="文档结构图 Char"/>
    <w:rPr>
      <w:rFonts w:ascii="SimSun" w:hAnsi="SimSun" w:cs="SimSun"/>
      <w:kern w:val="2"/>
      <w:sz w:val="18"/>
      <w:szCs w:val="18"/>
      <w:lang w:val="en-GB" w:bidi="ar-SA"/>
    </w:rPr>
  </w:style>
  <w:style w:type="character" w:customStyle="1" w:styleId="maintextChar">
    <w:name w:val="main text Char"/>
    <w:rPr>
      <w:rFonts w:eastAsia="Malgun Gothic" w:cs="Batang"/>
      <w:lang w:val="en-GB" w:eastAsia="ko-KR"/>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a0">
    <w:name w:val="批注引用"/>
    <w:rPr>
      <w:kern w:val="2"/>
      <w:sz w:val="21"/>
      <w:szCs w:val="21"/>
      <w:lang w:val="en-GB" w:eastAsia="zh-CN" w:bidi="ar-SA"/>
    </w:rPr>
  </w:style>
  <w:style w:type="character" w:customStyle="1" w:styleId="Char4">
    <w:name w:val="批注文字 Char"/>
    <w:rPr>
      <w:kern w:val="2"/>
      <w:sz w:val="22"/>
      <w:szCs w:val="22"/>
      <w:lang w:val="en-GB" w:bidi="ar-SA"/>
    </w:rPr>
  </w:style>
  <w:style w:type="character" w:customStyle="1" w:styleId="Char5">
    <w:name w:val="批注主题 Char"/>
    <w:rPr>
      <w:b/>
      <w:bCs/>
      <w:kern w:val="2"/>
      <w:sz w:val="22"/>
      <w:szCs w:val="22"/>
      <w:lang w:val="en-GB" w:bidi="ar-SA"/>
    </w:rPr>
  </w:style>
  <w:style w:type="character" w:styleId="CommentReference">
    <w:name w:val="annotation reference"/>
    <w:rPr>
      <w:sz w:val="16"/>
      <w:szCs w:val="16"/>
    </w:rPr>
  </w:style>
  <w:style w:type="character" w:customStyle="1" w:styleId="CommentTextChar">
    <w:name w:val="Comment Text Char"/>
    <w:rPr>
      <w:rFonts w:eastAsia="SimSun"/>
      <w:lang w:eastAsia="zh-CN"/>
    </w:rPr>
  </w:style>
  <w:style w:type="character" w:customStyle="1" w:styleId="CommentSubjectChar">
    <w:name w:val="Comment Subject Char"/>
    <w:rPr>
      <w:rFonts w:eastAsia="SimSun"/>
      <w:b/>
      <w:bCs/>
      <w:lang w:eastAsia="zh-CN"/>
    </w:rPr>
  </w:style>
  <w:style w:type="paragraph" w:customStyle="1" w:styleId="Heading">
    <w:name w:val="Heading"/>
    <w:basedOn w:val="Normal"/>
    <w:next w:val="BodyTex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customStyle="1" w:styleId="a1">
    <w:name w:val="题注"/>
    <w:basedOn w:val="Normal"/>
    <w:next w:val="Normal"/>
    <w:pPr>
      <w:jc w:val="center"/>
    </w:pPr>
    <w:rPr>
      <w:b/>
      <w:bCs/>
      <w:kern w:val="2"/>
      <w:sz w:val="20"/>
      <w:szCs w:val="20"/>
      <w:lang w:val="en-GB"/>
    </w:rPr>
  </w:style>
  <w:style w:type="paragraph" w:customStyle="1" w:styleId="a2">
    <w:name w:val="列表项目符号"/>
    <w:basedOn w:val="List"/>
    <w:pPr>
      <w:autoSpaceDE/>
      <w:spacing w:after="180"/>
      <w:ind w:left="568" w:hanging="284"/>
      <w:jc w:val="left"/>
    </w:pPr>
    <w:rPr>
      <w:sz w:val="20"/>
      <w:szCs w:val="20"/>
      <w:lang w:val="en-GB"/>
    </w:rPr>
  </w:style>
  <w:style w:type="paragraph" w:customStyle="1" w:styleId="2">
    <w:name w:val="正文文本 2"/>
    <w:basedOn w:val="Normal"/>
    <w:pPr>
      <w:spacing w:after="0"/>
      <w:jc w:val="left"/>
    </w:pPr>
    <w:rPr>
      <w:szCs w:val="20"/>
    </w:rPr>
  </w:style>
  <w:style w:type="paragraph" w:customStyle="1" w:styleId="a3">
    <w:name w:val="批注框文本"/>
    <w:basedOn w:val="Normal"/>
    <w:rPr>
      <w:rFonts w:ascii="Tahoma" w:hAnsi="Tahoma" w:cs="Tahoma"/>
      <w:sz w:val="16"/>
      <w:szCs w:val="16"/>
    </w:rPr>
  </w:style>
  <w:style w:type="paragraph" w:customStyle="1" w:styleId="References">
    <w:name w:val="References"/>
    <w:basedOn w:val="Normal"/>
    <w:pPr>
      <w:numPr>
        <w:numId w:val="3"/>
      </w:num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pPr>
      <w:keepNext/>
      <w:jc w:val="center"/>
    </w:pPr>
  </w:style>
  <w:style w:type="paragraph" w:customStyle="1" w:styleId="Eqn">
    <w:name w:val="Eqn"/>
    <w:basedOn w:val="Normal"/>
    <w:rPr>
      <w:lang w:eastAsia="ja-JP"/>
    </w:rPr>
  </w:style>
  <w:style w:type="paragraph" w:customStyle="1" w:styleId="tablecell">
    <w:name w:val="tablecell"/>
    <w:basedOn w:val="Normal"/>
    <w:pPr>
      <w:spacing w:before="20" w:after="20"/>
      <w:jc w:val="left"/>
    </w:pPr>
  </w:style>
  <w:style w:type="paragraph" w:customStyle="1" w:styleId="HeaderandFooter">
    <w:name w:val="Header and Footer"/>
    <w:basedOn w:val="Normal"/>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pPr>
      <w:jc w:val="center"/>
    </w:pPr>
    <w:rPr>
      <w:b/>
    </w:rPr>
  </w:style>
  <w:style w:type="paragraph" w:customStyle="1" w:styleId="a4">
    <w:name w:val="文档结构图"/>
    <w:basedOn w:val="Normal"/>
    <w:rPr>
      <w:rFonts w:ascii="SimSun" w:hAnsi="SimSun" w:cs="SimSun"/>
      <w:kern w:val="2"/>
      <w:sz w:val="18"/>
      <w:szCs w:val="18"/>
      <w:lang w:val="en-GB"/>
    </w:rPr>
  </w:style>
  <w:style w:type="paragraph" w:customStyle="1" w:styleId="maintext">
    <w:name w:val="main text"/>
    <w:basedOn w:val="Normal"/>
    <w:pPr>
      <w:autoSpaceDE/>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pPr>
      <w:autoSpaceDE/>
      <w:snapToGrid/>
      <w:spacing w:after="180" w:line="336" w:lineRule="auto"/>
      <w:ind w:firstLine="200"/>
    </w:pPr>
    <w:rPr>
      <w:rFonts w:eastAsia="Malgun Gothic"/>
      <w:sz w:val="20"/>
      <w:szCs w:val="20"/>
      <w:lang w:val="en-GB"/>
    </w:rPr>
  </w:style>
  <w:style w:type="paragraph" w:customStyle="1" w:styleId="a5">
    <w:name w:val="批注文字"/>
    <w:basedOn w:val="Normal"/>
    <w:pPr>
      <w:jc w:val="left"/>
    </w:pPr>
    <w:rPr>
      <w:kern w:val="2"/>
      <w:lang w:val="en-GB"/>
    </w:rPr>
  </w:style>
  <w:style w:type="paragraph" w:customStyle="1" w:styleId="a6">
    <w:name w:val="批注主题"/>
    <w:basedOn w:val="a5"/>
    <w:next w:val="a5"/>
    <w:rPr>
      <w:b/>
      <w:bCs/>
    </w:rPr>
  </w:style>
  <w:style w:type="paragraph" w:customStyle="1" w:styleId="a7">
    <w:name w:val="列出段落"/>
    <w:basedOn w:val="Normal"/>
    <w:pPr>
      <w:ind w:left="720"/>
      <w:contextualSpacing/>
    </w:p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180"/>
      <w:ind w:left="720"/>
      <w:contextualSpacing/>
    </w:pPr>
  </w:style>
  <w:style w:type="table" w:styleId="TableGrid">
    <w:name w:val="Table Grid"/>
    <w:basedOn w:val="TableNormal"/>
    <w:uiPriority w:val="39"/>
    <w:qFormat/>
    <w:rsid w:val="00C114D3"/>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2" ma:contentTypeDescription="Create a new document." ma:contentTypeScope="" ma:versionID="69a51180523a8d5d21359e0620fc4335">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09534e5a715ef65012a3eb180163cbb2"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39C0AD-3EA9-4F4E-8106-55D9AA0B3909}">
  <ds:schemaRefs>
    <ds:schemaRef ds:uri="http://schemas.microsoft.com/sharepoint/v3/contenttype/forms"/>
  </ds:schemaRefs>
</ds:datastoreItem>
</file>

<file path=customXml/itemProps2.xml><?xml version="1.0" encoding="utf-8"?>
<ds:datastoreItem xmlns:ds="http://schemas.openxmlformats.org/officeDocument/2006/customXml" ds:itemID="{742E873B-FA03-4963-9963-FFCCE4C60E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034E8A-764F-47C5-AC5E-0B30DECB3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5</Pages>
  <Words>1766</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Esswie, Ali</cp:lastModifiedBy>
  <cp:revision>653</cp:revision>
  <cp:lastPrinted>2007-06-19T00:08:00Z</cp:lastPrinted>
  <dcterms:created xsi:type="dcterms:W3CDTF">2022-07-05T11:46:00Z</dcterms:created>
  <dcterms:modified xsi:type="dcterms:W3CDTF">2022-07-22T12:04:00Z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3"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4" name="_2015_ms_pID_7253431_00">
    <vt:lpwstr>_2015_ms_pID_7253431</vt:lpwstr>
  </property>
  <property fmtid="{D5CDD505-2E9C-101B-9397-08002B2CF9AE}" pid="5" name="_2015_ms_pID_7253432">
    <vt:lpwstr>9qLhyHC9obdVHv8/RLoYiwEXWdzr8N8/jd2r_x000d_
Z4zgO54Jul26UUC1NNoYDAts+rdWXA==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sflag">
    <vt:lpwstr>1510973513</vt:lpwstr>
  </property>
  <property fmtid="{D5CDD505-2E9C-101B-9397-08002B2CF9AE}" pid="22" name="MSIP_Label_dad3be33-4108-4738-9e07-d8656a181486_Enabled">
    <vt:lpwstr>true</vt:lpwstr>
  </property>
  <property fmtid="{D5CDD505-2E9C-101B-9397-08002B2CF9AE}" pid="23" name="MSIP_Label_dad3be33-4108-4738-9e07-d8656a181486_SetDate">
    <vt:lpwstr>2022-07-05T11:45:47Z</vt:lpwstr>
  </property>
  <property fmtid="{D5CDD505-2E9C-101B-9397-08002B2CF9AE}" pid="24" name="MSIP_Label_dad3be33-4108-4738-9e07-d8656a181486_Method">
    <vt:lpwstr>Privileged</vt:lpwstr>
  </property>
  <property fmtid="{D5CDD505-2E9C-101B-9397-08002B2CF9AE}" pid="25" name="MSIP_Label_dad3be33-4108-4738-9e07-d8656a181486_Name">
    <vt:lpwstr>Public No Visual Label</vt:lpwstr>
  </property>
  <property fmtid="{D5CDD505-2E9C-101B-9397-08002B2CF9AE}" pid="26" name="MSIP_Label_dad3be33-4108-4738-9e07-d8656a181486_SiteId">
    <vt:lpwstr>945c199a-83a2-4e80-9f8c-5a91be5752dd</vt:lpwstr>
  </property>
  <property fmtid="{D5CDD505-2E9C-101B-9397-08002B2CF9AE}" pid="27" name="MSIP_Label_dad3be33-4108-4738-9e07-d8656a181486_ActionId">
    <vt:lpwstr>d7d4b157-7199-49ad-9b2d-24241a4e6b7d</vt:lpwstr>
  </property>
  <property fmtid="{D5CDD505-2E9C-101B-9397-08002B2CF9AE}" pid="28" name="MSIP_Label_dad3be33-4108-4738-9e07-d8656a181486_ContentBits">
    <vt:lpwstr>0</vt:lpwstr>
  </property>
  <property fmtid="{D5CDD505-2E9C-101B-9397-08002B2CF9AE}" pid="29" name="ContentTypeId">
    <vt:lpwstr>0x010100FDC1823E9FD6F44682472E2FDB640E74</vt:lpwstr>
  </property>
</Properties>
</file>