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69699D70"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C746C">
        <w:rPr>
          <w:color w:val="FF0000"/>
          <w:lang w:val="en-US"/>
        </w:rPr>
        <w:t>3</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25CCAED4" w:rsidR="00A465ED" w:rsidRDefault="00FE78DE">
      <w:pPr>
        <w:rPr>
          <w:lang w:val="en-US"/>
        </w:rPr>
      </w:pPr>
      <w:r>
        <w:rPr>
          <w:rFonts w:ascii="Times" w:hAnsi="Times"/>
          <w:b/>
          <w:szCs w:val="24"/>
          <w:lang w:val="en-US"/>
        </w:rPr>
        <w:t>FL</w:t>
      </w:r>
      <w:r w:rsidR="008B55B0">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AD1F89">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r>
              <w:rPr>
                <w:rFonts w:eastAsiaTheme="minorEastAsia"/>
                <w:lang w:val="en-US" w:eastAsia="zh-CN"/>
              </w:rPr>
              <w:t>Lijie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宋体"/>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15 kHz SCS, 25 contiguous RBs are assumed to fit within the 5 MHz.</w:t>
            </w:r>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For 30 kHz SCS, 11 contiguous RBs are assumed to fit within the 5 MHz.</w:t>
            </w:r>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等线"/>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宋体"/>
          <w:lang w:eastAsia="ja-JP"/>
        </w:rPr>
      </w:pPr>
      <w:r>
        <w:rPr>
          <w:rFonts w:eastAsia="宋体"/>
          <w:lang w:eastAsia="ja-JP"/>
        </w:rPr>
        <w:lastRenderedPageBreak/>
        <w:br/>
        <w:t xml:space="preserve">An initial draft template is provided in </w:t>
      </w:r>
      <w:hyperlink r:id="rId17" w:history="1">
        <w:r>
          <w:rPr>
            <w:rStyle w:val="Hyperlink"/>
            <w:rFonts w:eastAsia="宋体"/>
            <w:lang w:eastAsia="ja-JP"/>
          </w:rPr>
          <w:t>eRedCapComplexityTemplate-v000.xlsx</w:t>
        </w:r>
      </w:hyperlink>
      <w:r>
        <w:rPr>
          <w:rFonts w:eastAsia="宋体"/>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宋体"/>
          <w:lang w:eastAsia="ja-JP"/>
        </w:rPr>
      </w:pPr>
      <w:r>
        <w:rPr>
          <w:rFonts w:eastAsia="宋体"/>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宋体"/>
          <w:lang w:eastAsia="ja-JP"/>
        </w:rPr>
      </w:pPr>
      <w:r>
        <w:rPr>
          <w:rFonts w:eastAsia="宋体"/>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宋体"/>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宋体"/>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(e.g.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宋体"/>
                <w:lang w:eastAsia="ja-JP"/>
              </w:rPr>
              <w:t>used in the Rel-17 RedCap SI and also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 xml:space="preserve">We could perhaps have one extra column/row per company per reduction-option to capture relevant assumptions in the Excel. For example, assumption that K0/2,min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Hisilicon</w:t>
            </w:r>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宋体"/>
                <w:lang w:val="en-US" w:eastAsia="zh-CN"/>
              </w:rPr>
            </w:pPr>
            <w:r>
              <w:rPr>
                <w:rFonts w:eastAsia="宋体" w:hint="eastAsia"/>
                <w:lang w:val="en-US" w:eastAsia="zh-CN"/>
              </w:rPr>
              <w:t>ZTE, Sanechips</w:t>
            </w:r>
          </w:p>
        </w:tc>
        <w:tc>
          <w:tcPr>
            <w:tcW w:w="8268" w:type="dxa"/>
            <w:gridSpan w:val="3"/>
          </w:tcPr>
          <w:p w14:paraId="55D16255" w14:textId="77777777" w:rsidR="00A465ED" w:rsidRDefault="00FE78DE">
            <w:pPr>
              <w:rPr>
                <w:rFonts w:eastAsia="宋体"/>
                <w:lang w:val="en-US" w:eastAsia="zh-CN"/>
              </w:rPr>
            </w:pPr>
            <w:r>
              <w:rPr>
                <w:rFonts w:eastAsia="宋体" w:hint="eastAsia"/>
                <w:lang w:val="en-US" w:eastAsia="zh-CN"/>
              </w:rPr>
              <w:t xml:space="preserve">Generally fine and we think the sheet HD-FDD 1Rx, TDD 2Rx, FD-FDD 2Rx and HD-FDD 2Rx should be tagged as </w:t>
            </w:r>
            <w:r>
              <w:rPr>
                <w:rFonts w:eastAsia="宋体"/>
                <w:lang w:val="en-US" w:eastAsia="zh-CN"/>
              </w:rPr>
              <w:t>‘</w:t>
            </w:r>
            <w:r>
              <w:rPr>
                <w:rFonts w:eastAsia="宋体" w:hint="eastAsia"/>
                <w:lang w:val="en-US" w:eastAsia="zh-CN"/>
              </w:rPr>
              <w:t>optional</w:t>
            </w:r>
            <w:r>
              <w:rPr>
                <w:rFonts w:eastAsia="宋体"/>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52960734" w:rsidR="00292B7E"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宋体"/>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CD02FD">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Hisilicon</w:t>
            </w:r>
          </w:p>
        </w:tc>
        <w:tc>
          <w:tcPr>
            <w:tcW w:w="1317" w:type="dxa"/>
          </w:tcPr>
          <w:p w14:paraId="373D67F9" w14:textId="77777777" w:rsidR="00F00134" w:rsidRDefault="00F00134" w:rsidP="00CD02FD">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CD02FD">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r w:rsidR="006D32CE" w14:paraId="3163E16C" w14:textId="77777777" w:rsidTr="00F00134">
        <w:tc>
          <w:tcPr>
            <w:tcW w:w="1372" w:type="dxa"/>
            <w:gridSpan w:val="2"/>
          </w:tcPr>
          <w:p w14:paraId="393D23D5" w14:textId="0E548BCF" w:rsidR="006D32CE" w:rsidRDefault="006D32CE" w:rsidP="006D32CE">
            <w:pPr>
              <w:rPr>
                <w:rFonts w:eastAsiaTheme="minorEastAsia"/>
                <w:lang w:val="en-US" w:eastAsia="zh-CN"/>
              </w:rPr>
            </w:pPr>
            <w:r>
              <w:rPr>
                <w:rFonts w:eastAsiaTheme="minorEastAsia"/>
                <w:lang w:val="en-US" w:eastAsia="zh-CN"/>
              </w:rPr>
              <w:t>Qualcomm</w:t>
            </w:r>
          </w:p>
        </w:tc>
        <w:tc>
          <w:tcPr>
            <w:tcW w:w="1317" w:type="dxa"/>
          </w:tcPr>
          <w:p w14:paraId="799468BC" w14:textId="5C844084" w:rsidR="006D32CE" w:rsidRDefault="006D32CE" w:rsidP="006D32CE">
            <w:pPr>
              <w:rPr>
                <w:rFonts w:eastAsiaTheme="minorEastAsia"/>
                <w:lang w:val="en-US" w:eastAsia="zh-CN"/>
              </w:rPr>
            </w:pPr>
            <w:r>
              <w:rPr>
                <w:rFonts w:eastAsiaTheme="minorEastAsia"/>
                <w:lang w:val="en-US" w:eastAsia="zh-CN"/>
              </w:rPr>
              <w:t>Y</w:t>
            </w:r>
          </w:p>
        </w:tc>
        <w:tc>
          <w:tcPr>
            <w:tcW w:w="6945" w:type="dxa"/>
          </w:tcPr>
          <w:p w14:paraId="4D82E3A4" w14:textId="77777777" w:rsidR="006D32CE" w:rsidRDefault="006D32CE" w:rsidP="006D32CE">
            <w:pPr>
              <w:rPr>
                <w:rFonts w:eastAsiaTheme="minorEastAsia"/>
                <w:lang w:val="en-US" w:eastAsia="zh-CN"/>
              </w:rPr>
            </w:pPr>
          </w:p>
        </w:tc>
      </w:tr>
      <w:tr w:rsidR="00292B7E" w14:paraId="32A5D8A2" w14:textId="77777777" w:rsidTr="00CD02FD">
        <w:tc>
          <w:tcPr>
            <w:tcW w:w="1372" w:type="dxa"/>
            <w:gridSpan w:val="2"/>
          </w:tcPr>
          <w:p w14:paraId="7A4326B6" w14:textId="2DEA0F54" w:rsidR="00292B7E" w:rsidRDefault="00292B7E" w:rsidP="00292B7E">
            <w:pPr>
              <w:rPr>
                <w:rFonts w:eastAsiaTheme="minorEastAsia"/>
                <w:lang w:val="en-US" w:eastAsia="zh-CN"/>
              </w:rPr>
            </w:pPr>
            <w:r>
              <w:rPr>
                <w:rFonts w:eastAsiaTheme="minorEastAsia"/>
                <w:lang w:val="en-US" w:eastAsia="zh-CN"/>
              </w:rPr>
              <w:t>FL3</w:t>
            </w:r>
          </w:p>
        </w:tc>
        <w:tc>
          <w:tcPr>
            <w:tcW w:w="8262" w:type="dxa"/>
            <w:gridSpan w:val="2"/>
          </w:tcPr>
          <w:p w14:paraId="2C816687" w14:textId="0AF205D0" w:rsidR="00292B7E" w:rsidRDefault="00292B7E" w:rsidP="00292B7E">
            <w:pPr>
              <w:rPr>
                <w:rFonts w:eastAsiaTheme="minorEastAsia"/>
                <w:lang w:val="en-US" w:eastAsia="zh-CN"/>
              </w:rPr>
            </w:pPr>
            <w:r>
              <w:rPr>
                <w:rFonts w:eastAsiaTheme="minorEastAsia"/>
                <w:lang w:val="en-US" w:eastAsia="zh-CN"/>
              </w:rPr>
              <w:t>Based on the received responses, it seems that the proposal may be agreeable.</w:t>
            </w:r>
          </w:p>
          <w:p w14:paraId="5CB1F8E2" w14:textId="618B2E07" w:rsidR="00292B7E" w:rsidRPr="00292B7E" w:rsidRDefault="00292B7E" w:rsidP="00292B7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Hyperlink"/>
                  <w:rFonts w:eastAsia="宋体"/>
                  <w:b/>
                  <w:lang w:eastAsia="ja-JP"/>
                </w:rPr>
                <w:t>eRedCapComplexityTemplate-v001.xlsx</w:t>
              </w:r>
            </w:hyperlink>
            <w:r>
              <w:rPr>
                <w:b/>
                <w:lang w:val="en-US"/>
              </w:rPr>
              <w:t>.</w:t>
            </w:r>
          </w:p>
        </w:tc>
      </w:tr>
      <w:tr w:rsidR="00292B7E" w14:paraId="414FF641" w14:textId="77777777" w:rsidTr="00F00134">
        <w:tc>
          <w:tcPr>
            <w:tcW w:w="1372" w:type="dxa"/>
            <w:gridSpan w:val="2"/>
          </w:tcPr>
          <w:p w14:paraId="3FDEA041" w14:textId="6021F35E" w:rsidR="00292B7E" w:rsidRDefault="00CD02FD" w:rsidP="00556F2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5AB6C444" w14:textId="11824168" w:rsidR="00292B7E" w:rsidRDefault="00CD02FD" w:rsidP="00556F2E">
            <w:pPr>
              <w:rPr>
                <w:rFonts w:eastAsiaTheme="minorEastAsia"/>
                <w:lang w:val="en-US" w:eastAsia="zh-CN"/>
              </w:rPr>
            </w:pPr>
            <w:r>
              <w:rPr>
                <w:rFonts w:eastAsiaTheme="minorEastAsia" w:hint="eastAsia"/>
                <w:lang w:val="en-US" w:eastAsia="zh-CN"/>
              </w:rPr>
              <w:t>Y</w:t>
            </w:r>
          </w:p>
        </w:tc>
        <w:tc>
          <w:tcPr>
            <w:tcW w:w="6945" w:type="dxa"/>
          </w:tcPr>
          <w:p w14:paraId="309438B3" w14:textId="77777777" w:rsidR="00292B7E" w:rsidRDefault="00292B7E" w:rsidP="00556F2E">
            <w:pPr>
              <w:rPr>
                <w:rFonts w:eastAsiaTheme="minorEastAsia"/>
                <w:lang w:val="en-US" w:eastAsia="zh-CN"/>
              </w:rPr>
            </w:pPr>
          </w:p>
        </w:tc>
      </w:tr>
      <w:tr w:rsidR="009E4ABC" w14:paraId="6CE15182" w14:textId="77777777" w:rsidTr="00F00134">
        <w:tc>
          <w:tcPr>
            <w:tcW w:w="1372" w:type="dxa"/>
            <w:gridSpan w:val="2"/>
          </w:tcPr>
          <w:p w14:paraId="46C64198" w14:textId="5E7EFA4C" w:rsidR="009E4ABC" w:rsidRDefault="009E4ABC" w:rsidP="00556F2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17" w:type="dxa"/>
          </w:tcPr>
          <w:p w14:paraId="3ECF3CC9" w14:textId="485521CE" w:rsidR="009E4ABC" w:rsidRDefault="009E4ABC" w:rsidP="00556F2E">
            <w:pPr>
              <w:rPr>
                <w:rFonts w:eastAsiaTheme="minorEastAsia"/>
                <w:lang w:val="en-US" w:eastAsia="zh-CN"/>
              </w:rPr>
            </w:pPr>
            <w:r>
              <w:rPr>
                <w:rFonts w:eastAsiaTheme="minorEastAsia" w:hint="eastAsia"/>
                <w:lang w:val="en-US" w:eastAsia="zh-CN"/>
              </w:rPr>
              <w:t>Y</w:t>
            </w:r>
          </w:p>
        </w:tc>
        <w:tc>
          <w:tcPr>
            <w:tcW w:w="6945" w:type="dxa"/>
          </w:tcPr>
          <w:p w14:paraId="2F5BB952" w14:textId="77777777" w:rsidR="009E4ABC" w:rsidRDefault="009E4ABC"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等线"/>
                <w:color w:val="000000"/>
                <w:lang w:val="en-US" w:eastAsia="zh-CN"/>
              </w:rPr>
            </w:pPr>
          </w:p>
          <w:p w14:paraId="64DB221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等线"/>
                <w:color w:val="000000"/>
                <w:lang w:val="en-US" w:eastAsia="zh-CN"/>
              </w:rPr>
            </w:pPr>
          </w:p>
          <w:p w14:paraId="029B30CB"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2E06942E"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C39E43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宋体"/>
                <w:color w:val="000000"/>
                <w:lang w:val="en-US" w:eastAsia="zh-CN"/>
              </w:rPr>
            </w:pPr>
          </w:p>
          <w:p w14:paraId="279A5AB1"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等线"/>
                <w:color w:val="000000"/>
                <w:lang w:val="en-US" w:eastAsia="zh-CN"/>
              </w:rPr>
            </w:pPr>
          </w:p>
          <w:p w14:paraId="4DC5B91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宋体"/>
                      <w:color w:val="000000"/>
                      <w:lang w:val="en-US" w:eastAsia="zh-CN"/>
                    </w:rPr>
                  </w:pPr>
                  <w:r>
                    <w:rPr>
                      <w:rFonts w:eastAsia="宋体"/>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宋体"/>
                      <w:color w:val="000000"/>
                      <w:lang w:val="en-US" w:eastAsia="zh-CN"/>
                    </w:rPr>
                  </w:pPr>
                  <w:r>
                    <w:rPr>
                      <w:rFonts w:eastAsia="宋体"/>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宋体"/>
                      <w:color w:val="000000"/>
                      <w:lang w:val="en-US" w:eastAsia="zh-CN"/>
                    </w:rPr>
                  </w:pPr>
                  <w:r>
                    <w:rPr>
                      <w:rFonts w:eastAsia="宋体"/>
                      <w:color w:val="000000"/>
                      <w:lang w:eastAsia="zh-CN"/>
                    </w:rPr>
                    <w:t>Rural: 5 MHz (25 PRBs, 15 kHz SCS)</w:t>
                  </w:r>
                </w:p>
                <w:p w14:paraId="0441AB68" w14:textId="77777777" w:rsidR="00A465ED" w:rsidRDefault="00FE78DE">
                  <w:pPr>
                    <w:spacing w:after="0" w:line="233" w:lineRule="atLeast"/>
                    <w:rPr>
                      <w:rFonts w:eastAsia="宋体"/>
                      <w:color w:val="000000"/>
                      <w:lang w:val="en-US" w:eastAsia="zh-CN"/>
                    </w:rPr>
                  </w:pPr>
                  <w:r>
                    <w:rPr>
                      <w:rFonts w:eastAsia="宋体"/>
                      <w:color w:val="000000"/>
                      <w:lang w:eastAsia="zh-CN"/>
                    </w:rPr>
                    <w:lastRenderedPageBreak/>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lastRenderedPageBreak/>
              <w:t>Note: Rural scenario at 0.7 GHz, Urban scenario at 2.6 GHz, and Urban scenario at 4 GHz (optional) are considered.</w:t>
            </w:r>
          </w:p>
          <w:p w14:paraId="2231DB2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6DB0D51C"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宋体"/>
                <w:color w:val="000000"/>
                <w:lang w:val="en-US" w:eastAsia="zh-CN"/>
              </w:rPr>
            </w:pPr>
            <w:r>
              <w:rPr>
                <w:rFonts w:eastAsia="宋体"/>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5CA12FA6"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等线"/>
                <w:color w:val="000000"/>
                <w:lang w:val="en-US" w:eastAsia="zh-CN"/>
              </w:rPr>
              <w:t xml:space="preserve">UE bandwidth, cell edge </w:t>
            </w:r>
            <w:r>
              <w:rPr>
                <w:color w:val="000000"/>
                <w:lang w:val="en-US" w:eastAsia="zh-CN"/>
              </w:rPr>
              <w:t>data</w:t>
            </w:r>
            <w:r>
              <w:rPr>
                <w:rFonts w:eastAsia="等线"/>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宋体"/>
                <w:color w:val="000000"/>
                <w:lang w:val="en-US" w:eastAsia="zh-CN"/>
              </w:rPr>
            </w:pPr>
          </w:p>
          <w:p w14:paraId="500F9F52"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宋体"/>
                <w:color w:val="000000"/>
                <w:lang w:val="en-US" w:eastAsia="zh-CN"/>
              </w:rPr>
            </w:pPr>
          </w:p>
          <w:p w14:paraId="38D338F4"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宋体"/>
                <w:color w:val="000000"/>
                <w:lang w:val="en-US" w:eastAsia="zh-CN"/>
              </w:rPr>
            </w:pPr>
            <w:r>
              <w:rPr>
                <w:rFonts w:eastAsia="宋体"/>
                <w:color w:val="000000"/>
                <w:lang w:val="en-US" w:eastAsia="zh-CN"/>
              </w:rPr>
              <w:t> </w:t>
            </w:r>
          </w:p>
          <w:p w14:paraId="47B7EF00"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等线"/>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等线"/>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等线"/>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等线"/>
                <w:color w:val="000000"/>
                <w:lang w:val="en-US" w:eastAsia="zh-CN"/>
              </w:rPr>
            </w:pPr>
          </w:p>
          <w:p w14:paraId="4AAB58DF"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color w:val="000000"/>
                <w:lang w:val="en-US" w:eastAsia="zh-CN"/>
              </w:rPr>
              <w:t>Following</w:t>
            </w:r>
            <w:r>
              <w:rPr>
                <w:rFonts w:eastAsia="宋体"/>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等线"/>
                <w:color w:val="000000"/>
                <w:lang w:val="en-US" w:eastAsia="zh-CN"/>
              </w:rPr>
            </w:pPr>
          </w:p>
          <w:p w14:paraId="71C5E5C9" w14:textId="77777777" w:rsidR="00A465ED" w:rsidRDefault="00FE78DE">
            <w:pPr>
              <w:shd w:val="clear" w:color="auto" w:fill="FFFFFF"/>
              <w:spacing w:after="0" w:line="233" w:lineRule="atLeast"/>
              <w:rPr>
                <w:rFonts w:eastAsia="宋体"/>
                <w:color w:val="000000"/>
                <w:lang w:val="en-US" w:eastAsia="zh-CN"/>
              </w:rPr>
            </w:pPr>
            <w:r>
              <w:rPr>
                <w:rFonts w:eastAsia="宋体"/>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宋体"/>
                <w:color w:val="000000"/>
                <w:lang w:val="en-US" w:eastAsia="zh-CN"/>
              </w:rPr>
            </w:pPr>
            <w:r>
              <w:rPr>
                <w:rFonts w:eastAsia="宋体"/>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宋体"/>
          <w:lang w:eastAsia="ja-JP"/>
        </w:rPr>
      </w:pPr>
      <w:r>
        <w:rPr>
          <w:rFonts w:eastAsia="宋体"/>
          <w:lang w:eastAsia="ja-JP"/>
        </w:rPr>
        <w:lastRenderedPageBreak/>
        <w:br/>
        <w:t>Initial draft templates are provided in the following spreadsheets, which are based on the templates used during the Rel-17 RedCap SI [5, 6].</w:t>
      </w:r>
    </w:p>
    <w:p w14:paraId="6AFDE11F" w14:textId="77777777" w:rsidR="00A465ED" w:rsidRDefault="00AD1F89">
      <w:pPr>
        <w:pStyle w:val="ListParagraph"/>
        <w:numPr>
          <w:ilvl w:val="0"/>
          <w:numId w:val="28"/>
        </w:numPr>
        <w:rPr>
          <w:sz w:val="20"/>
          <w:szCs w:val="22"/>
        </w:rPr>
      </w:pPr>
      <w:hyperlink r:id="rId24" w:history="1">
        <w:r w:rsidR="00FE78DE">
          <w:rPr>
            <w:rStyle w:val="Hyperlink"/>
            <w:sz w:val="20"/>
            <w:szCs w:val="22"/>
          </w:rPr>
          <w:t>eRedCapCoverageTemplate-0.7GHz-v000.xlsx</w:t>
        </w:r>
      </w:hyperlink>
    </w:p>
    <w:p w14:paraId="28B24133" w14:textId="77777777" w:rsidR="00A465ED" w:rsidRDefault="00AD1F89">
      <w:pPr>
        <w:pStyle w:val="ListParagraph"/>
        <w:numPr>
          <w:ilvl w:val="0"/>
          <w:numId w:val="28"/>
        </w:numPr>
        <w:rPr>
          <w:sz w:val="20"/>
          <w:szCs w:val="22"/>
        </w:rPr>
      </w:pPr>
      <w:hyperlink r:id="rId25" w:history="1">
        <w:r w:rsidR="00FE78DE">
          <w:rPr>
            <w:rStyle w:val="Hyperlink"/>
            <w:sz w:val="20"/>
            <w:szCs w:val="22"/>
          </w:rPr>
          <w:t>eRedCapCoverageTemplate-2.6GHz-11PRBs-v000.xlsx</w:t>
        </w:r>
      </w:hyperlink>
    </w:p>
    <w:p w14:paraId="597BFA66" w14:textId="77777777" w:rsidR="00A465ED" w:rsidRDefault="00AD1F89">
      <w:pPr>
        <w:pStyle w:val="ListParagraph"/>
        <w:numPr>
          <w:ilvl w:val="0"/>
          <w:numId w:val="28"/>
        </w:numPr>
        <w:rPr>
          <w:sz w:val="20"/>
          <w:szCs w:val="22"/>
        </w:rPr>
      </w:pPr>
      <w:hyperlink r:id="rId26" w:history="1">
        <w:r w:rsidR="00FE78DE">
          <w:rPr>
            <w:rStyle w:val="Hyperlink"/>
            <w:sz w:val="20"/>
            <w:szCs w:val="22"/>
          </w:rPr>
          <w:t>eRedCapCoverageTemplate-2.6GHz-12PRBs-v000.xlsx</w:t>
        </w:r>
      </w:hyperlink>
    </w:p>
    <w:p w14:paraId="0441EFBA" w14:textId="77777777" w:rsidR="00A465ED" w:rsidRDefault="00AD1F89">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eRedCapCoverageTemplate-4GHz-11PRBs-24dBmPSD-v000.xlsx</w:t>
        </w:r>
      </w:hyperlink>
    </w:p>
    <w:p w14:paraId="70966FC9" w14:textId="77777777" w:rsidR="00A465ED" w:rsidRDefault="00AD1F89">
      <w:pPr>
        <w:pStyle w:val="ListParagraph"/>
        <w:numPr>
          <w:ilvl w:val="0"/>
          <w:numId w:val="28"/>
        </w:numPr>
        <w:rPr>
          <w:sz w:val="20"/>
          <w:szCs w:val="22"/>
          <w:lang w:val="en-US"/>
        </w:rPr>
      </w:pPr>
      <w:hyperlink r:id="rId28" w:history="1">
        <w:r w:rsidR="00FE78DE">
          <w:rPr>
            <w:rStyle w:val="Hyperlink"/>
            <w:sz w:val="20"/>
            <w:szCs w:val="22"/>
            <w:lang w:val="en-US"/>
          </w:rPr>
          <w:t>eRedCapCoverageTemplate-4GHz-11PRBs-33dBmPSD-v000.xlsx</w:t>
        </w:r>
      </w:hyperlink>
    </w:p>
    <w:p w14:paraId="564B5B38" w14:textId="77777777" w:rsidR="00A465ED" w:rsidRDefault="00FE78DE">
      <w:pPr>
        <w:rPr>
          <w:rFonts w:eastAsia="宋体"/>
          <w:lang w:eastAsia="ja-JP"/>
        </w:rPr>
      </w:pPr>
      <w:r>
        <w:rPr>
          <w:rFonts w:eastAsia="宋体"/>
          <w:lang w:eastAsia="ja-JP"/>
        </w:rPr>
        <w:t xml:space="preserve">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w:t>
      </w:r>
      <w:r>
        <w:rPr>
          <w:rFonts w:eastAsia="宋体"/>
          <w:lang w:eastAsia="ja-JP"/>
        </w:rPr>
        <w:lastRenderedPageBreak/>
        <w:t>it is suggested to agree on templates for 11-PRB and 12-PRB UE bandwidth in the 2.6-GHz scenario, but to assume 11-PRB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Huawei, Hisilicon</w:t>
            </w:r>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i.e.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宋体"/>
                <w:lang w:val="en-US" w:eastAsia="zh-CN"/>
              </w:rPr>
            </w:pPr>
            <w:r>
              <w:rPr>
                <w:rFonts w:eastAsia="宋体"/>
                <w:lang w:val="en-US" w:eastAsia="zh-CN"/>
              </w:rPr>
              <w:t>ZTE, Sanechips</w:t>
            </w:r>
          </w:p>
        </w:tc>
        <w:tc>
          <w:tcPr>
            <w:tcW w:w="8268" w:type="dxa"/>
          </w:tcPr>
          <w:p w14:paraId="718A24F8" w14:textId="77777777" w:rsidR="00A465ED" w:rsidRDefault="00FE78DE">
            <w:pPr>
              <w:rPr>
                <w:rFonts w:eastAsia="宋体"/>
                <w:lang w:val="en-US" w:eastAsia="zh-CN"/>
              </w:rPr>
            </w:pPr>
            <w:r>
              <w:rPr>
                <w:rFonts w:eastAsia="宋体"/>
                <w:lang w:val="en-US" w:eastAsia="zh-CN"/>
              </w:rPr>
              <w:t>We are OK with the FL assignment and also agree optional sheet can be tagged. For example,</w:t>
            </w:r>
          </w:p>
          <w:p w14:paraId="5BB93228" w14:textId="77777777" w:rsidR="00A465ED" w:rsidRDefault="00AD1F89">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AD1F89">
            <w:pPr>
              <w:pStyle w:val="ListParagraph"/>
              <w:numPr>
                <w:ilvl w:val="0"/>
                <w:numId w:val="31"/>
              </w:numPr>
              <w:ind w:left="360"/>
              <w:rPr>
                <w:rFonts w:ascii="Times New Roman" w:hAnsi="Times New Roman" w:cs="Times New Roman"/>
                <w:sz w:val="20"/>
                <w:szCs w:val="20"/>
              </w:rPr>
            </w:pPr>
            <w:hyperlink r:id="rId30"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1"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AD1F89">
            <w:pPr>
              <w:pStyle w:val="ListParagraph"/>
              <w:numPr>
                <w:ilvl w:val="0"/>
                <w:numId w:val="31"/>
              </w:numPr>
              <w:ind w:left="360"/>
              <w:rPr>
                <w:rFonts w:ascii="Times New Roman" w:hAnsi="Times New Roman" w:cs="Times New Roman"/>
                <w:sz w:val="20"/>
                <w:szCs w:val="20"/>
                <w:lang w:val="en-US"/>
              </w:rPr>
            </w:pPr>
            <w:hyperlink r:id="rId33"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lastRenderedPageBreak/>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“Opt”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dBm/MHz.</w:t>
            </w:r>
          </w:p>
        </w:tc>
      </w:tr>
      <w:tr w:rsidR="007A78E8" w:rsidRPr="00511854" w14:paraId="65BAFF97" w14:textId="77777777" w:rsidTr="007A78E8">
        <w:tc>
          <w:tcPr>
            <w:tcW w:w="1366" w:type="dxa"/>
          </w:tcPr>
          <w:p w14:paraId="02C29389" w14:textId="77777777" w:rsidR="007A78E8" w:rsidRPr="00511854" w:rsidRDefault="007A78E8" w:rsidP="00CD02FD">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CD02FD">
            <w:pPr>
              <w:rPr>
                <w:rFonts w:eastAsiaTheme="minorEastAsia"/>
                <w:lang w:val="en-US" w:eastAsia="zh-CN"/>
              </w:rPr>
            </w:pPr>
            <w:r>
              <w:rPr>
                <w:rFonts w:eastAsiaTheme="minorEastAsia"/>
                <w:lang w:val="en-US" w:eastAsia="zh-CN"/>
              </w:rPr>
              <w:t>We are Ok with the proposal that 33 and 24 dBm included for 4 GHz. It seems both of them are optional. The added “O” is in line with that.</w:t>
            </w:r>
          </w:p>
        </w:tc>
      </w:tr>
    </w:tbl>
    <w:p w14:paraId="4098D18D" w14:textId="77777777" w:rsidR="00A465ED" w:rsidRDefault="00A465ED">
      <w:pPr>
        <w:rPr>
          <w:rFonts w:eastAsia="宋体"/>
          <w:lang w:val="en-US" w:eastAsia="ja-JP"/>
        </w:rPr>
      </w:pPr>
    </w:p>
    <w:p w14:paraId="41ABEFDB" w14:textId="77777777" w:rsidR="00A465ED" w:rsidRDefault="00FE78DE">
      <w:pPr>
        <w:rPr>
          <w:rFonts w:eastAsia="宋体"/>
          <w:lang w:eastAsia="ja-JP"/>
        </w:rPr>
      </w:pPr>
      <w:r>
        <w:rPr>
          <w:rFonts w:eastAsia="宋体"/>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宋体"/>
          <w:lang w:eastAsia="ja-JP"/>
        </w:rPr>
      </w:pPr>
    </w:p>
    <w:p w14:paraId="6CDAEB27" w14:textId="77777777" w:rsidR="00A465ED" w:rsidRDefault="00FE78DE">
      <w:pPr>
        <w:rPr>
          <w:rFonts w:eastAsia="宋体"/>
          <w:lang w:eastAsia="ja-JP"/>
        </w:rPr>
      </w:pPr>
      <w:r>
        <w:rPr>
          <w:rFonts w:eastAsia="宋体"/>
          <w:lang w:eastAsia="ja-JP"/>
        </w:rPr>
        <w:lastRenderedPageBreak/>
        <w:t xml:space="preserve">Each company can provide coverage impact evaluation results in the </w:t>
      </w:r>
      <w:r>
        <w:rPr>
          <w:rFonts w:eastAsia="宋体"/>
          <w:shd w:val="clear" w:color="auto" w:fill="F4B083" w:themeFill="accent2" w:themeFillTint="99"/>
          <w:lang w:eastAsia="ja-JP"/>
        </w:rPr>
        <w:t>orange cells</w:t>
      </w:r>
      <w:r>
        <w:rPr>
          <w:rFonts w:eastAsia="宋体"/>
          <w:lang w:eastAsia="ja-JP"/>
        </w:rPr>
        <w:t xml:space="preserve"> in the columns corresponding to two reference cases (Rel-15 reference UE, and Rel-17 RedCap reference UE) and for the studied cases. At least evaluation 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We can think of one possible exception: Assuming that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similar to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etc, as long as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5C6171E7" w14:textId="77777777" w:rsidR="00A465ED" w:rsidRDefault="00FE78DE">
            <w:pPr>
              <w:rPr>
                <w:rFonts w:eastAsia="宋体"/>
                <w:lang w:val="en-US" w:eastAsia="zh-CN"/>
              </w:rPr>
            </w:pPr>
            <w:r>
              <w:rPr>
                <w:rFonts w:eastAsia="宋体" w:hint="eastAsia"/>
                <w:lang w:val="en-US" w:eastAsia="zh-CN"/>
              </w:rPr>
              <w:t xml:space="preserve">Other options evaluation can be viewed as </w:t>
            </w:r>
            <w:r>
              <w:rPr>
                <w:rFonts w:eastAsia="Yu Mincho"/>
                <w:lang w:val="en-US" w:eastAsia="ja-JP"/>
              </w:rPr>
              <w:t>a subset of the BW1 evaluation results</w:t>
            </w:r>
            <w:r>
              <w:rPr>
                <w:rFonts w:eastAsia="宋体"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宋体"/>
          <w:lang w:val="en-US" w:eastAsia="ja-JP"/>
        </w:rPr>
      </w:pPr>
    </w:p>
    <w:p w14:paraId="290B2306" w14:textId="77777777" w:rsidR="00A465ED" w:rsidRDefault="00FE78DE">
      <w:pPr>
        <w:rPr>
          <w:rFonts w:eastAsia="宋体"/>
          <w:color w:val="000000"/>
          <w:lang w:val="en-US" w:eastAsia="zh-CN"/>
        </w:rPr>
      </w:pPr>
      <w:r>
        <w:rPr>
          <w:rFonts w:eastAsia="宋体"/>
          <w:lang w:eastAsia="ja-JP"/>
        </w:rPr>
        <w:t xml:space="preserve">It has been agreed that a </w:t>
      </w:r>
      <w:r>
        <w:rPr>
          <w:rFonts w:eastAsia="宋体"/>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宋体"/>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宋体" w:hint="eastAsia"/>
                <w:lang w:val="en-US" w:eastAsia="zh-CN"/>
              </w:rPr>
              <w:t>ZTE, Sanechips</w:t>
            </w:r>
          </w:p>
        </w:tc>
        <w:tc>
          <w:tcPr>
            <w:tcW w:w="8262" w:type="dxa"/>
          </w:tcPr>
          <w:p w14:paraId="44A67A47" w14:textId="77777777" w:rsidR="00A465ED" w:rsidRDefault="00FE78DE">
            <w:pPr>
              <w:rPr>
                <w:rFonts w:eastAsia="宋体"/>
                <w:lang w:val="en-US" w:eastAsia="zh-CN"/>
              </w:rPr>
            </w:pPr>
            <w:r>
              <w:rPr>
                <w:rFonts w:eastAsia="宋体"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CD02FD">
            <w:r>
              <w:t>OPPO</w:t>
            </w:r>
          </w:p>
        </w:tc>
        <w:tc>
          <w:tcPr>
            <w:tcW w:w="8262" w:type="dxa"/>
          </w:tcPr>
          <w:p w14:paraId="6DF18B38" w14:textId="0376B5A5" w:rsidR="007A78E8" w:rsidRPr="002D30B4" w:rsidRDefault="007A78E8" w:rsidP="00CD02FD">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CD02FD">
            <w:r>
              <w:t>Intel</w:t>
            </w:r>
          </w:p>
        </w:tc>
        <w:tc>
          <w:tcPr>
            <w:tcW w:w="8262" w:type="dxa"/>
          </w:tcPr>
          <w:p w14:paraId="7038D663" w14:textId="6A5F0F63" w:rsidR="008027B6" w:rsidRDefault="008027B6" w:rsidP="00CD02FD">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宋体"/>
                <w:lang w:val="en-US" w:eastAsia="zh-CN"/>
              </w:rPr>
            </w:pPr>
            <w:r>
              <w:rPr>
                <w:rFonts w:eastAsia="宋体"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As noted by the FL, the noise bandwidth depends on whether separate PRACH resources are configured for the 5-MHz RedCap UE. For the purpose of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CD02FD">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CD02FD">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CD02FD">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CD02FD">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lastRenderedPageBreak/>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We would like to suggest that companies could report clearly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AD1F89">
      <w:pPr>
        <w:pStyle w:val="ListParagraph"/>
        <w:numPr>
          <w:ilvl w:val="0"/>
          <w:numId w:val="33"/>
        </w:numPr>
        <w:rPr>
          <w:b/>
          <w:bCs/>
          <w:sz w:val="20"/>
          <w:szCs w:val="22"/>
        </w:rPr>
      </w:pPr>
      <w:hyperlink r:id="rId34" w:history="1">
        <w:r w:rsidR="00FE78DE">
          <w:rPr>
            <w:rStyle w:val="Hyperlink"/>
            <w:b/>
            <w:bCs/>
            <w:sz w:val="20"/>
            <w:szCs w:val="22"/>
          </w:rPr>
          <w:t>eRedCapCoverageTemplate-0.7GHz-v001.xlsx</w:t>
        </w:r>
      </w:hyperlink>
    </w:p>
    <w:p w14:paraId="7C427141" w14:textId="77777777" w:rsidR="00A465ED" w:rsidRDefault="00AD1F89">
      <w:pPr>
        <w:pStyle w:val="ListParagraph"/>
        <w:numPr>
          <w:ilvl w:val="0"/>
          <w:numId w:val="33"/>
        </w:numPr>
        <w:rPr>
          <w:b/>
          <w:bCs/>
          <w:sz w:val="20"/>
          <w:szCs w:val="22"/>
        </w:rPr>
      </w:pPr>
      <w:hyperlink r:id="rId35" w:history="1">
        <w:r w:rsidR="00FE78DE">
          <w:rPr>
            <w:rStyle w:val="Hyperlink"/>
            <w:b/>
            <w:bCs/>
            <w:sz w:val="20"/>
            <w:szCs w:val="22"/>
          </w:rPr>
          <w:t>eRedCapCoverageTemplate-2.6GHz-11PRBs-v001.xlsx</w:t>
        </w:r>
      </w:hyperlink>
    </w:p>
    <w:p w14:paraId="1BFFBBD5" w14:textId="77777777" w:rsidR="00A465ED" w:rsidRDefault="00AD1F89">
      <w:pPr>
        <w:pStyle w:val="ListParagraph"/>
        <w:numPr>
          <w:ilvl w:val="0"/>
          <w:numId w:val="33"/>
        </w:numPr>
        <w:rPr>
          <w:b/>
          <w:bCs/>
          <w:sz w:val="20"/>
          <w:szCs w:val="22"/>
        </w:rPr>
      </w:pPr>
      <w:hyperlink r:id="rId36" w:history="1">
        <w:r w:rsidR="00FE78DE">
          <w:rPr>
            <w:rStyle w:val="Hyperlink"/>
            <w:b/>
            <w:bCs/>
            <w:sz w:val="20"/>
            <w:szCs w:val="22"/>
          </w:rPr>
          <w:t>eRedCapCoverageTemplate-2.6GHz-12PRBs-Opt-v001.xlsx</w:t>
        </w:r>
      </w:hyperlink>
    </w:p>
    <w:p w14:paraId="3CD59F8A" w14:textId="77777777" w:rsidR="00A465ED" w:rsidRDefault="00AD1F89">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eRedCapCoverageTemplate-4GHz-11PRBs-24dBmPSD-Opt-v001.xlsx</w:t>
        </w:r>
      </w:hyperlink>
    </w:p>
    <w:p w14:paraId="648C8A4B" w14:textId="3A260456" w:rsidR="006A2182" w:rsidRPr="006A2182" w:rsidRDefault="00AD1F89" w:rsidP="006A2182">
      <w:pPr>
        <w:pStyle w:val="ListParagraph"/>
        <w:numPr>
          <w:ilvl w:val="0"/>
          <w:numId w:val="33"/>
        </w:numPr>
        <w:rPr>
          <w:b/>
          <w:bCs/>
          <w:sz w:val="20"/>
          <w:szCs w:val="22"/>
          <w:lang w:val="en-US"/>
        </w:rPr>
      </w:pPr>
      <w:hyperlink r:id="rId38"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48 PRBs</w:t>
                  </w:r>
                  <w:r>
                    <w:rPr>
                      <w:rFonts w:eastAsia="宋体"/>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 xml:space="preserve">5 MHz RedCap UE (BW1, 11 PRBs; </w:t>
                  </w:r>
                  <w:r>
                    <w:rPr>
                      <w:rFonts w:eastAsia="宋体"/>
                      <w:b/>
                      <w:bCs/>
                      <w:sz w:val="18"/>
                      <w:szCs w:val="22"/>
                      <w:highlight w:val="yellow"/>
                      <w:lang w:val="en-US" w:eastAsia="zh-CN"/>
                    </w:rPr>
                    <w:t>SIB1 BW 11 PRBs</w:t>
                  </w:r>
                  <w:r>
                    <w:rPr>
                      <w:rFonts w:eastAsia="宋体"/>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宋体"/>
                      <w:b/>
                      <w:bCs/>
                      <w:sz w:val="18"/>
                      <w:szCs w:val="22"/>
                      <w:lang w:val="en-US" w:eastAsia="zh-CN"/>
                    </w:rPr>
                  </w:pPr>
                  <w:r>
                    <w:rPr>
                      <w:rFonts w:eastAsia="宋体"/>
                      <w:b/>
                      <w:bCs/>
                      <w:sz w:val="18"/>
                      <w:szCs w:val="22"/>
                      <w:lang w:val="en-US" w:eastAsia="zh-CN"/>
                    </w:rPr>
                    <w:t>5 MHz RedCap UE (BW1, 11 PRBs;</w:t>
                  </w:r>
                  <w:r>
                    <w:rPr>
                      <w:rFonts w:eastAsia="宋体"/>
                      <w:b/>
                      <w:bCs/>
                      <w:color w:val="C00000"/>
                      <w:sz w:val="18"/>
                      <w:szCs w:val="22"/>
                      <w:lang w:val="en-US" w:eastAsia="zh-CN"/>
                    </w:rPr>
                    <w:t xml:space="preserve"> [Insert SIB1 parameters]</w:t>
                  </w:r>
                  <w:r>
                    <w:rPr>
                      <w:rFonts w:eastAsia="宋体"/>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宋体"/>
                <w:b/>
                <w:bCs/>
                <w:color w:val="C00000"/>
                <w:sz w:val="18"/>
                <w:szCs w:val="22"/>
                <w:lang w:val="en-US" w:eastAsia="zh-CN"/>
              </w:rPr>
              <w:t>[Insert SIB1 parameters]</w:t>
            </w:r>
            <w:r>
              <w:rPr>
                <w:rFonts w:eastAsiaTheme="minorEastAsia"/>
                <w:lang w:val="en-US" w:eastAsia="zh-CN"/>
              </w:rPr>
              <w:t>,</w:t>
            </w:r>
            <w:r>
              <w:rPr>
                <w:rFonts w:eastAsia="宋体"/>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vivo’s question, in our understanding, companies can additionally provide other TBS value (and SIB1 BW) in </w:t>
            </w:r>
            <w:r>
              <w:rPr>
                <w:rFonts w:eastAsia="宋体"/>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宋体"/>
                <w:lang w:val="en-US" w:eastAsia="zh-CN"/>
              </w:rPr>
            </w:pPr>
            <w:r>
              <w:rPr>
                <w:rFonts w:eastAsia="宋体" w:hint="eastAsia"/>
                <w:lang w:val="en-US" w:eastAsia="zh-CN"/>
              </w:rPr>
              <w:t>ZTE, Sanechips</w:t>
            </w:r>
          </w:p>
        </w:tc>
        <w:tc>
          <w:tcPr>
            <w:tcW w:w="773" w:type="dxa"/>
          </w:tcPr>
          <w:p w14:paraId="47459B20" w14:textId="77777777" w:rsidR="00A465ED" w:rsidRDefault="00FE78DE">
            <w:pPr>
              <w:rPr>
                <w:rFonts w:eastAsia="宋体"/>
                <w:lang w:val="en-US" w:eastAsia="zh-CN"/>
              </w:rPr>
            </w:pPr>
            <w:r>
              <w:rPr>
                <w:rFonts w:eastAsia="宋体"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宋体"/>
                <w:lang w:val="en-US" w:eastAsia="zh-CN"/>
              </w:rPr>
            </w:pPr>
            <w:r>
              <w:rPr>
                <w:rFonts w:eastAsia="宋体"/>
                <w:lang w:val="en-US" w:eastAsia="zh-CN"/>
              </w:rPr>
              <w:lastRenderedPageBreak/>
              <w:t>CMCC</w:t>
            </w:r>
          </w:p>
        </w:tc>
        <w:tc>
          <w:tcPr>
            <w:tcW w:w="773" w:type="dxa"/>
          </w:tcPr>
          <w:p w14:paraId="60948D5A" w14:textId="77777777" w:rsidR="00A465ED" w:rsidRDefault="00A465ED">
            <w:pPr>
              <w:rPr>
                <w:rFonts w:eastAsia="宋体"/>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宋体"/>
                      <w:b/>
                      <w:bCs/>
                      <w:color w:val="C00000"/>
                      <w:sz w:val="16"/>
                      <w:szCs w:val="16"/>
                    </w:rPr>
                  </w:pPr>
                  <w:r>
                    <w:rPr>
                      <w:rFonts w:eastAsia="宋体"/>
                      <w:b/>
                      <w:bCs/>
                      <w:color w:val="C00000"/>
                      <w:sz w:val="16"/>
                      <w:szCs w:val="16"/>
                      <w:lang w:val="en-US" w:eastAsia="zh-CN" w:bidi="ar"/>
                    </w:rPr>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宋体"/>
                      <w:b/>
                      <w:bCs/>
                      <w:color w:val="000000"/>
                      <w:sz w:val="16"/>
                      <w:szCs w:val="16"/>
                    </w:rPr>
                  </w:pPr>
                  <w:r>
                    <w:rPr>
                      <w:rFonts w:eastAsia="宋体"/>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宋体"/>
                      <w:b/>
                      <w:bCs/>
                      <w:color w:val="000000"/>
                      <w:sz w:val="16"/>
                      <w:szCs w:val="16"/>
                      <w:highlight w:val="yellow"/>
                    </w:rPr>
                  </w:pPr>
                  <w:r>
                    <w:rPr>
                      <w:rFonts w:eastAsia="宋体"/>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宋体"/>
                      <w:b/>
                      <w:bCs/>
                      <w:color w:val="000000"/>
                      <w:sz w:val="16"/>
                      <w:szCs w:val="16"/>
                    </w:rPr>
                  </w:pPr>
                  <w:r>
                    <w:rPr>
                      <w:rStyle w:val="font31"/>
                      <w:rFonts w:eastAsia="宋体"/>
                      <w:sz w:val="16"/>
                      <w:szCs w:val="16"/>
                      <w:lang w:val="en-US" w:eastAsia="zh-CN" w:bidi="ar"/>
                    </w:rPr>
                    <w:t xml:space="preserve">5 MHz RedCap UE (BW1, 11 PRBs; CORESET: </w:t>
                  </w:r>
                  <w:r>
                    <w:rPr>
                      <w:rStyle w:val="font21"/>
                      <w:rFonts w:eastAsia="宋体"/>
                      <w:sz w:val="16"/>
                      <w:szCs w:val="16"/>
                      <w:lang w:val="en-US" w:eastAsia="zh-CN" w:bidi="ar"/>
                    </w:rPr>
                    <w:t>[Insert parameters]</w:t>
                  </w:r>
                  <w:r>
                    <w:rPr>
                      <w:rStyle w:val="font31"/>
                      <w:rFonts w:eastAsia="宋体"/>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等线"/>
                <w:highlight w:val="green"/>
                <w:lang w:val="en-US" w:eastAsia="zh-CN"/>
              </w:rPr>
            </w:pPr>
            <w:r>
              <w:rPr>
                <w:rFonts w:eastAsia="等线"/>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3A15F8C7" w14:textId="77777777" w:rsidR="00A465ED" w:rsidRDefault="00FE78DE" w:rsidP="006A2182">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F5B30C" w:rsidR="006A2182" w:rsidRPr="006A2182" w:rsidRDefault="006A2182" w:rsidP="006A2182">
            <w:pPr>
              <w:shd w:val="clear" w:color="auto" w:fill="FFFFFF"/>
              <w:spacing w:after="0" w:line="231" w:lineRule="atLeast"/>
              <w:rPr>
                <w:rFonts w:eastAsia="Microsoft YaHei UI"/>
                <w:color w:val="000000"/>
                <w:lang w:val="en-US" w:eastAsia="zh-CN"/>
              </w:rPr>
            </w:pPr>
          </w:p>
        </w:tc>
      </w:tr>
      <w:tr w:rsidR="00F00134" w14:paraId="4E3C643A" w14:textId="77777777" w:rsidTr="00F00134">
        <w:tc>
          <w:tcPr>
            <w:tcW w:w="1105" w:type="dxa"/>
          </w:tcPr>
          <w:p w14:paraId="14F31E41" w14:textId="77777777" w:rsidR="00F00134" w:rsidRPr="006A2182" w:rsidRDefault="00F00134" w:rsidP="00CD02FD">
            <w:pPr>
              <w:rPr>
                <w:rFonts w:eastAsiaTheme="minorEastAsia"/>
                <w:lang w:val="en-US" w:eastAsia="zh-CN"/>
              </w:rPr>
            </w:pPr>
            <w:r w:rsidRPr="006A2182">
              <w:rPr>
                <w:rFonts w:eastAsiaTheme="minorEastAsia"/>
                <w:lang w:val="en-US" w:eastAsia="zh-CN"/>
              </w:rPr>
              <w:t>Huawei, Hisilicon</w:t>
            </w:r>
          </w:p>
        </w:tc>
        <w:tc>
          <w:tcPr>
            <w:tcW w:w="773" w:type="dxa"/>
          </w:tcPr>
          <w:p w14:paraId="4DDC5E5B" w14:textId="77777777" w:rsidR="00F00134" w:rsidRPr="006A2182" w:rsidRDefault="00F00134" w:rsidP="00CD02FD">
            <w:pPr>
              <w:rPr>
                <w:rFonts w:eastAsiaTheme="minorEastAsia"/>
                <w:lang w:val="en-US" w:eastAsia="zh-CN"/>
              </w:rPr>
            </w:pPr>
            <w:r w:rsidRPr="006A2182">
              <w:rPr>
                <w:rFonts w:eastAsiaTheme="minorEastAsia"/>
                <w:lang w:val="en-US" w:eastAsia="zh-CN"/>
              </w:rPr>
              <w:t>Y</w:t>
            </w:r>
          </w:p>
        </w:tc>
        <w:tc>
          <w:tcPr>
            <w:tcW w:w="7756" w:type="dxa"/>
          </w:tcPr>
          <w:p w14:paraId="1A1CB27C" w14:textId="77777777" w:rsidR="00F00134" w:rsidRPr="006A2182" w:rsidRDefault="00F00134" w:rsidP="00CD02FD">
            <w:pPr>
              <w:rPr>
                <w:rFonts w:eastAsiaTheme="minorEastAsia"/>
                <w:lang w:val="en-US" w:eastAsia="zh-CN"/>
              </w:rPr>
            </w:pPr>
            <w:r w:rsidRPr="006A2182">
              <w:rPr>
                <w:rFonts w:eastAsiaTheme="minorEastAsia"/>
                <w:lang w:val="en-US" w:eastAsia="zh-CN"/>
              </w:rPr>
              <w:t>vivo’s suggestion is acceptable for us.</w:t>
            </w:r>
          </w:p>
          <w:p w14:paraId="59F80853" w14:textId="77777777" w:rsidR="00F00134" w:rsidRPr="006A2182" w:rsidRDefault="00F00134" w:rsidP="00CD02FD">
            <w:pPr>
              <w:rPr>
                <w:rFonts w:eastAsiaTheme="minorEastAsia"/>
                <w:lang w:val="en-US" w:eastAsia="zh-CN"/>
              </w:rPr>
            </w:pPr>
            <w:r w:rsidRPr="006A2182">
              <w:rPr>
                <w:rFonts w:eastAsiaTheme="minorEastAsia"/>
                <w:lang w:val="en-US" w:eastAsia="zh-CN"/>
              </w:rPr>
              <w:t xml:space="preserve">Regarding the notation “opt” in filename for 4GHz, it is supposed to mean 4GHz is optional rather than that both 24dBm and 33dBm are equally optional. However, with two separate files for 24dBm and 33dBm and the “opt” notation for both, companies seem allowed to report </w:t>
            </w:r>
            <w:r w:rsidRPr="006A2182">
              <w:rPr>
                <w:rFonts w:eastAsiaTheme="minorEastAsia"/>
                <w:lang w:val="en-US" w:eastAsia="zh-CN"/>
              </w:rPr>
              <w:lastRenderedPageBreak/>
              <w:t>results only for 24dBm without any for 33dBm for 4GHz, which is not in line with the following agreement.</w:t>
            </w:r>
          </w:p>
          <w:p w14:paraId="1B644AB8" w14:textId="77777777" w:rsidR="00F00134" w:rsidRPr="006A2182" w:rsidRDefault="00F00134" w:rsidP="00CD02FD">
            <w:pPr>
              <w:rPr>
                <w:highlight w:val="green"/>
                <w:lang w:val="en-US" w:eastAsia="zh-CN"/>
              </w:rPr>
            </w:pPr>
            <w:r w:rsidRPr="006A2182">
              <w:rPr>
                <w:highlight w:val="green"/>
                <w:shd w:val="clear" w:color="auto" w:fill="FFFF00"/>
                <w:lang w:val="en-US" w:eastAsia="zh-CN"/>
              </w:rPr>
              <w:t>Agreement</w:t>
            </w:r>
          </w:p>
          <w:p w14:paraId="71934444" w14:textId="77777777" w:rsidR="00F00134" w:rsidRPr="006A2182" w:rsidRDefault="00F00134" w:rsidP="00CD02FD">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A2182">
              <w:rPr>
                <w:rFonts w:ascii="Times New Roman" w:hAnsi="Times New Roman" w:cs="Times New Roman"/>
                <w:sz w:val="20"/>
                <w:szCs w:val="20"/>
                <w:lang w:eastAsia="zh-CN"/>
              </w:rPr>
              <w:t>For coverage evaluation in Urban scenario at 4 GHz, DL PSD 33 dBm/MHz is baseline and DL PSD 24 dBm/MHz is optional.</w:t>
            </w:r>
          </w:p>
          <w:p w14:paraId="39AED339" w14:textId="77777777" w:rsidR="00F00134" w:rsidRPr="006A2182" w:rsidRDefault="00F00134" w:rsidP="00CD02FD">
            <w:pPr>
              <w:overflowPunct w:val="0"/>
              <w:autoSpaceDE w:val="0"/>
              <w:autoSpaceDN w:val="0"/>
              <w:adjustRightInd w:val="0"/>
              <w:spacing w:line="240" w:lineRule="auto"/>
              <w:jc w:val="left"/>
              <w:textAlignment w:val="baseline"/>
              <w:rPr>
                <w:lang w:val="en-US" w:eastAsia="zh-CN"/>
              </w:rPr>
            </w:pPr>
            <w:r w:rsidRPr="006A2182">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Pr="006A2182" w:rsidRDefault="00F00134" w:rsidP="00CD02FD">
            <w:pPr>
              <w:rPr>
                <w:rFonts w:eastAsiaTheme="minorEastAsia"/>
                <w:lang w:val="en-US" w:eastAsia="zh-CN"/>
              </w:rPr>
            </w:pPr>
            <w:r w:rsidRPr="006A2182">
              <w:rPr>
                <w:rFonts w:eastAsiaTheme="minorEastAsia"/>
                <w:lang w:val="en-US" w:eastAsia="zh-CN"/>
              </w:rPr>
              <w:t>Therefore, we would like to suggest the following</w:t>
            </w:r>
          </w:p>
          <w:p w14:paraId="08916E2D" w14:textId="4D59EA8E" w:rsidR="00F00134" w:rsidRPr="006A2182" w:rsidRDefault="00F00134" w:rsidP="00CD02FD">
            <w:pPr>
              <w:pStyle w:val="ListParagraph"/>
              <w:numPr>
                <w:ilvl w:val="0"/>
                <w:numId w:val="35"/>
              </w:numPr>
              <w:rPr>
                <w:rFonts w:ascii="Times New Roman" w:eastAsiaTheme="minorEastAsia" w:hAnsi="Times New Roman" w:cs="Times New Roman"/>
                <w:sz w:val="20"/>
                <w:szCs w:val="20"/>
                <w:lang w:val="en-US" w:eastAsia="zh-CN"/>
              </w:rPr>
            </w:pPr>
            <w:r w:rsidRPr="006A2182">
              <w:rPr>
                <w:rFonts w:ascii="Times New Roman" w:eastAsiaTheme="minorEastAsia" w:hAnsi="Times New Roman" w:cs="Times New Roman"/>
                <w:sz w:val="20"/>
                <w:szCs w:val="20"/>
                <w:lang w:val="en-US" w:eastAsia="zh-CN"/>
              </w:rPr>
              <w:t xml:space="preserve">Revise the filename for 33dBm as “eRedCapCoverageTemplate-4GHz-11PRBs-33dBmPSD-Opt </w:t>
            </w:r>
            <w:r w:rsidRPr="006A2182">
              <w:rPr>
                <w:rFonts w:ascii="Times New Roman" w:eastAsiaTheme="minorEastAsia" w:hAnsi="Times New Roman" w:cs="Times New Roman"/>
                <w:color w:val="00B0F0"/>
                <w:sz w:val="20"/>
                <w:szCs w:val="20"/>
                <w:lang w:val="en-US" w:eastAsia="zh-CN"/>
              </w:rPr>
              <w:t xml:space="preserve">(mandatory if 24dBm reported)” </w:t>
            </w:r>
            <w:r w:rsidRPr="006A2182">
              <w:rPr>
                <w:rFonts w:ascii="Times New Roman" w:eastAsiaTheme="minorEastAsia" w:hAnsi="Times New Roman" w:cs="Times New Roman"/>
                <w:sz w:val="20"/>
                <w:szCs w:val="20"/>
                <w:lang w:val="en-US" w:eastAsia="zh-CN"/>
              </w:rPr>
              <w:t>or add “results for 33dBm should be also reported” into the comment rows of the excel file of 24dBm.</w:t>
            </w:r>
          </w:p>
        </w:tc>
      </w:tr>
      <w:tr w:rsidR="008D32D0" w14:paraId="45E5C82D" w14:textId="77777777" w:rsidTr="008D32D0">
        <w:tc>
          <w:tcPr>
            <w:tcW w:w="1105" w:type="dxa"/>
          </w:tcPr>
          <w:p w14:paraId="6BADA91E" w14:textId="77777777" w:rsidR="008D32D0" w:rsidRPr="006A2182" w:rsidRDefault="008D32D0" w:rsidP="00CD02FD">
            <w:pPr>
              <w:rPr>
                <w:rFonts w:eastAsiaTheme="minorEastAsia"/>
                <w:lang w:val="en-US" w:eastAsia="zh-CN"/>
              </w:rPr>
            </w:pPr>
            <w:r w:rsidRPr="006A2182">
              <w:rPr>
                <w:rFonts w:eastAsiaTheme="minorEastAsia"/>
                <w:lang w:val="en-US" w:eastAsia="zh-CN"/>
              </w:rPr>
              <w:lastRenderedPageBreak/>
              <w:t>Nokia, NSB</w:t>
            </w:r>
          </w:p>
        </w:tc>
        <w:tc>
          <w:tcPr>
            <w:tcW w:w="773" w:type="dxa"/>
          </w:tcPr>
          <w:p w14:paraId="003DDF62" w14:textId="77777777" w:rsidR="008D32D0" w:rsidRPr="006A2182" w:rsidRDefault="008D32D0" w:rsidP="00CD02FD">
            <w:pPr>
              <w:rPr>
                <w:rFonts w:eastAsiaTheme="minorEastAsia"/>
                <w:lang w:val="en-US" w:eastAsia="zh-CN"/>
              </w:rPr>
            </w:pPr>
            <w:r w:rsidRPr="006A2182">
              <w:rPr>
                <w:rFonts w:eastAsiaTheme="minorEastAsia"/>
                <w:lang w:val="en-US" w:eastAsia="zh-CN"/>
              </w:rPr>
              <w:t>Y</w:t>
            </w:r>
          </w:p>
        </w:tc>
        <w:tc>
          <w:tcPr>
            <w:tcW w:w="7756" w:type="dxa"/>
          </w:tcPr>
          <w:p w14:paraId="60AF7343" w14:textId="633F651B" w:rsidR="008D32D0" w:rsidRPr="006A2182" w:rsidRDefault="009A195A" w:rsidP="00CD02FD">
            <w:pPr>
              <w:rPr>
                <w:rFonts w:eastAsiaTheme="minorEastAsia"/>
                <w:lang w:val="en-US" w:eastAsia="zh-CN"/>
              </w:rPr>
            </w:pPr>
            <w:r w:rsidRPr="006A2182">
              <w:rPr>
                <w:rFonts w:eastAsiaTheme="minorEastAsia"/>
                <w:lang w:val="en-US" w:eastAsia="zh-CN"/>
              </w:rPr>
              <w:t>We are OK with the templates proposed and the FL suggestions on how to use the comments field.</w:t>
            </w:r>
          </w:p>
        </w:tc>
      </w:tr>
      <w:tr w:rsidR="00C96603" w14:paraId="494681A0" w14:textId="77777777" w:rsidTr="00C96603">
        <w:tc>
          <w:tcPr>
            <w:tcW w:w="1105" w:type="dxa"/>
          </w:tcPr>
          <w:p w14:paraId="45E0CBCA" w14:textId="65D5D02C" w:rsidR="00C96603" w:rsidRPr="006A2182" w:rsidRDefault="00C96603" w:rsidP="00CD02FD">
            <w:pPr>
              <w:rPr>
                <w:rFonts w:eastAsia="Yu Mincho"/>
                <w:lang w:val="en-US" w:eastAsia="ja-JP"/>
              </w:rPr>
            </w:pPr>
            <w:r w:rsidRPr="006A2182">
              <w:rPr>
                <w:rFonts w:eastAsia="Yu Mincho"/>
                <w:lang w:val="en-US" w:eastAsia="ja-JP"/>
              </w:rPr>
              <w:t>Intel</w:t>
            </w:r>
          </w:p>
        </w:tc>
        <w:tc>
          <w:tcPr>
            <w:tcW w:w="773" w:type="dxa"/>
          </w:tcPr>
          <w:p w14:paraId="5BF6E6B0" w14:textId="77777777" w:rsidR="00C96603" w:rsidRPr="006A2182" w:rsidRDefault="00C96603" w:rsidP="00CD02FD">
            <w:pPr>
              <w:rPr>
                <w:rFonts w:eastAsia="Yu Mincho"/>
                <w:lang w:val="en-US" w:eastAsia="ja-JP"/>
              </w:rPr>
            </w:pPr>
            <w:r w:rsidRPr="006A2182">
              <w:rPr>
                <w:rFonts w:eastAsia="Yu Mincho"/>
                <w:lang w:val="en-US" w:eastAsia="ja-JP"/>
              </w:rPr>
              <w:t>Y</w:t>
            </w:r>
          </w:p>
        </w:tc>
        <w:tc>
          <w:tcPr>
            <w:tcW w:w="7756" w:type="dxa"/>
          </w:tcPr>
          <w:p w14:paraId="6354DA45" w14:textId="702F7109" w:rsidR="00C96603" w:rsidRPr="006A2182" w:rsidRDefault="00C96603" w:rsidP="00C96603">
            <w:pPr>
              <w:rPr>
                <w:rFonts w:eastAsiaTheme="minorEastAsia"/>
                <w:lang w:val="en-US" w:eastAsia="zh-CN"/>
              </w:rPr>
            </w:pPr>
            <w:r w:rsidRPr="006A2182">
              <w:rPr>
                <w:rFonts w:eastAsia="Yu Mincho"/>
                <w:lang w:val="en-US" w:eastAsia="ja-JP"/>
              </w:rPr>
              <w:t xml:space="preserve">We share views from DoCoMo that additional simulation can be captured by column with </w:t>
            </w:r>
            <w:r w:rsidRPr="006A2182">
              <w:rPr>
                <w:rFonts w:eastAsia="宋体"/>
                <w:b/>
                <w:bCs/>
                <w:color w:val="C00000"/>
                <w:lang w:val="en-US" w:eastAsia="zh-CN"/>
              </w:rPr>
              <w:t>[Insert SIB1 parameters]</w:t>
            </w:r>
            <w:r w:rsidRPr="006A2182">
              <w:rPr>
                <w:rFonts w:eastAsia="Yu Mincho"/>
                <w:lang w:val="en-US" w:eastAsia="ja-JP"/>
              </w:rPr>
              <w:t>.</w:t>
            </w:r>
          </w:p>
        </w:tc>
      </w:tr>
      <w:tr w:rsidR="006A2182" w14:paraId="1991697F" w14:textId="77777777" w:rsidTr="00CD02FD">
        <w:tc>
          <w:tcPr>
            <w:tcW w:w="1105" w:type="dxa"/>
          </w:tcPr>
          <w:p w14:paraId="3E3154F5" w14:textId="1378BC1E" w:rsidR="006A2182" w:rsidRPr="006A2182" w:rsidRDefault="006A2182" w:rsidP="00CD02FD">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62D109E3" w14:textId="57A0438D" w:rsidR="005B0DB8" w:rsidRDefault="005B0DB8" w:rsidP="00C96603">
            <w:pPr>
              <w:rPr>
                <w:rFonts w:eastAsia="Yu Mincho"/>
                <w:lang w:eastAsia="ja-JP"/>
              </w:rPr>
            </w:pPr>
            <w:r>
              <w:rPr>
                <w:rFonts w:eastAsia="Yu Mincho"/>
                <w:lang w:eastAsia="ja-JP"/>
              </w:rPr>
              <w:t>The following updates of the templates have been made based on the received responses:</w:t>
            </w:r>
          </w:p>
          <w:p w14:paraId="59ADD6C5" w14:textId="5F04BE68" w:rsidR="005B0DB8" w:rsidRDefault="005B0DB8" w:rsidP="00C96603">
            <w:pPr>
              <w:pStyle w:val="ListParagraph"/>
              <w:numPr>
                <w:ilvl w:val="0"/>
                <w:numId w:val="37"/>
              </w:numPr>
              <w:rPr>
                <w:rFonts w:eastAsia="Yu Mincho"/>
                <w:sz w:val="20"/>
                <w:szCs w:val="22"/>
              </w:rPr>
            </w:pPr>
            <w:r w:rsidRPr="005B0DB8">
              <w:rPr>
                <w:rFonts w:eastAsia="Yu Mincho"/>
                <w:sz w:val="20"/>
                <w:szCs w:val="22"/>
              </w:rPr>
              <w:t>The SIB1 headings were updated based on Vivo’s comment.</w:t>
            </w:r>
          </w:p>
          <w:p w14:paraId="44C48B51" w14:textId="4F5A0ABE" w:rsidR="00832352" w:rsidRDefault="00832352" w:rsidP="00832352">
            <w:pPr>
              <w:pStyle w:val="ListParagraph"/>
              <w:numPr>
                <w:ilvl w:val="0"/>
                <w:numId w:val="37"/>
              </w:numPr>
              <w:rPr>
                <w:rFonts w:eastAsia="Yu Mincho"/>
                <w:sz w:val="20"/>
                <w:szCs w:val="22"/>
              </w:rPr>
            </w:pPr>
            <w:r>
              <w:rPr>
                <w:rFonts w:eastAsia="Yu Mincho"/>
                <w:sz w:val="20"/>
                <w:szCs w:val="22"/>
              </w:rPr>
              <w:t>The PDCCH CSS tabs were updated based on CMCC’s comment.</w:t>
            </w:r>
          </w:p>
          <w:p w14:paraId="4C5B0D70" w14:textId="7ADB7758" w:rsidR="00832352" w:rsidRDefault="00832352" w:rsidP="00832352">
            <w:pPr>
              <w:pStyle w:val="ListParagraph"/>
              <w:numPr>
                <w:ilvl w:val="0"/>
                <w:numId w:val="37"/>
              </w:numPr>
              <w:rPr>
                <w:rFonts w:eastAsia="Yu Mincho"/>
                <w:sz w:val="20"/>
                <w:szCs w:val="22"/>
              </w:rPr>
            </w:pPr>
            <w:r>
              <w:rPr>
                <w:rFonts w:eastAsia="Yu Mincho"/>
                <w:sz w:val="20"/>
                <w:szCs w:val="22"/>
              </w:rPr>
              <w:t>The file name of the 24-dBm spreadsheet was changed to ”Opt-Opt” to indicate that it is even more optional than the other optional spreadsheets</w:t>
            </w:r>
            <w:r w:rsidR="00F81F65">
              <w:rPr>
                <w:rFonts w:eastAsia="Yu Mincho"/>
                <w:sz w:val="20"/>
                <w:szCs w:val="22"/>
              </w:rPr>
              <w:t xml:space="preserve"> based on Huawei’s comment.</w:t>
            </w:r>
          </w:p>
          <w:p w14:paraId="507E52F8" w14:textId="1E7B434E" w:rsidR="00613EE8" w:rsidRPr="00613EE8" w:rsidRDefault="00613EE8" w:rsidP="00613EE8">
            <w:pPr>
              <w:rPr>
                <w:rFonts w:eastAsia="Yu Mincho"/>
                <w:szCs w:val="22"/>
              </w:rPr>
            </w:pPr>
            <w:r>
              <w:rPr>
                <w:rFonts w:eastAsia="Yu Mincho"/>
                <w:szCs w:val="22"/>
              </w:rPr>
              <w:t>As mentioned in some of the received responses, the columns with headers containing text such as “</w:t>
            </w:r>
            <w:r w:rsidRPr="006A2182">
              <w:rPr>
                <w:rFonts w:eastAsia="宋体"/>
                <w:b/>
                <w:bCs/>
                <w:color w:val="C00000"/>
                <w:lang w:val="en-US" w:eastAsia="zh-CN"/>
              </w:rPr>
              <w:t>[Insert SIB1 parameters]</w:t>
            </w:r>
            <w:r>
              <w:rPr>
                <w:rFonts w:eastAsia="Yu Mincho"/>
                <w:szCs w:val="22"/>
              </w:rPr>
              <w:t>” are intended to be used, e.g., for other TBS values.</w:t>
            </w:r>
          </w:p>
          <w:p w14:paraId="018BECE8" w14:textId="312C9A37" w:rsidR="006A2182" w:rsidRDefault="006A2182" w:rsidP="006A2182">
            <w:pPr>
              <w:rPr>
                <w:b/>
                <w:lang w:val="en-US"/>
              </w:rPr>
            </w:pPr>
            <w:r>
              <w:rPr>
                <w:b/>
                <w:highlight w:val="yellow"/>
                <w:lang w:val="en-US"/>
              </w:rPr>
              <w:t>High Priority Proposal 3-7b</w:t>
            </w:r>
            <w:r>
              <w:rPr>
                <w:b/>
                <w:lang w:val="en-US"/>
              </w:rPr>
              <w:t>: Adopt these templates for collection of coverage impact evaluation results:</w:t>
            </w:r>
          </w:p>
          <w:p w14:paraId="700C3E52" w14:textId="5ECED69B" w:rsidR="006A2182" w:rsidRDefault="00AD1F89" w:rsidP="006A2182">
            <w:pPr>
              <w:pStyle w:val="ListParagraph"/>
              <w:numPr>
                <w:ilvl w:val="0"/>
                <w:numId w:val="36"/>
              </w:numPr>
              <w:rPr>
                <w:b/>
                <w:bCs/>
                <w:sz w:val="20"/>
                <w:szCs w:val="22"/>
              </w:rPr>
            </w:pPr>
            <w:hyperlink r:id="rId39" w:history="1">
              <w:r w:rsidR="008B09ED">
                <w:rPr>
                  <w:rStyle w:val="Hyperlink"/>
                  <w:b/>
                  <w:bCs/>
                  <w:sz w:val="20"/>
                  <w:szCs w:val="22"/>
                </w:rPr>
                <w:t>eRedCapCoverageTemplate-0.7GHz-v002.xlsx</w:t>
              </w:r>
            </w:hyperlink>
          </w:p>
          <w:p w14:paraId="20BFB8EB" w14:textId="71438C2E" w:rsidR="006A2182" w:rsidRDefault="00AD1F89" w:rsidP="006A2182">
            <w:pPr>
              <w:pStyle w:val="ListParagraph"/>
              <w:numPr>
                <w:ilvl w:val="0"/>
                <w:numId w:val="36"/>
              </w:numPr>
              <w:rPr>
                <w:b/>
                <w:bCs/>
                <w:sz w:val="20"/>
                <w:szCs w:val="22"/>
              </w:rPr>
            </w:pPr>
            <w:hyperlink r:id="rId40" w:history="1">
              <w:r w:rsidR="008B09ED">
                <w:rPr>
                  <w:rStyle w:val="Hyperlink"/>
                  <w:b/>
                  <w:bCs/>
                  <w:sz w:val="20"/>
                  <w:szCs w:val="22"/>
                </w:rPr>
                <w:t>eRedCapCoverageTemplate-2.6GHz-11PRBs-v002.xlsx</w:t>
              </w:r>
            </w:hyperlink>
          </w:p>
          <w:p w14:paraId="7625C863" w14:textId="0245BB04" w:rsidR="006A2182" w:rsidRDefault="00AD1F89" w:rsidP="006A2182">
            <w:pPr>
              <w:pStyle w:val="ListParagraph"/>
              <w:numPr>
                <w:ilvl w:val="0"/>
                <w:numId w:val="36"/>
              </w:numPr>
              <w:rPr>
                <w:b/>
                <w:bCs/>
                <w:sz w:val="20"/>
                <w:szCs w:val="22"/>
              </w:rPr>
            </w:pPr>
            <w:hyperlink r:id="rId41" w:history="1">
              <w:r w:rsidR="008B09ED">
                <w:rPr>
                  <w:rStyle w:val="Hyperlink"/>
                  <w:b/>
                  <w:bCs/>
                  <w:sz w:val="20"/>
                  <w:szCs w:val="22"/>
                </w:rPr>
                <w:t>eRedCapCoverageTemplate-2.6GHz-12PRBs-Opt-v002.xlsx</w:t>
              </w:r>
            </w:hyperlink>
          </w:p>
          <w:p w14:paraId="75437F66" w14:textId="527B67E0" w:rsidR="006A2182" w:rsidRPr="008B09ED" w:rsidRDefault="00AD1F89" w:rsidP="00C96603">
            <w:pPr>
              <w:pStyle w:val="ListParagraph"/>
              <w:numPr>
                <w:ilvl w:val="0"/>
                <w:numId w:val="36"/>
              </w:numPr>
              <w:rPr>
                <w:rStyle w:val="Hyperlink"/>
                <w:b/>
                <w:bCs/>
                <w:color w:val="auto"/>
                <w:sz w:val="20"/>
                <w:szCs w:val="22"/>
                <w:u w:val="none"/>
                <w:lang w:val="en-US"/>
              </w:rPr>
            </w:pPr>
            <w:hyperlink r:id="rId42" w:history="1">
              <w:r w:rsidR="008B09ED">
                <w:rPr>
                  <w:rStyle w:val="Hyperlink"/>
                  <w:b/>
                  <w:bCs/>
                  <w:sz w:val="20"/>
                  <w:szCs w:val="22"/>
                  <w:lang w:val="en-US"/>
                </w:rPr>
                <w:t>eRedCapCoverageTemplate-4GHz-11PRBs-33dBmPSD-Opt-v002.xlsx</w:t>
              </w:r>
            </w:hyperlink>
          </w:p>
          <w:p w14:paraId="41594AA5" w14:textId="570163B4" w:rsidR="008B09ED" w:rsidRPr="008B09ED" w:rsidRDefault="00AD1F89" w:rsidP="008B09ED">
            <w:pPr>
              <w:pStyle w:val="ListParagraph"/>
              <w:numPr>
                <w:ilvl w:val="0"/>
                <w:numId w:val="36"/>
              </w:numPr>
              <w:rPr>
                <w:b/>
                <w:bCs/>
                <w:sz w:val="20"/>
                <w:szCs w:val="22"/>
                <w:lang w:val="en-US"/>
              </w:rPr>
            </w:pPr>
            <w:hyperlink r:id="rId43" w:history="1">
              <w:r w:rsidR="008B09ED">
                <w:rPr>
                  <w:rStyle w:val="Hyperlink"/>
                  <w:b/>
                  <w:bCs/>
                  <w:sz w:val="20"/>
                  <w:szCs w:val="22"/>
                  <w:lang w:val="en-US"/>
                </w:rPr>
                <w:t>eRedCapCoverageTemplate-4GHz-11PRBs-24dBmPSD-Opt-Opt-v002.xlsx</w:t>
              </w:r>
            </w:hyperlink>
          </w:p>
        </w:tc>
      </w:tr>
      <w:tr w:rsidR="006A2182" w14:paraId="3619EEFF" w14:textId="77777777" w:rsidTr="00C96603">
        <w:tc>
          <w:tcPr>
            <w:tcW w:w="1105" w:type="dxa"/>
          </w:tcPr>
          <w:p w14:paraId="2471D669" w14:textId="18933180" w:rsidR="006A2182" w:rsidRPr="00CD02FD" w:rsidRDefault="00CD02FD" w:rsidP="00CD02F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3E3B4C44" w14:textId="61DEC4C7" w:rsidR="006A2182" w:rsidRPr="00CD02FD" w:rsidRDefault="00CD02FD" w:rsidP="00CD02FD">
            <w:pPr>
              <w:rPr>
                <w:rFonts w:eastAsiaTheme="minorEastAsia"/>
                <w:lang w:val="en-US" w:eastAsia="zh-CN"/>
              </w:rPr>
            </w:pPr>
            <w:r>
              <w:rPr>
                <w:rFonts w:eastAsiaTheme="minorEastAsia" w:hint="eastAsia"/>
                <w:lang w:val="en-US" w:eastAsia="zh-CN"/>
              </w:rPr>
              <w:t>Y</w:t>
            </w:r>
          </w:p>
        </w:tc>
        <w:tc>
          <w:tcPr>
            <w:tcW w:w="7756" w:type="dxa"/>
          </w:tcPr>
          <w:p w14:paraId="03E9A98B" w14:textId="77777777" w:rsidR="006A2182" w:rsidRPr="006A2182" w:rsidRDefault="006A2182" w:rsidP="00C96603">
            <w:pPr>
              <w:rPr>
                <w:rFonts w:eastAsia="Yu Mincho"/>
                <w:lang w:val="en-US" w:eastAsia="ja-JP"/>
              </w:rPr>
            </w:pPr>
          </w:p>
        </w:tc>
      </w:tr>
      <w:tr w:rsidR="00070AD6" w14:paraId="021EFC42" w14:textId="77777777" w:rsidTr="00C96603">
        <w:tc>
          <w:tcPr>
            <w:tcW w:w="1105" w:type="dxa"/>
          </w:tcPr>
          <w:p w14:paraId="1F11791F" w14:textId="4DFB99ED" w:rsidR="00070AD6" w:rsidRDefault="00070AD6" w:rsidP="00CD02FD">
            <w:pPr>
              <w:rPr>
                <w:rFonts w:eastAsiaTheme="minorEastAsia"/>
                <w:lang w:val="en-US" w:eastAsia="zh-CN"/>
              </w:rPr>
            </w:pPr>
            <w:r>
              <w:rPr>
                <w:rFonts w:eastAsiaTheme="minorEastAsia"/>
                <w:lang w:val="en-US" w:eastAsia="zh-CN"/>
              </w:rPr>
              <w:t>Huawei, Hisilicon</w:t>
            </w:r>
          </w:p>
        </w:tc>
        <w:tc>
          <w:tcPr>
            <w:tcW w:w="773" w:type="dxa"/>
          </w:tcPr>
          <w:p w14:paraId="7C606DF4" w14:textId="77777777" w:rsidR="00070AD6" w:rsidRDefault="00070AD6" w:rsidP="00CD02FD">
            <w:pPr>
              <w:rPr>
                <w:rFonts w:eastAsiaTheme="minorEastAsia"/>
                <w:lang w:val="en-US" w:eastAsia="zh-CN"/>
              </w:rPr>
            </w:pPr>
          </w:p>
        </w:tc>
        <w:tc>
          <w:tcPr>
            <w:tcW w:w="7756" w:type="dxa"/>
          </w:tcPr>
          <w:p w14:paraId="53ADB212" w14:textId="1694808F" w:rsidR="00070AD6" w:rsidRDefault="00A879B6">
            <w:pPr>
              <w:rPr>
                <w:rFonts w:eastAsiaTheme="minorEastAsia"/>
                <w:lang w:val="en-US" w:eastAsia="zh-CN"/>
              </w:rPr>
            </w:pPr>
            <w:r>
              <w:rPr>
                <w:rFonts w:eastAsiaTheme="minorEastAsia"/>
                <w:lang w:val="en-US" w:eastAsia="zh-CN"/>
              </w:rPr>
              <w:t>Regarding the system configuration for PDCCH, configuration of “</w:t>
            </w:r>
            <w:r>
              <w:rPr>
                <w:rFonts w:eastAsia="Microsoft YaHei UI"/>
                <w:color w:val="000000"/>
                <w:highlight w:val="yellow"/>
                <w:lang w:val="en-US" w:eastAsia="zh-CN"/>
              </w:rPr>
              <w:t>3 symbols &amp; 1</w:t>
            </w:r>
            <w:r w:rsidRPr="00070AD6">
              <w:rPr>
                <w:rFonts w:eastAsia="Microsoft YaHei UI"/>
                <w:color w:val="000000"/>
                <w:highlight w:val="yellow"/>
                <w:lang w:val="en-US" w:eastAsia="zh-CN"/>
              </w:rPr>
              <w:t>2 PRBs</w:t>
            </w:r>
            <w:r w:rsidRPr="00D66164">
              <w:rPr>
                <w:rFonts w:eastAsia="Microsoft YaHei UI"/>
                <w:color w:val="000000"/>
                <w:highlight w:val="yellow"/>
                <w:lang w:val="en-US" w:eastAsia="zh-CN"/>
              </w:rPr>
              <w:t>, AL4</w:t>
            </w:r>
            <w:r>
              <w:rPr>
                <w:rFonts w:eastAsiaTheme="minorEastAsia"/>
                <w:lang w:val="en-US" w:eastAsia="zh-CN"/>
              </w:rPr>
              <w:t>” is kept in the PDCCH USS tables, which is in line with the agreement below. However, f</w:t>
            </w:r>
            <w:r w:rsidR="00070AD6">
              <w:rPr>
                <w:rFonts w:eastAsiaTheme="minorEastAsia"/>
                <w:lang w:val="en-US" w:eastAsia="zh-CN"/>
              </w:rPr>
              <w:t>or</w:t>
            </w:r>
            <w:r w:rsidR="00070AD6">
              <w:rPr>
                <w:rFonts w:eastAsiaTheme="minorEastAsia" w:hint="eastAsia"/>
                <w:lang w:val="en-US" w:eastAsia="zh-CN"/>
              </w:rPr>
              <w:t xml:space="preserve"> </w:t>
            </w:r>
            <w:r w:rsidR="00070AD6">
              <w:rPr>
                <w:rFonts w:eastAsiaTheme="minorEastAsia"/>
                <w:lang w:val="en-US" w:eastAsia="zh-CN"/>
              </w:rPr>
              <w:t xml:space="preserve">PDCCH CSS tables, we </w:t>
            </w:r>
            <w:r w:rsidR="00585CFF">
              <w:rPr>
                <w:rFonts w:eastAsiaTheme="minorEastAsia"/>
                <w:lang w:val="en-US" w:eastAsia="zh-CN"/>
              </w:rPr>
              <w:t>don’t think</w:t>
            </w:r>
            <w:r w:rsidR="00070AD6">
              <w:rPr>
                <w:rFonts w:eastAsiaTheme="minorEastAsia"/>
                <w:lang w:val="en-US" w:eastAsia="zh-CN"/>
              </w:rPr>
              <w:t xml:space="preserve"> </w:t>
            </w:r>
            <w:r>
              <w:rPr>
                <w:rFonts w:eastAsiaTheme="minorEastAsia"/>
                <w:lang w:val="en-US" w:eastAsia="zh-CN"/>
              </w:rPr>
              <w:t xml:space="preserve">the </w:t>
            </w:r>
            <w:r w:rsidR="00070AD6">
              <w:rPr>
                <w:rFonts w:eastAsiaTheme="minorEastAsia"/>
                <w:lang w:val="en-US" w:eastAsia="zh-CN"/>
              </w:rPr>
              <w:t>configuration of “</w:t>
            </w:r>
            <w:r w:rsidR="00070AD6">
              <w:rPr>
                <w:rFonts w:eastAsia="Microsoft YaHei UI"/>
                <w:color w:val="000000"/>
                <w:highlight w:val="yellow"/>
                <w:lang w:val="en-US" w:eastAsia="zh-CN"/>
              </w:rPr>
              <w:t>3 symbols &amp; 1</w:t>
            </w:r>
            <w:r w:rsidR="00070AD6" w:rsidRPr="00070AD6">
              <w:rPr>
                <w:rFonts w:eastAsia="Microsoft YaHei UI"/>
                <w:color w:val="000000"/>
                <w:highlight w:val="yellow"/>
                <w:lang w:val="en-US" w:eastAsia="zh-CN"/>
              </w:rPr>
              <w:t>2 PRBs</w:t>
            </w:r>
            <w:r w:rsidR="00070AD6" w:rsidRPr="00A879B6">
              <w:rPr>
                <w:rFonts w:eastAsia="Microsoft YaHei UI"/>
                <w:color w:val="000000"/>
                <w:highlight w:val="yellow"/>
                <w:lang w:val="en-US" w:eastAsia="zh-CN"/>
              </w:rPr>
              <w:t>, AL4</w:t>
            </w:r>
            <w:r w:rsidR="00070AD6">
              <w:rPr>
                <w:rFonts w:eastAsiaTheme="minorEastAsia"/>
                <w:lang w:val="en-US" w:eastAsia="zh-CN"/>
              </w:rPr>
              <w:t>”</w:t>
            </w:r>
            <w:r w:rsidR="00585CFF">
              <w:rPr>
                <w:rFonts w:eastAsiaTheme="minorEastAsia"/>
                <w:lang w:val="en-US" w:eastAsia="zh-CN"/>
              </w:rPr>
              <w:t xml:space="preserve"> can be removed from UE BW 11PRBs</w:t>
            </w:r>
            <w:r w:rsidR="0028474F">
              <w:rPr>
                <w:rFonts w:eastAsiaTheme="minorEastAsia"/>
                <w:lang w:val="en-US" w:eastAsia="zh-CN"/>
              </w:rPr>
              <w:t xml:space="preserve">. </w:t>
            </w:r>
            <w:r>
              <w:rPr>
                <w:rFonts w:eastAsiaTheme="minorEastAsia"/>
                <w:lang w:val="en-US" w:eastAsia="zh-CN"/>
              </w:rPr>
              <w:t>Because</w:t>
            </w:r>
            <w:r w:rsidR="000B7B0F">
              <w:rPr>
                <w:rFonts w:eastAsiaTheme="minorEastAsia"/>
                <w:lang w:val="en-US" w:eastAsia="zh-CN"/>
              </w:rPr>
              <w:t xml:space="preserve"> </w:t>
            </w:r>
            <w:r>
              <w:rPr>
                <w:rFonts w:eastAsiaTheme="minorEastAsia"/>
                <w:lang w:val="en-US" w:eastAsia="zh-CN"/>
              </w:rPr>
              <w:t xml:space="preserve">it is “within 5MHz” rather than “within UE bandwidth in PRBs” in </w:t>
            </w:r>
            <w:r w:rsidR="0028474F">
              <w:rPr>
                <w:rFonts w:eastAsiaTheme="minorEastAsia"/>
                <w:lang w:val="en-US" w:eastAsia="zh-CN"/>
              </w:rPr>
              <w:t>the following agreements</w:t>
            </w:r>
            <w:r>
              <w:rPr>
                <w:rFonts w:eastAsiaTheme="minorEastAsia"/>
                <w:lang w:val="en-US" w:eastAsia="zh-CN"/>
              </w:rPr>
              <w:t>.</w:t>
            </w:r>
            <w:r w:rsidR="0028474F">
              <w:rPr>
                <w:rFonts w:eastAsiaTheme="minorEastAsia"/>
                <w:lang w:val="en-US" w:eastAsia="zh-CN"/>
              </w:rPr>
              <w:t xml:space="preserve"> </w:t>
            </w:r>
            <w:r>
              <w:rPr>
                <w:rFonts w:eastAsiaTheme="minorEastAsia"/>
                <w:lang w:val="en-US" w:eastAsia="zh-CN"/>
              </w:rPr>
              <w:t xml:space="preserve">Additionally, if a UE is capable of monitoring 12 PRBs CORESET for USS, it can monitor 12 PRBs CORESET for CSS as well. </w:t>
            </w:r>
            <w:r w:rsidR="001851B8">
              <w:rPr>
                <w:rFonts w:eastAsiaTheme="minorEastAsia"/>
                <w:lang w:val="en-US" w:eastAsia="zh-CN"/>
              </w:rPr>
              <w:t xml:space="preserve">It is unclear </w:t>
            </w:r>
            <w:r>
              <w:rPr>
                <w:rFonts w:eastAsiaTheme="minorEastAsia"/>
                <w:lang w:val="en-US" w:eastAsia="zh-CN"/>
              </w:rPr>
              <w:t xml:space="preserve">why the configuration has to be removed </w:t>
            </w:r>
            <w:r w:rsidR="00F6248D">
              <w:rPr>
                <w:rFonts w:eastAsiaTheme="minorEastAsia"/>
                <w:lang w:val="en-US" w:eastAsia="zh-CN"/>
              </w:rPr>
              <w:t xml:space="preserve">from </w:t>
            </w:r>
            <w:r>
              <w:rPr>
                <w:rFonts w:eastAsiaTheme="minorEastAsia"/>
                <w:lang w:val="en-US" w:eastAsia="zh-CN"/>
              </w:rPr>
              <w:t xml:space="preserve">CSS while that is kept for USS. </w:t>
            </w:r>
            <w:r w:rsidR="001851B8">
              <w:rPr>
                <w:rFonts w:eastAsiaTheme="minorEastAsia"/>
                <w:lang w:val="en-US" w:eastAsia="zh-CN"/>
              </w:rPr>
              <w:t>Therefore, a</w:t>
            </w:r>
            <w:r>
              <w:rPr>
                <w:rFonts w:eastAsiaTheme="minorEastAsia"/>
                <w:lang w:val="en-US" w:eastAsia="zh-CN"/>
              </w:rPr>
              <w:t>t this stage, we prefer to keep both Opt2-1 and Opt2-2 (“</w:t>
            </w:r>
            <w:r>
              <w:rPr>
                <w:rFonts w:eastAsia="Microsoft YaHei UI"/>
                <w:color w:val="000000"/>
                <w:highlight w:val="yellow"/>
                <w:lang w:val="en-US" w:eastAsia="zh-CN"/>
              </w:rPr>
              <w:t>3 symbols &amp; 1</w:t>
            </w:r>
            <w:r w:rsidRPr="00070AD6">
              <w:rPr>
                <w:rFonts w:eastAsia="Microsoft YaHei UI"/>
                <w:color w:val="000000"/>
                <w:highlight w:val="yellow"/>
                <w:lang w:val="en-US" w:eastAsia="zh-CN"/>
              </w:rPr>
              <w:t>2 PRBs</w:t>
            </w:r>
            <w:r w:rsidRPr="00A879B6">
              <w:rPr>
                <w:rFonts w:eastAsia="Microsoft YaHei UI"/>
                <w:color w:val="000000"/>
                <w:highlight w:val="yellow"/>
                <w:lang w:val="en-US" w:eastAsia="zh-CN"/>
              </w:rPr>
              <w:t>, AL4</w:t>
            </w:r>
            <w:r>
              <w:rPr>
                <w:rFonts w:eastAsiaTheme="minorEastAsia"/>
                <w:lang w:val="en-US" w:eastAsia="zh-CN"/>
              </w:rPr>
              <w:t>”) in the files of 11 PRBs of UE bandwidth.</w:t>
            </w:r>
            <w:r w:rsidR="00F6248D">
              <w:rPr>
                <w:rFonts w:eastAsiaTheme="minorEastAsia"/>
                <w:lang w:val="en-US" w:eastAsia="zh-CN"/>
              </w:rPr>
              <w:t xml:space="preserve"> Any clarification for them could be left to the discussions in RAN1 meeting.</w:t>
            </w:r>
            <w:r>
              <w:rPr>
                <w:rFonts w:eastAsiaTheme="minorEastAsia"/>
                <w:lang w:val="en-US" w:eastAsia="zh-CN"/>
              </w:rPr>
              <w:t xml:space="preserve"> Thanks</w:t>
            </w:r>
            <w:r w:rsidR="001E6D6D">
              <w:rPr>
                <w:rFonts w:eastAsiaTheme="minorEastAsia"/>
                <w:lang w:val="en-US" w:eastAsia="zh-CN"/>
              </w:rPr>
              <w:t>.</w:t>
            </w:r>
            <w:bookmarkStart w:id="5" w:name="_GoBack"/>
            <w:bookmarkEnd w:id="5"/>
          </w:p>
          <w:p w14:paraId="5578AB14" w14:textId="77777777" w:rsidR="00D40448" w:rsidRDefault="00D40448" w:rsidP="00D40448">
            <w:pPr>
              <w:spacing w:after="0"/>
              <w:rPr>
                <w:rFonts w:eastAsia="等线"/>
                <w:highlight w:val="green"/>
                <w:lang w:val="en-US" w:eastAsia="zh-CN"/>
              </w:rPr>
            </w:pPr>
            <w:r>
              <w:rPr>
                <w:rFonts w:eastAsia="Microsoft YaHei UI"/>
                <w:color w:val="000000"/>
                <w:lang w:val="en-US" w:eastAsia="zh-CN"/>
              </w:rPr>
              <w:t> </w:t>
            </w:r>
            <w:r>
              <w:rPr>
                <w:rFonts w:eastAsia="等线"/>
                <w:highlight w:val="green"/>
                <w:lang w:val="en-US" w:eastAsia="zh-CN"/>
              </w:rPr>
              <w:t>Agreement:</w:t>
            </w:r>
          </w:p>
          <w:p w14:paraId="1147F809" w14:textId="77777777" w:rsidR="00D40448" w:rsidRDefault="00D40448" w:rsidP="00D40448">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11032400"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88C65A"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lastRenderedPageBreak/>
              <w:t>The UE can receive a part of PDCCH at a time. Detail assumption of reception scheme (e.g., puncturing the bits transmitted outside UE BW) is reported by each company.</w:t>
            </w:r>
          </w:p>
          <w:p w14:paraId="5A2E46EE"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3C64094E"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64C5BDF1"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1114A0C5"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5F684D5A" w14:textId="77777777" w:rsidR="00D40448" w:rsidRDefault="00D40448" w:rsidP="00D40448">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6C60D8" w14:textId="77777777" w:rsidR="00D40448" w:rsidRDefault="00D40448" w:rsidP="00D40448">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3BCC0E91" w14:textId="77777777" w:rsidR="00D40448" w:rsidRDefault="00D40448" w:rsidP="00D40448">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E57B130" w14:textId="77777777" w:rsidR="00D40448" w:rsidRDefault="00D40448" w:rsidP="00D40448">
            <w:pPr>
              <w:spacing w:after="0" w:line="252" w:lineRule="auto"/>
              <w:contextualSpacing/>
              <w:rPr>
                <w:rFonts w:eastAsia="Microsoft YaHei UI"/>
                <w:color w:val="000000"/>
                <w:lang w:val="en-US" w:eastAsia="zh-CN"/>
              </w:rPr>
            </w:pPr>
          </w:p>
          <w:p w14:paraId="2535301E" w14:textId="77777777" w:rsidR="00D40448" w:rsidRDefault="00D40448" w:rsidP="00D40448">
            <w:pPr>
              <w:spacing w:after="0"/>
              <w:rPr>
                <w:rFonts w:eastAsia="等线"/>
                <w:highlight w:val="green"/>
                <w:lang w:val="en-US" w:eastAsia="zh-CN"/>
              </w:rPr>
            </w:pPr>
            <w:r>
              <w:rPr>
                <w:rFonts w:eastAsia="等线"/>
                <w:highlight w:val="green"/>
                <w:lang w:val="en-US" w:eastAsia="zh-CN"/>
              </w:rPr>
              <w:t>Agreement:</w:t>
            </w:r>
          </w:p>
          <w:p w14:paraId="0483B2CA" w14:textId="77777777" w:rsidR="00D40448" w:rsidRDefault="00D40448" w:rsidP="00D40448">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4B6E9239"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6BEC804D" w14:textId="77777777" w:rsidR="00D40448" w:rsidRDefault="00D40448" w:rsidP="00D40448">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B0303E1" w14:textId="77777777" w:rsidR="00D40448" w:rsidRDefault="00D40448" w:rsidP="00D40448">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6DB8BCF5" w14:textId="77777777" w:rsidR="00D40448" w:rsidRDefault="00D40448" w:rsidP="00D40448">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6335E455" w14:textId="77777777" w:rsidR="00D40448" w:rsidRDefault="00D40448" w:rsidP="00D40448">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A6725B9" w14:textId="69A220E6" w:rsidR="00D40448" w:rsidRPr="00F6248D" w:rsidRDefault="00D40448">
            <w:pPr>
              <w:rPr>
                <w:rFonts w:eastAsiaTheme="minorEastAsia"/>
                <w:lang w:val="en-US" w:eastAsia="zh-CN"/>
              </w:rPr>
            </w:pP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lastRenderedPageBreak/>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Huawei, Hisilicon</w:t>
            </w:r>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宋体"/>
                <w:lang w:val="en-US" w:eastAsia="zh-CN"/>
              </w:rPr>
            </w:pPr>
            <w:r>
              <w:rPr>
                <w:rFonts w:eastAsia="宋体" w:hint="eastAsia"/>
                <w:lang w:val="en-US" w:eastAsia="zh-CN"/>
              </w:rPr>
              <w:t>ZTE, Sanechips</w:t>
            </w:r>
          </w:p>
        </w:tc>
        <w:tc>
          <w:tcPr>
            <w:tcW w:w="8262" w:type="dxa"/>
            <w:gridSpan w:val="2"/>
          </w:tcPr>
          <w:p w14:paraId="496D03E9" w14:textId="77777777" w:rsidR="00A465ED" w:rsidRDefault="00FE78DE">
            <w:pPr>
              <w:rPr>
                <w:rFonts w:eastAsia="宋体"/>
                <w:lang w:val="en-US" w:eastAsia="zh-CN"/>
              </w:rPr>
            </w:pPr>
            <w:r>
              <w:rPr>
                <w:rFonts w:eastAsia="宋体"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0315EE3" w:rsidR="009C2AC9"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 xml:space="preserve">We share the same considerations with FL. Results collection after Tdoc deadline will lead a tight working schedule, since lots of preparation work need to be handled </w:t>
            </w:r>
            <w:r>
              <w:lastRenderedPageBreak/>
              <w:t>in the week before the meeting. Another email for results collection is fine, as R17 was also handled in the same way.</w:t>
            </w:r>
          </w:p>
          <w:p w14:paraId="6B44539E" w14:textId="77777777" w:rsidR="00A465ED" w:rsidRDefault="00FE78DE">
            <w:pPr>
              <w:spacing w:line="252" w:lineRule="auto"/>
            </w:pPr>
            <w:r>
              <w:t>Maybe some relaxation is to delay the start point a bit late, e.g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lastRenderedPageBreak/>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65740B44" w:rsidR="00A465ED" w:rsidRDefault="00FE78DE">
            <w:pPr>
              <w:spacing w:line="252" w:lineRule="auto"/>
            </w:pPr>
            <w:r>
              <w:t>But it is not clear whether and what should be discussed, I suppose idea is to just collect results to Excel before m</w:t>
            </w:r>
            <w:r w:rsidR="009C2AC9">
              <w:t>e</w:t>
            </w:r>
            <w:r>
              <w:t xml:space="preserve">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(i.e.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We prefer a earlier collection of results before the meeting. This will help a lot for the progress considering the limited meeting cycle. Also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r>
              <w:t>First of all,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sidRPr="009C2AC9">
              <w:rPr>
                <w:b/>
                <w:lang w:val="en-US"/>
              </w:rPr>
              <w:t>High Priority Proposal 4-1b</w:t>
            </w:r>
            <w:r w:rsidRPr="009C2AC9">
              <w:rPr>
                <w:b/>
                <w:bCs/>
                <w:lang w:val="en-US"/>
              </w:rPr>
              <w:t>:</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CD02FD">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CD02FD">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CD02FD">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CD02FD">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r w:rsidR="007A5F89" w14:paraId="7CDCD170" w14:textId="77777777" w:rsidTr="009B7A45">
        <w:tc>
          <w:tcPr>
            <w:tcW w:w="1372" w:type="dxa"/>
          </w:tcPr>
          <w:p w14:paraId="5DD84014" w14:textId="016B7D6D" w:rsidR="007A5F89" w:rsidRDefault="007A5F89" w:rsidP="007A5F89">
            <w:pPr>
              <w:rPr>
                <w:rFonts w:eastAsiaTheme="minorEastAsia"/>
                <w:lang w:val="en-US" w:eastAsia="zh-CN"/>
              </w:rPr>
            </w:pPr>
            <w:r>
              <w:rPr>
                <w:rFonts w:eastAsiaTheme="minorEastAsia"/>
                <w:lang w:val="en-US" w:eastAsia="zh-CN"/>
              </w:rPr>
              <w:t>Qualcomm</w:t>
            </w:r>
          </w:p>
        </w:tc>
        <w:tc>
          <w:tcPr>
            <w:tcW w:w="1317" w:type="dxa"/>
          </w:tcPr>
          <w:p w14:paraId="4C1F289D" w14:textId="77777777" w:rsidR="007A5F89" w:rsidRDefault="007A5F89" w:rsidP="007A5F89">
            <w:pPr>
              <w:rPr>
                <w:rFonts w:eastAsiaTheme="minorEastAsia"/>
                <w:lang w:val="en-US" w:eastAsia="zh-CN"/>
              </w:rPr>
            </w:pPr>
          </w:p>
        </w:tc>
        <w:tc>
          <w:tcPr>
            <w:tcW w:w="6945" w:type="dxa"/>
          </w:tcPr>
          <w:p w14:paraId="6265F7B5" w14:textId="13B76530" w:rsidR="007A5F89" w:rsidRDefault="007A5F89" w:rsidP="007A5F89">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9C2AC9" w14:paraId="51612A8A" w14:textId="77777777" w:rsidTr="00CD02FD">
        <w:tc>
          <w:tcPr>
            <w:tcW w:w="1372" w:type="dxa"/>
          </w:tcPr>
          <w:p w14:paraId="279CC4F8" w14:textId="08FFF099" w:rsidR="009C2AC9" w:rsidRDefault="009C2AC9" w:rsidP="00CD02FD">
            <w:pPr>
              <w:rPr>
                <w:rFonts w:eastAsiaTheme="minorEastAsia"/>
                <w:lang w:val="en-US" w:eastAsia="zh-CN"/>
              </w:rPr>
            </w:pPr>
            <w:r>
              <w:rPr>
                <w:rFonts w:eastAsiaTheme="minorEastAsia"/>
                <w:lang w:val="en-US" w:eastAsia="zh-CN"/>
              </w:rPr>
              <w:t>FL3</w:t>
            </w:r>
          </w:p>
        </w:tc>
        <w:tc>
          <w:tcPr>
            <w:tcW w:w="8262" w:type="dxa"/>
            <w:gridSpan w:val="2"/>
          </w:tcPr>
          <w:p w14:paraId="18FF4BC5" w14:textId="7ED8674B" w:rsidR="009C2AC9" w:rsidRDefault="009C2AC9" w:rsidP="00CD02FD">
            <w:pPr>
              <w:rPr>
                <w:rFonts w:eastAsiaTheme="minorEastAsia"/>
                <w:lang w:val="en-US" w:eastAsia="zh-CN"/>
              </w:rPr>
            </w:pPr>
            <w:r>
              <w:rPr>
                <w:rFonts w:eastAsiaTheme="minorEastAsia"/>
                <w:lang w:val="en-US" w:eastAsia="zh-CN"/>
              </w:rPr>
              <w:t xml:space="preserve">Based on the received responses, perhaps the following updated proposal can be considered. It allows companies to upload their evaluation results before the submission deadline </w:t>
            </w:r>
            <w:r w:rsidR="00F562C2">
              <w:rPr>
                <w:rFonts w:eastAsiaTheme="minorEastAsia"/>
                <w:lang w:val="en-US" w:eastAsia="zh-CN"/>
              </w:rPr>
              <w:t xml:space="preserve">(without any expectation </w:t>
            </w:r>
            <w:r w:rsidR="00F562C2">
              <w:rPr>
                <w:rFonts w:eastAsiaTheme="minorEastAsia"/>
                <w:lang w:val="en-US" w:eastAsia="zh-CN"/>
              </w:rPr>
              <w:lastRenderedPageBreak/>
              <w:t xml:space="preserve">to do so), but it </w:t>
            </w:r>
            <w:r>
              <w:rPr>
                <w:rFonts w:eastAsiaTheme="minorEastAsia"/>
                <w:lang w:val="en-US" w:eastAsia="zh-CN"/>
              </w:rPr>
              <w:t xml:space="preserve">also </w:t>
            </w:r>
            <w:r w:rsidR="00F562C2">
              <w:rPr>
                <w:rFonts w:eastAsiaTheme="minorEastAsia"/>
                <w:lang w:val="en-US" w:eastAsia="zh-CN"/>
              </w:rPr>
              <w:t>allows them to upload a</w:t>
            </w:r>
            <w:r>
              <w:rPr>
                <w:rFonts w:eastAsiaTheme="minorEastAsia"/>
                <w:lang w:val="en-US" w:eastAsia="zh-CN"/>
              </w:rPr>
              <w:t xml:space="preserve"> couple of days after the submission deadline</w:t>
            </w:r>
            <w:r w:rsidR="00F562C2">
              <w:rPr>
                <w:rFonts w:eastAsiaTheme="minorEastAsia"/>
                <w:lang w:val="en-US" w:eastAsia="zh-CN"/>
              </w:rPr>
              <w:t xml:space="preserve"> if desired (and does not forbid them to upload even later than that).</w:t>
            </w:r>
          </w:p>
          <w:p w14:paraId="4EFFA78C" w14:textId="5C65F4E4" w:rsidR="00F562C2" w:rsidRDefault="00F562C2" w:rsidP="00CD02FD">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w:t>
            </w:r>
            <w:r w:rsidR="0084187B">
              <w:rPr>
                <w:rFonts w:eastAsiaTheme="minorEastAsia"/>
                <w:lang w:val="en-US" w:eastAsia="zh-CN"/>
              </w:rPr>
              <w:t>,</w:t>
            </w:r>
            <w:r>
              <w:rPr>
                <w:rFonts w:eastAsiaTheme="minorEastAsia"/>
                <w:lang w:val="en-US" w:eastAsia="zh-CN"/>
              </w:rPr>
              <w:t xml:space="preserve"> it is proposed that companies update the 6 templates on the FTP site themselves instead.</w:t>
            </w:r>
          </w:p>
          <w:p w14:paraId="7AF9849B" w14:textId="44CA7994" w:rsidR="009C2AC9" w:rsidRPr="009C2AC9" w:rsidRDefault="009C2AC9" w:rsidP="00CD02FD">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rsidR="009C2AC9" w14:paraId="2E675AB0" w14:textId="77777777" w:rsidTr="009B7A45">
        <w:tc>
          <w:tcPr>
            <w:tcW w:w="1372" w:type="dxa"/>
          </w:tcPr>
          <w:p w14:paraId="2B8E067F" w14:textId="749C8F2D" w:rsidR="009C2AC9" w:rsidRDefault="00CD02FD" w:rsidP="00CD02F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7" w:type="dxa"/>
          </w:tcPr>
          <w:p w14:paraId="029C0CFC" w14:textId="352D983A" w:rsidR="009C2AC9" w:rsidRDefault="00CD02FD" w:rsidP="00CD02FD">
            <w:pPr>
              <w:rPr>
                <w:rFonts w:eastAsiaTheme="minorEastAsia"/>
                <w:lang w:val="en-US" w:eastAsia="zh-CN"/>
              </w:rPr>
            </w:pPr>
            <w:r>
              <w:rPr>
                <w:rFonts w:eastAsiaTheme="minorEastAsia" w:hint="eastAsia"/>
                <w:lang w:val="en-US" w:eastAsia="zh-CN"/>
              </w:rPr>
              <w:t>Y</w:t>
            </w:r>
          </w:p>
        </w:tc>
        <w:tc>
          <w:tcPr>
            <w:tcW w:w="6945" w:type="dxa"/>
          </w:tcPr>
          <w:p w14:paraId="37AACC2B" w14:textId="77777777" w:rsidR="009C2AC9" w:rsidRDefault="009C2AC9" w:rsidP="00CD02FD">
            <w:pPr>
              <w:rPr>
                <w:rFonts w:eastAsiaTheme="minorEastAsia"/>
                <w:lang w:val="en-US" w:eastAsia="zh-CN"/>
              </w:rPr>
            </w:pPr>
          </w:p>
        </w:tc>
      </w:tr>
      <w:tr w:rsidR="00F867F1" w14:paraId="55CFFD33" w14:textId="77777777" w:rsidTr="009B7A45">
        <w:tc>
          <w:tcPr>
            <w:tcW w:w="1372" w:type="dxa"/>
          </w:tcPr>
          <w:p w14:paraId="5DC5587F" w14:textId="744B833A" w:rsidR="00F867F1" w:rsidRDefault="00F867F1" w:rsidP="00CD02FD">
            <w:pPr>
              <w:rPr>
                <w:rFonts w:eastAsiaTheme="minorEastAsia"/>
                <w:lang w:val="en-US" w:eastAsia="zh-CN"/>
              </w:rPr>
            </w:pPr>
            <w:r>
              <w:rPr>
                <w:rFonts w:eastAsiaTheme="minorEastAsia"/>
                <w:lang w:val="en-US" w:eastAsia="zh-CN"/>
              </w:rPr>
              <w:t>Huawei, Hisilicon</w:t>
            </w:r>
          </w:p>
        </w:tc>
        <w:tc>
          <w:tcPr>
            <w:tcW w:w="1317" w:type="dxa"/>
          </w:tcPr>
          <w:p w14:paraId="76E0EB22" w14:textId="77777777" w:rsidR="00F867F1" w:rsidRDefault="00F867F1" w:rsidP="00CD02FD">
            <w:pPr>
              <w:rPr>
                <w:rFonts w:eastAsiaTheme="minorEastAsia"/>
                <w:lang w:val="en-US" w:eastAsia="zh-CN"/>
              </w:rPr>
            </w:pPr>
          </w:p>
        </w:tc>
        <w:tc>
          <w:tcPr>
            <w:tcW w:w="6945" w:type="dxa"/>
          </w:tcPr>
          <w:p w14:paraId="2DA95FE1" w14:textId="17C66D58" w:rsidR="00F867F1" w:rsidRDefault="00F867F1" w:rsidP="00CD02FD">
            <w:pPr>
              <w:rPr>
                <w:rFonts w:eastAsiaTheme="minorEastAsia"/>
                <w:lang w:val="en-US" w:eastAsia="zh-CN"/>
              </w:rPr>
            </w:pPr>
            <w:r>
              <w:rPr>
                <w:rFonts w:eastAsiaTheme="minorEastAsia"/>
                <w:lang w:val="en-US" w:eastAsia="zh-CN"/>
              </w:rPr>
              <w:t>Ok</w:t>
            </w: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6"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6"/>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AD1F89">
            <w:pPr>
              <w:jc w:val="left"/>
              <w:rPr>
                <w:color w:val="0000FF"/>
                <w:u w:val="single"/>
                <w:lang w:val="en-US"/>
              </w:rPr>
            </w:pPr>
            <w:hyperlink r:id="rId44"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AD1F89">
            <w:pPr>
              <w:jc w:val="left"/>
              <w:rPr>
                <w:color w:val="0000FF"/>
              </w:rPr>
            </w:pPr>
            <w:hyperlink r:id="rId45"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AD1F89">
            <w:pPr>
              <w:jc w:val="left"/>
            </w:pPr>
            <w:hyperlink r:id="rId46"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AD1F89">
            <w:pPr>
              <w:jc w:val="left"/>
              <w:rPr>
                <w:rFonts w:eastAsia="Calibri"/>
                <w:color w:val="0000FF"/>
                <w:szCs w:val="22"/>
                <w:u w:val="single"/>
                <w:lang w:val="en-US"/>
              </w:rPr>
            </w:pPr>
            <w:hyperlink r:id="rId47"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AD1F89">
            <w:pPr>
              <w:jc w:val="left"/>
            </w:pPr>
            <w:hyperlink r:id="rId48"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AD1F89">
            <w:pPr>
              <w:jc w:val="left"/>
            </w:pPr>
            <w:hyperlink r:id="rId49"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AD1F89">
            <w:pPr>
              <w:jc w:val="left"/>
            </w:pPr>
            <w:hyperlink r:id="rId50"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37CF" w14:textId="77777777" w:rsidR="00AD1F89" w:rsidRDefault="00AD1F89">
      <w:pPr>
        <w:spacing w:line="240" w:lineRule="auto"/>
      </w:pPr>
      <w:r>
        <w:separator/>
      </w:r>
    </w:p>
  </w:endnote>
  <w:endnote w:type="continuationSeparator" w:id="0">
    <w:p w14:paraId="1BC9DC65" w14:textId="77777777" w:rsidR="00AD1F89" w:rsidRDefault="00AD1F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Times New Roma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87E7" w14:textId="77777777" w:rsidR="00AD1F89" w:rsidRDefault="00AD1F89">
      <w:pPr>
        <w:spacing w:after="0"/>
      </w:pPr>
      <w:r>
        <w:separator/>
      </w:r>
    </w:p>
  </w:footnote>
  <w:footnote w:type="continuationSeparator" w:id="0">
    <w:p w14:paraId="32B9047E" w14:textId="77777777" w:rsidR="00AD1F89" w:rsidRDefault="00AD1F8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hybridMultilevel"/>
    <w:tmpl w:val="E77E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5"/>
  </w:num>
  <w:num w:numId="35">
    <w:abstractNumId w:val="4"/>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0AD6"/>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B7B0F"/>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0F7FE7"/>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1B8"/>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6D6D"/>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7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1FC6"/>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0F2D"/>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5CFF"/>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382F"/>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4ABC"/>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67500"/>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879B6"/>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89"/>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BF1"/>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73"/>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2FD"/>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044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196"/>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B51"/>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48D"/>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8F"/>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867F1"/>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D1F9CF13-475B-4EBB-8693-E3C909315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21</Pages>
  <Words>9068</Words>
  <Characters>51689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60636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Frank</cp:lastModifiedBy>
  <cp:revision>38</cp:revision>
  <dcterms:created xsi:type="dcterms:W3CDTF">2022-06-16T16:02:00Z</dcterms:created>
  <dcterms:modified xsi:type="dcterms:W3CDTF">2022-06-17T09:18:00Z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(3)Ew3DYUgzG7Ab36kHdj03aHGkDAJN16OnpWeEYIqPjovxUITGMt4QYQeJSb2SrzSlTKDlFFm1
5N1pHmzBCNxekqNAjUe/UjvZhFS2G1XRSUn/XQ6TRwOAbg3XwLaV3nkXwSMGdyvIQJQwpnoi
a1VjTp+ytSdsR67F2rEjcUAo+j2k2j0pwmBM35plUpTygoA4hhSOTja1+gtU8lzidI0KRU11
1RDh/Ot/ZxSnTkEKHs</vt:lpwstr>
  </property>
  <property fmtid="{D5CDD505-2E9C-101B-9397-08002B2CF9AE}" pid="3" name="_2015_ms_pID_7253431">
    <vt:lpwstr>QkcStaDU+shYlk12rWX5/kBqOxW2mloU/5sfvqDTWnEDmuNUJZA392
oKX3+f/Eaom30pNr6W7+GeA2O8amRcqfyV9uVQUGJUtXM+++i2m1AVOYEo/EoriYe8MvqUC1
4NXrOMVi84+1Gfj8dYpVt3WKR/oLvfcqV8CNWjt0Omrqi4NUL8aEOoSh8Ek9E+YTk9vqdDWF
PJAarh/85/Zv8BH1HABo6f+70dE1+53ti5an</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tA==</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ContentTypeId">
    <vt:lpwstr>0x0101008A5A7F3514465E458D5F5D15A7097C37</vt:lpwstr>
  </property>
  <property fmtid="{D5CDD505-2E9C-101B-9397-08002B2CF9AE}" pid="22" name="CWMa74cd64424c54934a7c93351bd380b42">
    <vt:lpwstr>CWM2q/6r8t7IuM/O9/0L3Y+c9ck8r+S6QMmmgsCVfyoMcfrrherlOFoPE/J2gP3JkAar/RVKXyWqGpwwwn1QEaMTg==</vt:lpwstr>
  </property>
  <property fmtid="{D5CDD505-2E9C-101B-9397-08002B2CF9AE}" pid="23" name="CWMfefea48941274cdb802958cae78b372b">
    <vt:lpwstr>CWMUbLiUtkSqSqIheMhA334ga7W+G1F0ovGws4KxngFlM/EV2IX0ucdgJ4Jm0sbziiRbPbpl/QkUwK5cMaLPhtFzg==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1653893082</vt:lpwstr>
  </property>
</Properties>
</file>