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C819B" w14:textId="77777777" w:rsidR="001F4D55" w:rsidRPr="00A15DA3" w:rsidRDefault="0026544B">
      <w:pPr>
        <w:pStyle w:val="ab"/>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ab"/>
        <w:tabs>
          <w:tab w:val="right" w:pos="9498"/>
        </w:tabs>
        <w:rPr>
          <w:rFonts w:cs="Arial"/>
          <w:bCs/>
          <w:sz w:val="22"/>
        </w:rPr>
      </w:pPr>
      <w:r>
        <w:rPr>
          <w:rFonts w:cs="Arial"/>
          <w:bCs/>
          <w:sz w:val="22"/>
        </w:rPr>
        <w:t>e-Meeting, May 9th – 20th, 2022</w:t>
      </w:r>
    </w:p>
    <w:p w14:paraId="05AFAAEB" w14:textId="77777777" w:rsidR="001F4D55" w:rsidRDefault="001F4D55">
      <w:pPr>
        <w:pStyle w:val="ab"/>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ab"/>
        <w:tabs>
          <w:tab w:val="right" w:pos="9639"/>
        </w:tabs>
        <w:rPr>
          <w:rFonts w:cs="Arial"/>
          <w:bCs/>
          <w:sz w:val="22"/>
        </w:rPr>
      </w:pPr>
    </w:p>
    <w:p w14:paraId="47DAFE1F" w14:textId="77777777" w:rsidR="001F4D55" w:rsidRDefault="0026544B">
      <w:pPr>
        <w:pStyle w:val="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‘Inbox/drafts/9.3/draftSkeleton’).</w:t>
      </w:r>
    </w:p>
    <w:p w14:paraId="139454F7" w14:textId="72B248D7" w:rsidR="001F4D55" w:rsidRDefault="0026544B">
      <w:pPr>
        <w:pStyle w:val="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ae"/>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ae"/>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ae"/>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lastRenderedPageBreak/>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lastRenderedPageBreak/>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af"/>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w:t>
            </w:r>
            <w:r>
              <w:lastRenderedPageBreak/>
              <w:t xml:space="preserve">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ac"/>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lastRenderedPageBreak/>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lastRenderedPageBreak/>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3F8E08DA" w:rsidR="007432F5" w:rsidRDefault="00F83AAF" w:rsidP="007432F5">
            <w:pPr>
              <w:rPr>
                <w:lang w:eastAsia="zh-CN"/>
              </w:rPr>
            </w:pPr>
            <w:r w:rsidRPr="00CD7ABB">
              <w:rPr>
                <w:rFonts w:hint="eastAsia"/>
                <w:highlight w:val="yellow"/>
              </w:rPr>
              <w:lastRenderedPageBreak/>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lastRenderedPageBreak/>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af"/>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af"/>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af"/>
              <w:ind w:left="360"/>
            </w:pPr>
          </w:p>
          <w:p w14:paraId="2903FA72" w14:textId="77777777" w:rsidR="003959B3" w:rsidRDefault="003959B3" w:rsidP="003959B3">
            <w:pPr>
              <w:pStyle w:val="af"/>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af"/>
            </w:pPr>
          </w:p>
          <w:p w14:paraId="0D16AF56" w14:textId="77777777" w:rsidR="003959B3" w:rsidRDefault="003959B3" w:rsidP="003959B3">
            <w:pPr>
              <w:pStyle w:val="af"/>
              <w:numPr>
                <w:ilvl w:val="0"/>
                <w:numId w:val="6"/>
              </w:numPr>
            </w:pPr>
            <w:r>
              <w:t xml:space="preserve">Impact to legacy operation: The impact to legacy operation has two parts: </w:t>
            </w:r>
          </w:p>
          <w:p w14:paraId="3A512D8A" w14:textId="77777777" w:rsidR="003959B3" w:rsidRDefault="003959B3" w:rsidP="003959B3">
            <w:pPr>
              <w:pStyle w:val="af"/>
            </w:pPr>
          </w:p>
          <w:p w14:paraId="574CE2EB" w14:textId="77777777" w:rsidR="003959B3" w:rsidRDefault="003959B3" w:rsidP="003959B3">
            <w:pPr>
              <w:pStyle w:val="af"/>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lastRenderedPageBreak/>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af"/>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af"/>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af"/>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af"/>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lastRenderedPageBreak/>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lastRenderedPageBreak/>
              <w:t>InterDigital</w:t>
            </w:r>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lastRenderedPageBreak/>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lastRenderedPageBreak/>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For LLS, we don’t think RAN1 needs to reinvent the wheel. For any channel (PUSCH as an example), the required SINR to achieve a given BLER for a given code rate (which depends on data rate) is independent of what we discuss here. RAN1 can use the existing “required SINR”s from R17 CovEnh analysis, and Of course “link budget” numbers (not LLS) shall be updated based on self-interference at gNB,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Agree with Huawei and Xiaomi on highlighting the importance of the self-interference component (intra gNB CLI) on SBFD. Therefore, we suggest having a separate sub-section under Section 6 for the gNB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lastRenderedPageBreak/>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lastRenderedPageBreak/>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af"/>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af"/>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af"/>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af"/>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gNB-gNB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af"/>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af"/>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1"/>
      </w:pPr>
      <w:r>
        <w:t>4</w:t>
      </w:r>
      <w:r>
        <w:tab/>
        <w:t>2</w:t>
      </w:r>
      <w:r w:rsidRPr="00AC213B">
        <w:rPr>
          <w:vertAlign w:val="superscript"/>
        </w:rPr>
        <w:t>nd</w:t>
      </w:r>
      <w:r>
        <w:t xml:space="preserve"> Round Discussion</w:t>
      </w:r>
    </w:p>
    <w:p w14:paraId="0EE90F77" w14:textId="5CD08A29" w:rsidR="009A4D96" w:rsidRPr="00FB7032" w:rsidRDefault="009A4D96" w:rsidP="009A4D96">
      <w:pPr>
        <w:pStyle w:val="af"/>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ae"/>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lastRenderedPageBreak/>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15CA772B" w:rsidR="009A4D96" w:rsidRDefault="00C71A60" w:rsidP="000203E7">
            <w:r>
              <w:t>QC</w:t>
            </w:r>
          </w:p>
        </w:tc>
        <w:tc>
          <w:tcPr>
            <w:tcW w:w="8443" w:type="dxa"/>
          </w:tcPr>
          <w:p w14:paraId="263CFD74" w14:textId="3980011D" w:rsidR="00C62BCB" w:rsidRDefault="00C71A60" w:rsidP="00C14CBC">
            <w:pPr>
              <w:pStyle w:val="af"/>
              <w:numPr>
                <w:ilvl w:val="0"/>
                <w:numId w:val="10"/>
              </w:numPr>
            </w:pPr>
            <w:r>
              <w:t xml:space="preserve">Link-budget analysis </w:t>
            </w:r>
            <w:r w:rsidR="001377C7">
              <w:t>is an essential tool/methology that should</w:t>
            </w:r>
            <w:r>
              <w:t xml:space="preserve"> be used to verify </w:t>
            </w:r>
            <w:r w:rsidR="001377C7">
              <w:t xml:space="preserve">SBFD </w:t>
            </w:r>
            <w:r>
              <w:t xml:space="preserve">feasibility </w:t>
            </w:r>
            <w:r w:rsidR="00803B47">
              <w:t xml:space="preserve">of </w:t>
            </w:r>
            <w:r w:rsidR="00851519">
              <w:t>in terms of</w:t>
            </w:r>
            <w:r w:rsidR="00803B47">
              <w:t xml:space="preserve"> </w:t>
            </w:r>
            <w:r>
              <w:t xml:space="preserve">receiver blocking and sensitivity considering self-interference, clutter and cross-link interference. One example for SBFD feasibility </w:t>
            </w:r>
            <w:r w:rsidR="00803B47">
              <w:t xml:space="preserve">is linkbudget of </w:t>
            </w:r>
            <w:r>
              <w:t xml:space="preserve">self-interference </w:t>
            </w:r>
            <w:r w:rsidR="00803B47">
              <w:t>mitigation which is</w:t>
            </w:r>
            <w:r>
              <w:t xml:space="preserve"> captured in section 2.2 in our tdoc </w:t>
            </w:r>
            <w:r w:rsidRPr="00C71A60">
              <w:t>R1-220503</w:t>
            </w:r>
            <w:r>
              <w:t xml:space="preserve">1. Another link budget example for potential enhancement on dynamic TDD using SBHD is discussed in section 4.1 in our tdoc </w:t>
            </w:r>
            <w:r w:rsidRPr="00C71A60">
              <w:t>R1-2205032</w:t>
            </w:r>
            <w:r w:rsidR="00861550">
              <w:t>.</w:t>
            </w:r>
            <w:r w:rsidR="00803B47">
              <w:t xml:space="preserve"> </w:t>
            </w:r>
            <w:r w:rsidR="00C62BCB">
              <w:t xml:space="preserve">In summary, </w:t>
            </w:r>
            <w:r w:rsidR="00803B47">
              <w:t>Linkbudget is a tool for evaluating the feasiblity.</w:t>
            </w:r>
          </w:p>
          <w:p w14:paraId="69BAD583" w14:textId="7A4CF62B" w:rsidR="00C62BCB" w:rsidRDefault="001377C7" w:rsidP="001377C7">
            <w:pPr>
              <w:pStyle w:val="af"/>
              <w:numPr>
                <w:ilvl w:val="0"/>
                <w:numId w:val="10"/>
              </w:numPr>
            </w:pPr>
            <w:r>
              <w:t xml:space="preserve">In the current updated skeltonn, </w:t>
            </w:r>
            <w:r w:rsidR="00C62BCB">
              <w:t>Linkbudget</w:t>
            </w:r>
            <w:r w:rsidR="00803B47">
              <w:t xml:space="preserve"> is captured at section 7.2 and 9.2 as evalaution methodlogy</w:t>
            </w:r>
            <w:r w:rsidR="00C62BCB">
              <w:t xml:space="preserve">. However, it is not clear to us whether Linkbudget refers to UL coverag link-budget or Interference link-budget. </w:t>
            </w:r>
          </w:p>
          <w:p w14:paraId="62D4E442" w14:textId="1B3A09E2" w:rsidR="00C71A60" w:rsidRDefault="0085170E" w:rsidP="00C14CBC">
            <w:pPr>
              <w:pStyle w:val="af"/>
              <w:numPr>
                <w:ilvl w:val="0"/>
                <w:numId w:val="10"/>
              </w:numPr>
            </w:pPr>
            <w:r>
              <w:t xml:space="preserve">Another issue is </w:t>
            </w:r>
            <w:r w:rsidR="00C14CBC">
              <w:t xml:space="preserve">to study </w:t>
            </w:r>
            <w:r>
              <w:t xml:space="preserve">the feasiblity </w:t>
            </w:r>
            <w:r w:rsidR="00C71A60">
              <w:t>of</w:t>
            </w:r>
            <w:r>
              <w:t xml:space="preserve"> SBFD gNB for serving</w:t>
            </w:r>
            <w:r w:rsidR="00C71A60">
              <w:t xml:space="preserve"> legacy UE</w:t>
            </w:r>
            <w:r>
              <w:t xml:space="preserve"> in tranpsarent manner w/o any impact</w:t>
            </w:r>
            <w:r w:rsidR="00803B47">
              <w:t xml:space="preserve"> on scheduling or performance. </w:t>
            </w:r>
            <w:r>
              <w:t xml:space="preserve"> </w:t>
            </w:r>
            <w:r w:rsidR="00C14CBC">
              <w:t xml:space="preserve">Then, we are wondering under which sections (e.g. under section 6.1 on SBFD schemes or section 7.3 on feasbility evaluation) this discussion should be captured. </w:t>
            </w:r>
          </w:p>
          <w:p w14:paraId="652AB14D" w14:textId="3387264B" w:rsidR="0085170E" w:rsidRDefault="0085170E" w:rsidP="0085170E">
            <w:pPr>
              <w:pStyle w:val="af"/>
              <w:ind w:left="420"/>
            </w:pPr>
          </w:p>
        </w:tc>
      </w:tr>
      <w:tr w:rsidR="00F87196" w14:paraId="2D38FBE7" w14:textId="77777777" w:rsidTr="000203E7">
        <w:tc>
          <w:tcPr>
            <w:tcW w:w="1188" w:type="dxa"/>
          </w:tcPr>
          <w:p w14:paraId="1824BC9C" w14:textId="700C9039" w:rsidR="00F87196" w:rsidRDefault="00F87196" w:rsidP="00F87196">
            <w:r>
              <w:t>Ericsson</w:t>
            </w:r>
          </w:p>
        </w:tc>
        <w:tc>
          <w:tcPr>
            <w:tcW w:w="8443" w:type="dxa"/>
          </w:tcPr>
          <w:p w14:paraId="2D05D55E" w14:textId="77777777" w:rsidR="00F87196" w:rsidRDefault="00F87196" w:rsidP="00F87196">
            <w:r>
              <w:t>Contrary to my comments in the GTW, I now see the rationale for having a section on feasibility due to the specific objective in the SID that refers to feasibility evaluation:</w:t>
            </w:r>
          </w:p>
          <w:p w14:paraId="53D737F6" w14:textId="77777777" w:rsidR="00F87196" w:rsidRPr="00711D31" w:rsidRDefault="00F87196" w:rsidP="00F87196">
            <w:pPr>
              <w:numPr>
                <w:ilvl w:val="0"/>
                <w:numId w:val="2"/>
              </w:numPr>
              <w:overflowPunct w:val="0"/>
              <w:autoSpaceDE w:val="0"/>
              <w:autoSpaceDN w:val="0"/>
              <w:adjustRightInd w:val="0"/>
              <w:contextualSpacing/>
              <w:jc w:val="both"/>
              <w:textAlignment w:val="baseline"/>
              <w:rPr>
                <w:rFonts w:eastAsia="Malgun Gothic"/>
                <w:bCs/>
                <w:i/>
                <w:iCs/>
                <w:lang w:eastAsia="ko-KR"/>
              </w:rPr>
            </w:pPr>
            <w:r w:rsidRPr="00711D31">
              <w:rPr>
                <w:rFonts w:eastAsia="Malgun Gothic"/>
                <w:bCs/>
                <w:i/>
                <w:iCs/>
                <w:lang w:eastAsia="ko-KR"/>
              </w:rPr>
              <w:t xml:space="preserve">Identify possible schemes and </w:t>
            </w:r>
            <w:r w:rsidRPr="00711D31">
              <w:rPr>
                <w:rFonts w:eastAsia="Malgun Gothic"/>
                <w:bCs/>
                <w:i/>
                <w:iCs/>
                <w:highlight w:val="yellow"/>
                <w:lang w:eastAsia="ko-KR"/>
              </w:rPr>
              <w:t>evaluate their feasibility</w:t>
            </w:r>
            <w:r w:rsidRPr="00711D31">
              <w:rPr>
                <w:rFonts w:eastAsia="Malgun Gothic"/>
                <w:bCs/>
                <w:i/>
                <w:iCs/>
                <w:lang w:eastAsia="ko-KR"/>
              </w:rPr>
              <w:t xml:space="preserve"> and performances (RAN1).</w:t>
            </w:r>
          </w:p>
          <w:p w14:paraId="028AB6C8" w14:textId="77777777" w:rsidR="00F87196" w:rsidRDefault="00F87196" w:rsidP="00F87196"/>
          <w:p w14:paraId="54647713" w14:textId="1E92C50A" w:rsidR="00F87196" w:rsidRDefault="00F87196" w:rsidP="00F87196">
            <w:r>
              <w:t>It may not be necessary to decide now exactly what goes into this section. It will become more clear as the SI progresses.</w:t>
            </w:r>
          </w:p>
        </w:tc>
      </w:tr>
      <w:tr w:rsidR="00F87196" w14:paraId="7CF786C8" w14:textId="77777777" w:rsidTr="000203E7">
        <w:tc>
          <w:tcPr>
            <w:tcW w:w="1188" w:type="dxa"/>
          </w:tcPr>
          <w:p w14:paraId="7E24AB40" w14:textId="28D264F6" w:rsidR="00F87196" w:rsidRDefault="00F87196" w:rsidP="00F87196"/>
        </w:tc>
        <w:tc>
          <w:tcPr>
            <w:tcW w:w="8443" w:type="dxa"/>
          </w:tcPr>
          <w:p w14:paraId="5FCAAA63" w14:textId="77777777" w:rsidR="00F87196" w:rsidRDefault="00F87196" w:rsidP="00F87196"/>
        </w:tc>
      </w:tr>
      <w:tr w:rsidR="00F87196" w14:paraId="2832DD24" w14:textId="77777777" w:rsidTr="000203E7">
        <w:tc>
          <w:tcPr>
            <w:tcW w:w="1188" w:type="dxa"/>
          </w:tcPr>
          <w:p w14:paraId="3EFA994C" w14:textId="77777777" w:rsidR="00F87196" w:rsidRDefault="00F87196" w:rsidP="00F87196"/>
        </w:tc>
        <w:tc>
          <w:tcPr>
            <w:tcW w:w="8443" w:type="dxa"/>
          </w:tcPr>
          <w:p w14:paraId="2ED7CF27" w14:textId="77777777" w:rsidR="00F87196" w:rsidRDefault="00F87196" w:rsidP="00F87196"/>
        </w:tc>
      </w:tr>
      <w:tr w:rsidR="00F87196" w14:paraId="606E5F59" w14:textId="77777777" w:rsidTr="000203E7">
        <w:tc>
          <w:tcPr>
            <w:tcW w:w="1188" w:type="dxa"/>
          </w:tcPr>
          <w:p w14:paraId="425A7CFA" w14:textId="77777777" w:rsidR="00F87196" w:rsidRDefault="00F87196" w:rsidP="00F87196"/>
        </w:tc>
        <w:tc>
          <w:tcPr>
            <w:tcW w:w="8443" w:type="dxa"/>
          </w:tcPr>
          <w:p w14:paraId="247966ED" w14:textId="77777777" w:rsidR="00F87196" w:rsidRDefault="00F87196" w:rsidP="00F87196"/>
        </w:tc>
      </w:tr>
      <w:tr w:rsidR="00F87196" w14:paraId="0964353A" w14:textId="77777777" w:rsidTr="000203E7">
        <w:tc>
          <w:tcPr>
            <w:tcW w:w="1188" w:type="dxa"/>
          </w:tcPr>
          <w:p w14:paraId="054CBD97" w14:textId="77777777" w:rsidR="00F87196" w:rsidRDefault="00F87196" w:rsidP="00F87196"/>
        </w:tc>
        <w:tc>
          <w:tcPr>
            <w:tcW w:w="8443" w:type="dxa"/>
          </w:tcPr>
          <w:p w14:paraId="6C11FEAD" w14:textId="77777777" w:rsidR="00F87196" w:rsidRDefault="00F87196" w:rsidP="00F87196"/>
        </w:tc>
      </w:tr>
      <w:tr w:rsidR="00F87196" w14:paraId="5C6078BC" w14:textId="77777777" w:rsidTr="000203E7">
        <w:tc>
          <w:tcPr>
            <w:tcW w:w="1188" w:type="dxa"/>
          </w:tcPr>
          <w:p w14:paraId="645AA7A4" w14:textId="77777777" w:rsidR="00F87196" w:rsidRDefault="00F87196" w:rsidP="00F87196"/>
        </w:tc>
        <w:tc>
          <w:tcPr>
            <w:tcW w:w="8443" w:type="dxa"/>
          </w:tcPr>
          <w:p w14:paraId="04DE39EA" w14:textId="77777777" w:rsidR="00F87196" w:rsidRDefault="00F87196" w:rsidP="00F87196"/>
        </w:tc>
      </w:tr>
    </w:tbl>
    <w:p w14:paraId="4C1254A0" w14:textId="77777777" w:rsidR="009F114A" w:rsidRDefault="009F114A" w:rsidP="00842688"/>
    <w:p w14:paraId="6CD283B8" w14:textId="2F6F30CA" w:rsidR="00842688" w:rsidRPr="00FB7032" w:rsidRDefault="009A4D96" w:rsidP="00842688">
      <w:pPr>
        <w:pStyle w:val="af"/>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ae"/>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7B74AA90" w:rsidR="00295B6D" w:rsidRDefault="001777A9" w:rsidP="000203E7">
            <w:pPr>
              <w:rPr>
                <w:lang w:eastAsia="zh-CN"/>
              </w:rPr>
            </w:pPr>
            <w:r>
              <w:rPr>
                <w:rFonts w:hint="eastAsia"/>
                <w:lang w:eastAsia="zh-CN"/>
              </w:rPr>
              <w:t>S</w:t>
            </w:r>
            <w:r>
              <w:rPr>
                <w:lang w:eastAsia="zh-CN"/>
              </w:rPr>
              <w:t>preadtrum</w:t>
            </w:r>
          </w:p>
        </w:tc>
        <w:tc>
          <w:tcPr>
            <w:tcW w:w="8443" w:type="dxa"/>
          </w:tcPr>
          <w:p w14:paraId="1607C2A1" w14:textId="7E849A8B" w:rsidR="00295B6D" w:rsidRPr="001777A9" w:rsidRDefault="001777A9" w:rsidP="000203E7">
            <w:pPr>
              <w:rPr>
                <w:lang w:val="en-US" w:eastAsia="zh-CN"/>
              </w:rPr>
            </w:pPr>
            <w:r>
              <w:rPr>
                <w:b/>
                <w:bCs/>
                <w:u w:val="single"/>
              </w:rPr>
              <w:t>Comment #1</w:t>
            </w:r>
            <w:r>
              <w:t xml:space="preserve">: A new subsection 6.2 Self-interference handling schemes is added. We think SI handling schemes are only considered at gNB side in R18. So we suggest adding </w:t>
            </w:r>
            <w:r>
              <w:rPr>
                <w:i/>
                <w:iCs/>
              </w:rPr>
              <w:t>“gNB”</w:t>
            </w:r>
            <w:r>
              <w:t xml:space="preserve"> to the title as </w:t>
            </w:r>
            <w:r>
              <w:rPr>
                <w:i/>
                <w:iCs/>
              </w:rPr>
              <w:t>“</w:t>
            </w:r>
            <w:r>
              <w:rPr>
                <w:i/>
                <w:iCs/>
                <w:color w:val="FF0000"/>
              </w:rPr>
              <w:t>gNB</w:t>
            </w:r>
            <w:r>
              <w:rPr>
                <w:i/>
                <w:iCs/>
              </w:rPr>
              <w:t xml:space="preserve"> Self-interference handling schemes” </w:t>
            </w:r>
            <w:r>
              <w:t>to make it clearer.</w:t>
            </w:r>
          </w:p>
        </w:tc>
      </w:tr>
      <w:tr w:rsidR="00262BA4" w14:paraId="279A44D8" w14:textId="77777777" w:rsidTr="000203E7">
        <w:tc>
          <w:tcPr>
            <w:tcW w:w="1188" w:type="dxa"/>
          </w:tcPr>
          <w:p w14:paraId="3983562E" w14:textId="033FE3FC" w:rsidR="00262BA4" w:rsidRDefault="0085170E" w:rsidP="000203E7">
            <w:r>
              <w:t>QC</w:t>
            </w:r>
          </w:p>
        </w:tc>
        <w:tc>
          <w:tcPr>
            <w:tcW w:w="8443" w:type="dxa"/>
          </w:tcPr>
          <w:p w14:paraId="6443F942" w14:textId="77777777" w:rsidR="00851519" w:rsidRDefault="0085170E" w:rsidP="000203E7">
            <w:r>
              <w:t>First, thanks a lot for the efforts to capture the comments from all companies into the updated TR Skelton!</w:t>
            </w:r>
            <w:r w:rsidR="00861550">
              <w:t xml:space="preserve"> </w:t>
            </w:r>
          </w:p>
          <w:p w14:paraId="0D16F229" w14:textId="60958CB6" w:rsidR="0085170E" w:rsidRDefault="0085170E" w:rsidP="000203E7">
            <w:r>
              <w:t>We have two extra comments:</w:t>
            </w:r>
          </w:p>
          <w:p w14:paraId="33699307" w14:textId="333B17FA" w:rsidR="00861550" w:rsidRDefault="00861550" w:rsidP="000203E7">
            <w:pPr>
              <w:rPr>
                <w:b/>
                <w:bCs/>
                <w:u w:val="single"/>
              </w:rPr>
            </w:pPr>
            <w:r>
              <w:rPr>
                <w:b/>
                <w:bCs/>
                <w:u w:val="single"/>
              </w:rPr>
              <w:t xml:space="preserve">Comment #1 </w:t>
            </w:r>
            <w:r w:rsidRPr="00861550">
              <w:t>We think that section 7.2 and section 9.2 could have sub-section for FR1 and FR2</w:t>
            </w:r>
            <w:r w:rsidR="00851519">
              <w:t xml:space="preserve"> as the configuration of the system level assumptions are unique for FR1 and FR2.</w:t>
            </w:r>
          </w:p>
          <w:p w14:paraId="46B1D8FA" w14:textId="76742908" w:rsidR="00732117" w:rsidRDefault="00861550" w:rsidP="00803B47">
            <w:pPr>
              <w:pStyle w:val="ad"/>
              <w:spacing w:before="0" w:beforeAutospacing="0" w:after="0" w:afterAutospacing="0"/>
              <w:rPr>
                <w:sz w:val="20"/>
                <w:szCs w:val="20"/>
                <w:lang w:eastAsia="en-US"/>
              </w:rPr>
            </w:pPr>
            <w:r w:rsidRPr="00851519">
              <w:rPr>
                <w:b/>
                <w:bCs/>
                <w:sz w:val="20"/>
                <w:szCs w:val="20"/>
                <w:u w:val="single"/>
                <w:lang w:eastAsia="en-US"/>
              </w:rPr>
              <w:t>Comment #</w:t>
            </w:r>
            <w:r w:rsidR="00851519" w:rsidRPr="00851519">
              <w:rPr>
                <w:b/>
                <w:bCs/>
                <w:sz w:val="20"/>
                <w:szCs w:val="20"/>
                <w:u w:val="single"/>
                <w:lang w:eastAsia="en-US"/>
              </w:rPr>
              <w:t>2</w:t>
            </w:r>
            <w:r w:rsidR="00851519" w:rsidRPr="00851519">
              <w:t xml:space="preserve"> </w:t>
            </w:r>
            <w:r w:rsidR="00851519" w:rsidRPr="00851519">
              <w:rPr>
                <w:sz w:val="20"/>
                <w:szCs w:val="20"/>
                <w:lang w:eastAsia="en-US"/>
              </w:rPr>
              <w:t xml:space="preserve">Update </w:t>
            </w:r>
            <w:r w:rsidR="00803B47" w:rsidRPr="00803B47">
              <w:rPr>
                <w:sz w:val="20"/>
                <w:szCs w:val="20"/>
                <w:lang w:eastAsia="en-US"/>
              </w:rPr>
              <w:t>editor's</w:t>
            </w:r>
            <w:r w:rsidR="00C14CBC">
              <w:rPr>
                <w:sz w:val="20"/>
                <w:szCs w:val="20"/>
                <w:lang w:eastAsia="en-US"/>
              </w:rPr>
              <w:t xml:space="preserve"> note</w:t>
            </w:r>
            <w:r w:rsidR="00803B47" w:rsidRPr="00803B47">
              <w:rPr>
                <w:sz w:val="20"/>
                <w:szCs w:val="20"/>
                <w:lang w:eastAsia="en-US"/>
              </w:rPr>
              <w:t xml:space="preserve"> </w:t>
            </w:r>
            <w:r w:rsidR="00851519">
              <w:rPr>
                <w:sz w:val="20"/>
                <w:szCs w:val="20"/>
                <w:lang w:eastAsia="en-US"/>
              </w:rPr>
              <w:t xml:space="preserve">in section </w:t>
            </w:r>
            <w:r w:rsidR="00803B47" w:rsidRPr="00803B47">
              <w:rPr>
                <w:sz w:val="20"/>
                <w:szCs w:val="20"/>
                <w:lang w:eastAsia="en-US"/>
              </w:rPr>
              <w:t>7.2 and 9.2</w:t>
            </w:r>
            <w:r w:rsidR="00851519">
              <w:rPr>
                <w:sz w:val="20"/>
                <w:szCs w:val="20"/>
                <w:lang w:eastAsia="en-US"/>
              </w:rPr>
              <w:t xml:space="preserve"> to reference Annex A for</w:t>
            </w:r>
            <w:r w:rsidR="00732117">
              <w:rPr>
                <w:sz w:val="20"/>
                <w:szCs w:val="20"/>
                <w:lang w:eastAsia="en-US"/>
              </w:rPr>
              <w:t xml:space="preserve"> interference and channel modelling.</w:t>
            </w:r>
          </w:p>
          <w:p w14:paraId="6DB643C9" w14:textId="4B2BC081" w:rsidR="00732117" w:rsidRPr="00732117" w:rsidRDefault="00732117" w:rsidP="00732117">
            <w:pPr>
              <w:pStyle w:val="ad"/>
              <w:numPr>
                <w:ilvl w:val="0"/>
                <w:numId w:val="12"/>
              </w:numPr>
              <w:spacing w:before="0" w:beforeAutospacing="0" w:after="0" w:afterAutospacing="0"/>
              <w:rPr>
                <w:rFonts w:ascii="Segoe UI" w:eastAsia="Times New Roman" w:hAnsi="Segoe UI" w:cs="Segoe UI"/>
                <w:sz w:val="21"/>
                <w:szCs w:val="21"/>
                <w:lang w:val="en-US"/>
              </w:rPr>
            </w:pPr>
            <w:r>
              <w:rPr>
                <w:sz w:val="20"/>
                <w:szCs w:val="20"/>
                <w:lang w:eastAsia="en-US"/>
              </w:rPr>
              <w:t>S</w:t>
            </w:r>
            <w:r w:rsidR="00C14CBC">
              <w:rPr>
                <w:sz w:val="20"/>
                <w:szCs w:val="20"/>
                <w:lang w:eastAsia="en-US"/>
              </w:rPr>
              <w:t>elf-interference</w:t>
            </w:r>
            <w:r>
              <w:rPr>
                <w:sz w:val="20"/>
                <w:szCs w:val="20"/>
                <w:lang w:eastAsia="en-US"/>
              </w:rPr>
              <w:t xml:space="preserve"> (intra-sector and inter-sector) modelling for direct leakage and clutter.</w:t>
            </w:r>
          </w:p>
          <w:p w14:paraId="7E8DF91A" w14:textId="3FBF4E1D" w:rsidR="0085170E" w:rsidRPr="00732117" w:rsidRDefault="00732117" w:rsidP="00732117">
            <w:pPr>
              <w:pStyle w:val="ad"/>
              <w:numPr>
                <w:ilvl w:val="0"/>
                <w:numId w:val="12"/>
              </w:numPr>
              <w:spacing w:before="0" w:beforeAutospacing="0" w:after="0" w:afterAutospacing="0"/>
              <w:rPr>
                <w:rFonts w:ascii="Segoe UI" w:eastAsia="Times New Roman" w:hAnsi="Segoe UI" w:cs="Segoe UI"/>
                <w:sz w:val="21"/>
                <w:szCs w:val="21"/>
                <w:lang w:val="en-US"/>
              </w:rPr>
            </w:pPr>
            <w:r w:rsidRPr="00732117">
              <w:rPr>
                <w:sz w:val="20"/>
                <w:szCs w:val="20"/>
                <w:lang w:eastAsia="en-US"/>
              </w:rPr>
              <w:t>Co-channel</w:t>
            </w:r>
            <w:r w:rsidR="00C14CBC" w:rsidRPr="00732117">
              <w:rPr>
                <w:sz w:val="20"/>
                <w:szCs w:val="20"/>
                <w:lang w:eastAsia="en-US"/>
              </w:rPr>
              <w:t xml:space="preserve"> </w:t>
            </w:r>
            <w:r w:rsidR="00851519" w:rsidRPr="00732117">
              <w:rPr>
                <w:sz w:val="20"/>
                <w:szCs w:val="20"/>
                <w:lang w:eastAsia="en-US"/>
              </w:rPr>
              <w:t>BS-BS channel model</w:t>
            </w:r>
            <w:r w:rsidR="00C14CBC" w:rsidRPr="00732117">
              <w:rPr>
                <w:sz w:val="20"/>
                <w:szCs w:val="20"/>
                <w:lang w:eastAsia="en-US"/>
              </w:rPr>
              <w:t xml:space="preserve"> and</w:t>
            </w:r>
            <w:r w:rsidR="00851519" w:rsidRPr="00732117">
              <w:rPr>
                <w:sz w:val="20"/>
                <w:szCs w:val="20"/>
                <w:lang w:eastAsia="en-US"/>
              </w:rPr>
              <w:t xml:space="preserve"> UE-UE channel model </w:t>
            </w:r>
            <w:r w:rsidR="00C14CBC" w:rsidRPr="00732117">
              <w:rPr>
                <w:sz w:val="20"/>
                <w:szCs w:val="20"/>
                <w:lang w:eastAsia="en-US"/>
              </w:rPr>
              <w:t xml:space="preserve">including the inter-SB </w:t>
            </w:r>
            <w:r w:rsidR="00851519" w:rsidRPr="00732117">
              <w:rPr>
                <w:sz w:val="20"/>
                <w:szCs w:val="20"/>
                <w:lang w:eastAsia="en-US"/>
              </w:rPr>
              <w:t>interference</w:t>
            </w:r>
            <w:r w:rsidR="00C14CBC" w:rsidRPr="00732117">
              <w:rPr>
                <w:sz w:val="20"/>
                <w:szCs w:val="20"/>
                <w:lang w:eastAsia="en-US"/>
              </w:rPr>
              <w:t xml:space="preserve"> modelling</w:t>
            </w:r>
            <w:r w:rsidR="00851519" w:rsidRPr="00732117">
              <w:rPr>
                <w:sz w:val="20"/>
                <w:szCs w:val="20"/>
                <w:lang w:eastAsia="en-US"/>
              </w:rPr>
              <w:t>.</w:t>
            </w:r>
          </w:p>
        </w:tc>
      </w:tr>
      <w:tr w:rsidR="00F87196" w14:paraId="6C949D30" w14:textId="77777777" w:rsidTr="000203E7">
        <w:tc>
          <w:tcPr>
            <w:tcW w:w="1188" w:type="dxa"/>
          </w:tcPr>
          <w:p w14:paraId="378C9FE0" w14:textId="577E16A3" w:rsidR="00F87196" w:rsidRDefault="00F87196" w:rsidP="00F87196">
            <w:r>
              <w:t>Ericsson</w:t>
            </w:r>
          </w:p>
        </w:tc>
        <w:tc>
          <w:tcPr>
            <w:tcW w:w="8443" w:type="dxa"/>
          </w:tcPr>
          <w:p w14:paraId="1B374462" w14:textId="77777777" w:rsidR="00F87196" w:rsidRDefault="00F87196" w:rsidP="00F87196">
            <w:r>
              <w:t xml:space="preserve">Since Sections 6.3 and 8.2 (gNB-gNB and UE-UE CLI handling) are applicable also in the context of  SBFD coexistence with legacy (static TDD) and dynamic TDD coexistence with legacy (static TDD), </w:t>
            </w:r>
            <w:r>
              <w:lastRenderedPageBreak/>
              <w:t>it is a bit confusing to mention inter- and intra-subband CLI, since there are no subbands in legacy (static TDD).</w:t>
            </w:r>
          </w:p>
          <w:p w14:paraId="32471CEC" w14:textId="77777777" w:rsidR="00F87196" w:rsidRDefault="00F87196" w:rsidP="00F87196">
            <w:r>
              <w:t>Suggest the following to keep it a bit more generic.</w:t>
            </w:r>
          </w:p>
          <w:p w14:paraId="6D2D61D9"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2" w:name="_Toc103163464"/>
            <w:r w:rsidRPr="00331DDD">
              <w:rPr>
                <w:rFonts w:ascii="Cambria" w:hAnsi="Cambria"/>
                <w:b/>
                <w:bCs/>
                <w:iCs/>
                <w:sz w:val="28"/>
                <w:szCs w:val="28"/>
                <w:lang w:eastAsia="ja-JP"/>
              </w:rPr>
              <w:t>6.3</w:t>
            </w:r>
            <w:r w:rsidRPr="00331DDD">
              <w:rPr>
                <w:rFonts w:ascii="Cambria" w:hAnsi="Cambria"/>
                <w:b/>
                <w:bCs/>
                <w:iCs/>
                <w:sz w:val="28"/>
                <w:szCs w:val="28"/>
                <w:lang w:eastAsia="ja-JP"/>
              </w:rPr>
              <w:tab/>
              <w:t>Inter-gNB and inter-UE CLI handling schemes</w:t>
            </w:r>
            <w:bookmarkEnd w:id="22"/>
          </w:p>
          <w:p w14:paraId="010FB30E" w14:textId="77777777" w:rsidR="00F87196" w:rsidRPr="00331DDD" w:rsidRDefault="00F87196" w:rsidP="00F87196">
            <w:pPr>
              <w:jc w:val="both"/>
              <w:rPr>
                <w:rFonts w:eastAsia="等线"/>
                <w:i/>
                <w:color w:val="0000FF"/>
              </w:rPr>
            </w:pPr>
            <w:r w:rsidRPr="00331DDD">
              <w:rPr>
                <w:rFonts w:eastAsia="等线"/>
                <w:i/>
                <w:color w:val="0000FF"/>
              </w:rPr>
              <w:t>Editor’s note: This section captures the potential inter-gNB and inter-UE CLI handling schemes that are specific for SBFD</w:t>
            </w:r>
            <w:r w:rsidRPr="00331DDD">
              <w:rPr>
                <w:rFonts w:eastAsia="等线"/>
                <w:i/>
                <w:strike/>
                <w:color w:val="FF0000"/>
              </w:rPr>
              <w:t>, and the schemes that are common for both SBFD and dynamic/flexible TDD are captured in 8.2. Specifically, the inter-subband CLI handling schemes are captures in 6.3, and intra-subband CLI handling schemes are captured in section 8.2.</w:t>
            </w:r>
          </w:p>
          <w:p w14:paraId="5254BEE1"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3" w:name="_Toc103163478"/>
            <w:r w:rsidRPr="00331DDD">
              <w:rPr>
                <w:rFonts w:ascii="Cambria" w:hAnsi="Cambria"/>
                <w:b/>
                <w:bCs/>
                <w:iCs/>
                <w:sz w:val="28"/>
                <w:szCs w:val="28"/>
                <w:lang w:eastAsia="ja-JP"/>
              </w:rPr>
              <w:t>8.2</w:t>
            </w:r>
            <w:r w:rsidRPr="00331DDD">
              <w:rPr>
                <w:rFonts w:ascii="Cambria" w:hAnsi="Cambria"/>
                <w:b/>
                <w:bCs/>
                <w:iCs/>
                <w:sz w:val="28"/>
                <w:szCs w:val="28"/>
                <w:lang w:eastAsia="ja-JP"/>
              </w:rPr>
              <w:tab/>
              <w:t>Inter-gNB and inter-UE CLI handling schemes</w:t>
            </w:r>
            <w:bookmarkEnd w:id="23"/>
          </w:p>
          <w:p w14:paraId="5D4D082C" w14:textId="77777777" w:rsidR="00F87196" w:rsidRDefault="00F87196" w:rsidP="00F87196">
            <w:pPr>
              <w:rPr>
                <w:rFonts w:eastAsia="等线"/>
                <w:i/>
                <w:strike/>
                <w:color w:val="FF0000"/>
              </w:rPr>
            </w:pPr>
            <w:r w:rsidRPr="00331DDD">
              <w:rPr>
                <w:rFonts w:eastAsia="等线"/>
                <w:i/>
                <w:color w:val="0000FF"/>
              </w:rPr>
              <w:t xml:space="preserve">Editor’s note: This section </w:t>
            </w:r>
            <w:r w:rsidRPr="00331DDD">
              <w:rPr>
                <w:rFonts w:eastAsia="等线"/>
                <w:i/>
                <w:strike/>
                <w:color w:val="FF0000"/>
              </w:rPr>
              <w:t>only</w:t>
            </w:r>
            <w:r w:rsidRPr="00331DDD">
              <w:rPr>
                <w:rFonts w:eastAsia="等线"/>
                <w:i/>
                <w:color w:val="FF0000"/>
              </w:rPr>
              <w:t xml:space="preserve"> </w:t>
            </w:r>
            <w:r w:rsidRPr="00331DDD">
              <w:rPr>
                <w:rFonts w:eastAsia="等线"/>
                <w:i/>
                <w:color w:val="0000FF"/>
              </w:rPr>
              <w:t xml:space="preserve">captures the potential inter-gNB and inter-UE CLI handling schemes </w:t>
            </w:r>
            <w:r w:rsidRPr="00331DDD">
              <w:rPr>
                <w:rFonts w:eastAsia="等线"/>
                <w:i/>
                <w:strike/>
                <w:color w:val="FF0000"/>
              </w:rPr>
              <w:t>including schemes</w:t>
            </w:r>
            <w:r w:rsidRPr="00331DDD">
              <w:rPr>
                <w:rFonts w:eastAsia="等线"/>
                <w:i/>
                <w:color w:val="FF0000"/>
              </w:rPr>
              <w:t xml:space="preserve"> </w:t>
            </w:r>
            <w:r w:rsidRPr="00331DDD">
              <w:rPr>
                <w:rFonts w:eastAsia="等线"/>
                <w:i/>
                <w:color w:val="0000FF"/>
              </w:rPr>
              <w:t xml:space="preserve">that are specific for dynamic TDD and schemes that are common for both SBFD and dynamic/flexible TDD. </w:t>
            </w:r>
            <w:r w:rsidRPr="00331DDD">
              <w:rPr>
                <w:rFonts w:eastAsia="等线"/>
                <w:i/>
                <w:strike/>
                <w:color w:val="FF0000"/>
              </w:rPr>
              <w:t>Specifically, intra-subband CLI handling schemes are captured in section 8.2.</w:t>
            </w:r>
          </w:p>
          <w:p w14:paraId="704298D5" w14:textId="77777777" w:rsidR="00F87196" w:rsidRDefault="00F87196" w:rsidP="00F87196">
            <w:pPr>
              <w:rPr>
                <w:rFonts w:eastAsia="等线"/>
                <w:i/>
                <w:strike/>
                <w:color w:val="FF0000"/>
              </w:rPr>
            </w:pPr>
          </w:p>
          <w:p w14:paraId="28DE2094" w14:textId="11385979" w:rsidR="00F87196" w:rsidRPr="00F87196" w:rsidRDefault="00F87196" w:rsidP="00F87196">
            <w:r w:rsidRPr="00F87196">
              <w:t>Regarding</w:t>
            </w:r>
            <w:r>
              <w:t xml:space="preserve"> Qualcomm's Comment #2, we don't think BS-BS and UE-UE are limited to "co-channel" due to the need for adjacent channel coexistence evaluation. We agree that intra- and inter-sector interference need to be considered; however, we don't think classifying this as "self-interference" is correct since it is between different gNBs. Anyway, probably no need to update the editor's note now – the details will become clear as the SI progresses.</w:t>
            </w:r>
          </w:p>
        </w:tc>
      </w:tr>
      <w:tr w:rsidR="00F87196" w14:paraId="7059B86D" w14:textId="77777777" w:rsidTr="000203E7">
        <w:tc>
          <w:tcPr>
            <w:tcW w:w="1188" w:type="dxa"/>
          </w:tcPr>
          <w:p w14:paraId="4A4C58A7" w14:textId="42CF613E" w:rsidR="00F87196" w:rsidRDefault="0080469F" w:rsidP="00F87196">
            <w:r>
              <w:lastRenderedPageBreak/>
              <w:t>New H3C</w:t>
            </w:r>
          </w:p>
        </w:tc>
        <w:tc>
          <w:tcPr>
            <w:tcW w:w="8443" w:type="dxa"/>
          </w:tcPr>
          <w:p w14:paraId="5A5CF323" w14:textId="77777777" w:rsidR="00F87196" w:rsidRDefault="0080469F" w:rsidP="00F87196">
            <w:r>
              <w:t xml:space="preserve">Regarding section 6.2, it is better to modify title for “ Intra-gNB </w:t>
            </w:r>
            <w:r w:rsidRPr="0080469F">
              <w:t>Self-interference handling schemes</w:t>
            </w:r>
            <w:r>
              <w:t>”</w:t>
            </w:r>
          </w:p>
          <w:p w14:paraId="0213F31F" w14:textId="77777777" w:rsidR="000A34B2" w:rsidRDefault="000A34B2" w:rsidP="00F87196">
            <w:r>
              <w:t>due to only gNB with full duplex mode in Rel-18.</w:t>
            </w:r>
          </w:p>
          <w:p w14:paraId="6DF1CD31" w14:textId="348EE4B5" w:rsidR="000A34B2" w:rsidRDefault="000A34B2" w:rsidP="000A34B2">
            <w:r>
              <w:t>We are fine with Ericssion’s modification on section  6.3 and 8.2</w:t>
            </w:r>
            <w:bookmarkStart w:id="24" w:name="_GoBack"/>
            <w:bookmarkEnd w:id="24"/>
          </w:p>
        </w:tc>
      </w:tr>
      <w:tr w:rsidR="00F87196" w14:paraId="0EDFF822" w14:textId="77777777" w:rsidTr="000203E7">
        <w:tc>
          <w:tcPr>
            <w:tcW w:w="1188" w:type="dxa"/>
          </w:tcPr>
          <w:p w14:paraId="04EC7691" w14:textId="77777777" w:rsidR="00F87196" w:rsidRDefault="00F87196" w:rsidP="00F87196"/>
        </w:tc>
        <w:tc>
          <w:tcPr>
            <w:tcW w:w="8443" w:type="dxa"/>
          </w:tcPr>
          <w:p w14:paraId="7E8D5417" w14:textId="77777777" w:rsidR="00F87196" w:rsidRDefault="00F87196" w:rsidP="00F87196"/>
        </w:tc>
      </w:tr>
      <w:tr w:rsidR="00F87196" w14:paraId="5A48321D" w14:textId="77777777" w:rsidTr="000203E7">
        <w:tc>
          <w:tcPr>
            <w:tcW w:w="1188" w:type="dxa"/>
          </w:tcPr>
          <w:p w14:paraId="22AEB870" w14:textId="77777777" w:rsidR="00F87196" w:rsidRDefault="00F87196" w:rsidP="00F87196"/>
        </w:tc>
        <w:tc>
          <w:tcPr>
            <w:tcW w:w="8443" w:type="dxa"/>
          </w:tcPr>
          <w:p w14:paraId="23E66F4A" w14:textId="77777777" w:rsidR="00F87196" w:rsidRDefault="00F87196" w:rsidP="00F87196"/>
        </w:tc>
      </w:tr>
      <w:tr w:rsidR="00F87196" w14:paraId="3F1A9942" w14:textId="77777777" w:rsidTr="000203E7">
        <w:tc>
          <w:tcPr>
            <w:tcW w:w="1188" w:type="dxa"/>
          </w:tcPr>
          <w:p w14:paraId="51C14666" w14:textId="77777777" w:rsidR="00F87196" w:rsidRDefault="00F87196" w:rsidP="00F87196"/>
        </w:tc>
        <w:tc>
          <w:tcPr>
            <w:tcW w:w="8443" w:type="dxa"/>
          </w:tcPr>
          <w:p w14:paraId="7EB69FBA" w14:textId="77777777" w:rsidR="00F87196" w:rsidRDefault="00F87196" w:rsidP="00F87196"/>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1"/>
        <w:ind w:left="431" w:firstLine="0"/>
        <w:jc w:val="both"/>
        <w:rPr>
          <w:lang w:val="en-US"/>
        </w:rPr>
      </w:pPr>
      <w:r>
        <w:rPr>
          <w:lang w:val="en-US"/>
        </w:rPr>
        <w:t>References</w:t>
      </w:r>
      <w:bookmarkStart w:id="25" w:name="_Ref450735844"/>
      <w:bookmarkStart w:id="26" w:name="_Ref450342757"/>
      <w:bookmarkStart w:id="27" w:name="_Ref457730460"/>
    </w:p>
    <w:p w14:paraId="50AE54CE" w14:textId="77777777" w:rsidR="001F4D55" w:rsidRDefault="0026544B">
      <w:pPr>
        <w:pStyle w:val="af"/>
        <w:numPr>
          <w:ilvl w:val="0"/>
          <w:numId w:val="4"/>
        </w:numPr>
        <w:spacing w:after="0" w:line="240" w:lineRule="auto"/>
        <w:contextualSpacing w:val="0"/>
        <w:rPr>
          <w:lang w:eastAsia="ko-KR"/>
        </w:rPr>
      </w:pPr>
      <w:bookmarkStart w:id="28" w:name="_Ref102202366"/>
      <w:bookmarkEnd w:id="25"/>
      <w:bookmarkEnd w:id="26"/>
      <w:bookmarkEnd w:id="27"/>
      <w:r>
        <w:rPr>
          <w:lang w:eastAsia="ko-KR"/>
        </w:rPr>
        <w:t>RP-213591, New SI: Study on evolution of NR duplex operation, CMCC</w:t>
      </w:r>
      <w:bookmarkEnd w:id="28"/>
    </w:p>
    <w:p w14:paraId="4AF83602" w14:textId="77777777" w:rsidR="001F4D55" w:rsidRDefault="0026544B">
      <w:pPr>
        <w:pStyle w:val="af"/>
        <w:numPr>
          <w:ilvl w:val="0"/>
          <w:numId w:val="4"/>
        </w:numPr>
        <w:spacing w:after="0" w:line="240" w:lineRule="auto"/>
        <w:contextualSpacing w:val="0"/>
        <w:rPr>
          <w:lang w:eastAsia="ko-KR"/>
        </w:rPr>
      </w:pPr>
      <w:bookmarkStart w:id="29" w:name="_Ref102202373"/>
      <w:r>
        <w:rPr>
          <w:lang w:eastAsia="ko-KR"/>
        </w:rPr>
        <w:t>RP-220633, Revised SID: Study on evolution of NR duplex operation, CMCC</w:t>
      </w:r>
      <w:bookmarkEnd w:id="29"/>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0352D" w14:textId="77777777" w:rsidR="00A84E8D" w:rsidRDefault="00A84E8D">
      <w:pPr>
        <w:spacing w:after="0"/>
      </w:pPr>
      <w:r>
        <w:separator/>
      </w:r>
    </w:p>
  </w:endnote>
  <w:endnote w:type="continuationSeparator" w:id="0">
    <w:p w14:paraId="28D9D908" w14:textId="77777777" w:rsidR="00A84E8D" w:rsidRDefault="00A84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12995" w14:textId="77777777" w:rsidR="00A84E8D" w:rsidRDefault="00A84E8D">
      <w:pPr>
        <w:spacing w:after="0"/>
      </w:pPr>
      <w:r>
        <w:separator/>
      </w:r>
    </w:p>
  </w:footnote>
  <w:footnote w:type="continuationSeparator" w:id="0">
    <w:p w14:paraId="191AC921" w14:textId="77777777" w:rsidR="00A84E8D" w:rsidRDefault="00A84E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FDD68A3"/>
    <w:multiLevelType w:val="hybridMultilevel"/>
    <w:tmpl w:val="1406A78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98558B8"/>
    <w:multiLevelType w:val="hybridMultilevel"/>
    <w:tmpl w:val="212ACB9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6563FD1"/>
    <w:multiLevelType w:val="hybridMultilevel"/>
    <w:tmpl w:val="CD04AFC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5"/>
  </w:num>
  <w:num w:numId="7">
    <w:abstractNumId w:val="2"/>
  </w:num>
  <w:num w:numId="8">
    <w:abstractNumId w:val="7"/>
  </w:num>
  <w:num w:numId="9">
    <w:abstractNumId w:val="9"/>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34B2"/>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377C7"/>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777A9"/>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5B25"/>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07C3E"/>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C2A"/>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17"/>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5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B47"/>
    <w:rsid w:val="00803C29"/>
    <w:rsid w:val="00803FB5"/>
    <w:rsid w:val="00804418"/>
    <w:rsid w:val="008045CE"/>
    <w:rsid w:val="0080469F"/>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519"/>
    <w:rsid w:val="00851677"/>
    <w:rsid w:val="0085170E"/>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1550"/>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4E8D"/>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CBC"/>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2BCB"/>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1A60"/>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9FE"/>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196"/>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Segoe UI" w:hAnsi="Segoe UI" w:cs="Segoe UI"/>
      <w:sz w:val="18"/>
      <w:szCs w:val="18"/>
    </w:rPr>
  </w:style>
  <w:style w:type="paragraph" w:styleId="a4">
    <w:name w:val="Body Text"/>
    <w:basedOn w:val="a"/>
    <w:link w:val="Char0"/>
    <w:unhideWhenUsed/>
    <w:qFormat/>
    <w:pPr>
      <w:overflowPunct w:val="0"/>
      <w:autoSpaceDE w:val="0"/>
      <w:autoSpaceDN w:val="0"/>
      <w:adjustRightInd w:val="0"/>
      <w:spacing w:after="120"/>
      <w:jc w:val="both"/>
    </w:pPr>
    <w:rPr>
      <w:rFonts w:ascii="Arial" w:hAnsi="Arial"/>
      <w:lang w:val="en-US" w:eastAsia="zh-CN"/>
    </w:rPr>
  </w:style>
  <w:style w:type="paragraph" w:styleId="a5">
    <w:name w:val="caption"/>
    <w:basedOn w:val="a"/>
    <w:next w:val="a"/>
    <w:link w:val="Char1"/>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a6">
    <w:name w:val="annotation reference"/>
    <w:uiPriority w:val="99"/>
    <w:qFormat/>
    <w:rPr>
      <w:sz w:val="16"/>
      <w:szCs w:val="16"/>
    </w:rPr>
  </w:style>
  <w:style w:type="paragraph" w:styleId="a7">
    <w:name w:val="annotation text"/>
    <w:basedOn w:val="a"/>
    <w:link w:val="Char2"/>
    <w:uiPriority w:val="99"/>
    <w:qFormat/>
  </w:style>
  <w:style w:type="paragraph" w:styleId="a8">
    <w:name w:val="annotation subject"/>
    <w:basedOn w:val="a7"/>
    <w:next w:val="a7"/>
    <w:link w:val="Char3"/>
    <w:qFormat/>
    <w:rPr>
      <w:b/>
      <w:bCs/>
    </w:rPr>
  </w:style>
  <w:style w:type="character" w:styleId="a9">
    <w:name w:val="FollowedHyperlink"/>
    <w:qFormat/>
    <w:rPr>
      <w:color w:val="954F72"/>
      <w:u w:val="single"/>
    </w:rPr>
  </w:style>
  <w:style w:type="paragraph" w:styleId="aa">
    <w:name w:val="footer"/>
    <w:basedOn w:val="ab"/>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character" w:styleId="ac">
    <w:name w:val="Hyperlink"/>
    <w:qFormat/>
    <w:rPr>
      <w:color w:val="0563C1"/>
      <w:u w:val="single"/>
    </w:rPr>
  </w:style>
  <w:style w:type="paragraph" w:styleId="ad">
    <w:name w:val="Normal (Web)"/>
    <w:basedOn w:val="a"/>
    <w:uiPriority w:val="99"/>
    <w:unhideWhenUsed/>
    <w:qFormat/>
    <w:pPr>
      <w:spacing w:before="100" w:beforeAutospacing="1" w:after="100" w:afterAutospacing="1"/>
    </w:pPr>
    <w:rPr>
      <w:sz w:val="24"/>
      <w:szCs w:val="24"/>
      <w:lang w:eastAsia="en-GB"/>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uiPriority w:val="39"/>
    <w:qFormat/>
    <w:pPr>
      <w:keepNext w:val="0"/>
      <w:spacing w:before="0"/>
      <w:ind w:left="851" w:hanging="851"/>
    </w:pPr>
    <w:rPr>
      <w:sz w:val="20"/>
    </w:rPr>
  </w:style>
  <w:style w:type="paragraph" w:styleId="30">
    <w:name w:val="toc 3"/>
    <w:basedOn w:val="20"/>
    <w:next w:val="a"/>
    <w:uiPriority w:val="39"/>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
    <w:name w:val="批注框文本 Char"/>
    <w:link w:val="a3"/>
    <w:qFormat/>
    <w:rPr>
      <w:rFonts w:ascii="Segoe UI" w:hAnsi="Segoe UI" w:cs="Segoe UI"/>
      <w:sz w:val="18"/>
      <w:szCs w:val="18"/>
      <w:lang w:eastAsia="en-US"/>
    </w:rPr>
  </w:style>
  <w:style w:type="character" w:customStyle="1" w:styleId="11">
    <w:name w:val="未处理的提及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
    <w:uiPriority w:val="34"/>
    <w:qFormat/>
    <w:locked/>
    <w:rPr>
      <w:rFonts w:ascii="Times" w:eastAsia="宋体" w:hAnsi="Times" w:cs="Times"/>
      <w:sz w:val="22"/>
      <w:szCs w:val="24"/>
      <w:lang w:eastAsia="ja-JP"/>
    </w:rPr>
  </w:style>
  <w:style w:type="paragraph" w:styleId="af">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a"/>
    <w:link w:val="Char5"/>
    <w:uiPriority w:val="34"/>
    <w:qFormat/>
    <w:pPr>
      <w:spacing w:line="254" w:lineRule="auto"/>
      <w:ind w:left="720"/>
      <w:contextualSpacing/>
    </w:pPr>
    <w:rPr>
      <w:rFonts w:ascii="Times" w:hAnsi="Times" w:cs="Times"/>
      <w:sz w:val="22"/>
      <w:szCs w:val="24"/>
      <w:lang w:val="sv-SE" w:eastAsia="ja-JP"/>
    </w:rPr>
  </w:style>
  <w:style w:type="character" w:customStyle="1" w:styleId="Char2">
    <w:name w:val="批注文字 Char"/>
    <w:link w:val="a7"/>
    <w:uiPriority w:val="99"/>
    <w:qFormat/>
    <w:rPr>
      <w:lang w:val="en-GB" w:eastAsia="en-US"/>
    </w:rPr>
  </w:style>
  <w:style w:type="character" w:customStyle="1" w:styleId="Char3">
    <w:name w:val="批注主题 Char"/>
    <w:link w:val="a8"/>
    <w:qFormat/>
    <w:rPr>
      <w:b/>
      <w:bCs/>
      <w:lang w:val="en-GB" w:eastAsia="en-US"/>
    </w:rPr>
  </w:style>
  <w:style w:type="character" w:customStyle="1" w:styleId="Char4">
    <w:name w:val="页眉 Char"/>
    <w:link w:val="ab"/>
    <w:qFormat/>
    <w:rPr>
      <w:rFonts w:ascii="Arial" w:hAnsi="Arial"/>
      <w:b/>
      <w:sz w:val="18"/>
      <w:lang w:val="en-GB" w:eastAsia="ja-JP"/>
    </w:rPr>
  </w:style>
  <w:style w:type="character" w:customStyle="1" w:styleId="Char0">
    <w:name w:val="正文文本 Char"/>
    <w:basedOn w:val="a0"/>
    <w:link w:val="a4"/>
    <w:qFormat/>
    <w:rPr>
      <w:rFonts w:ascii="Arial" w:hAnsi="Arial"/>
      <w:lang w:val="en-US" w:eastAsia="zh-CN"/>
    </w:rPr>
  </w:style>
  <w:style w:type="character" w:customStyle="1" w:styleId="12">
    <w:name w:val="@他1"/>
    <w:basedOn w:val="a0"/>
    <w:uiPriority w:val="99"/>
    <w:unhideWhenUsed/>
    <w:qFormat/>
    <w:rPr>
      <w:color w:val="2B579A"/>
      <w:shd w:val="clear" w:color="auto" w:fill="E1DFDD"/>
    </w:rPr>
  </w:style>
  <w:style w:type="table" w:customStyle="1" w:styleId="13">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har1">
    <w:name w:val="题注 Char"/>
    <w:link w:val="a5"/>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a"/>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2Char">
    <w:name w:val="标题 2 Char"/>
    <w:basedOn w:val="a0"/>
    <w:link w:val="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22945">
      <w:bodyDiv w:val="1"/>
      <w:marLeft w:val="0"/>
      <w:marRight w:val="0"/>
      <w:marTop w:val="0"/>
      <w:marBottom w:val="0"/>
      <w:divBdr>
        <w:top w:val="none" w:sz="0" w:space="0" w:color="auto"/>
        <w:left w:val="none" w:sz="0" w:space="0" w:color="auto"/>
        <w:bottom w:val="none" w:sz="0" w:space="0" w:color="auto"/>
        <w:right w:val="none" w:sz="0" w:space="0" w:color="auto"/>
      </w:divBdr>
    </w:div>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 w:id="1989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zhoulei</cp:lastModifiedBy>
  <cp:revision>61</cp:revision>
  <cp:lastPrinted>2020-05-14T06:07:00Z</cp:lastPrinted>
  <dcterms:created xsi:type="dcterms:W3CDTF">2022-05-10T17:24:00Z</dcterms:created>
  <dcterms:modified xsi:type="dcterms:W3CDTF">2022-05-12T02:15:00Z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