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ListParagraph"/>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ListParagraph"/>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ListParagraph"/>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lang w:val="fr-FR"/>
              </w:rPr>
              <w:t>FGI, Intel, InterDigital</w:t>
            </w:r>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 AT&amp;T</w:t>
            </w:r>
          </w:p>
          <w:p w14:paraId="294BCAF9" w14:textId="77777777" w:rsidR="00997CBE" w:rsidRDefault="005E7B61" w:rsidP="0030772B">
            <w:pPr>
              <w:pStyle w:val="ListParagraph"/>
              <w:numPr>
                <w:ilvl w:val="0"/>
                <w:numId w:val="17"/>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ListParagraph"/>
              <w:numPr>
                <w:ilvl w:val="0"/>
                <w:numId w:val="18"/>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TCI state update for M-DCI </w:t>
            </w:r>
            <w:r>
              <w:rPr>
                <w:rFonts w:ascii="Times New Roman" w:hAnsi="Times New Roman" w:cs="Times New Roman"/>
                <w:color w:val="000000" w:themeColor="text1"/>
                <w:sz w:val="18"/>
                <w:szCs w:val="20"/>
              </w:rPr>
              <w:lastRenderedPageBreak/>
              <w:t>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w:t>
            </w:r>
            <w:r>
              <w:rPr>
                <w:rFonts w:ascii="Times New Roman" w:hAnsi="Times New Roman" w:cs="Times New Roman"/>
                <w:color w:val="000000" w:themeColor="text1"/>
                <w:sz w:val="18"/>
                <w:szCs w:val="20"/>
              </w:rPr>
              <w:lastRenderedPageBreak/>
              <w:t xml:space="preserve">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399A4608"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ListParagraph"/>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or potential down-</w:t>
            </w:r>
            <w:r>
              <w:rPr>
                <w:rFonts w:ascii="Times New Roman" w:hAnsi="Times New Roman" w:cs="Times New Roman"/>
                <w:color w:val="000000" w:themeColor="text1"/>
                <w:sz w:val="16"/>
                <w:szCs w:val="16"/>
                <w:highlight w:val="yellow"/>
              </w:rPr>
              <w:lastRenderedPageBreak/>
              <w:t xml:space="preserve">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ListParagraph"/>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ListParagraph"/>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ListParagraph"/>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ListParagraph"/>
              <w:numPr>
                <w:ilvl w:val="0"/>
                <w:numId w:val="22"/>
              </w:numPr>
              <w:snapToGrid w:val="0"/>
              <w:spacing w:after="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lastRenderedPageBreak/>
              <w:t>P</w:t>
            </w:r>
            <w:r>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ListParagraph"/>
              <w:snapToGrid w:val="0"/>
              <w:spacing w:after="0"/>
              <w:ind w:left="259"/>
              <w:rPr>
                <w:rFonts w:ascii="Times New Roman" w:eastAsia="PMingLiU" w:hAnsi="Times New Roman" w:cs="Times New Roman"/>
                <w:color w:val="000000" w:themeColor="text1"/>
                <w:sz w:val="18"/>
                <w:szCs w:val="20"/>
                <w:lang w:eastAsia="zh-TW"/>
              </w:rPr>
            </w:pPr>
          </w:p>
          <w:p w14:paraId="4FC3BB9F"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ListParagraph"/>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ListParagraph"/>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ListParagraph"/>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r>
              <w:rPr>
                <w:rFonts w:ascii="Times New Roman" w:hAnsi="Times New Roman" w:cs="Times New Roman"/>
                <w:i/>
                <w:iCs/>
                <w:color w:val="000000" w:themeColor="text1"/>
                <w:sz w:val="18"/>
                <w:szCs w:val="20"/>
                <w:highlight w:val="yellow"/>
              </w:rPr>
              <w:t xml:space="preserve">CORESETPoolIndex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r>
              <w:rPr>
                <w:rFonts w:ascii="Times New Roman" w:hAnsi="Times New Roman" w:cs="Times New Roman" w:hint="eastAsia"/>
                <w:sz w:val="18"/>
                <w:szCs w:val="20"/>
                <w:highlight w:val="yellow"/>
                <w:lang w:eastAsia="zh-CN"/>
              </w:rPr>
              <w:t>TransHold</w:t>
            </w:r>
            <w:r>
              <w:rPr>
                <w:rFonts w:ascii="Times New Roman" w:hAnsi="Times New Roman" w:cs="Times New Roman"/>
                <w:sz w:val="18"/>
                <w:szCs w:val="20"/>
                <w:highlight w:val="yellow"/>
                <w:lang w:eastAsia="zh-CN"/>
              </w:rPr>
              <w:t>, Intel</w:t>
            </w:r>
          </w:p>
          <w:p w14:paraId="01061A64"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Pr>
                <w:rFonts w:ascii="Times New Roman" w:hAnsi="Times New Roman" w:cs="Times New Roman"/>
                <w:sz w:val="18"/>
                <w:szCs w:val="20"/>
                <w:lang w:eastAsia="zh-CN"/>
              </w:rPr>
              <w:t>, Intel</w:t>
            </w:r>
          </w:p>
          <w:p w14:paraId="450B4F31"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6F238E33"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rsidP="0030772B">
            <w:pPr>
              <w:pStyle w:val="ListParagraph"/>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ListParagraph"/>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7AD41341" w14:textId="77777777" w:rsidR="00997CBE" w:rsidRDefault="005E7B61" w:rsidP="0030772B">
            <w:pPr>
              <w:pStyle w:val="ListParagraph"/>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Futurewei,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Transsion</w:t>
      </w:r>
      <w:r w:rsidRPr="00322B2F">
        <w:rPr>
          <w:rFonts w:ascii="Times New Roman" w:hAnsi="Times New Roman" w:cs="Times New Roman"/>
          <w:sz w:val="18"/>
          <w:szCs w:val="18"/>
          <w:highlight w:val="cyan"/>
        </w:rPr>
        <w:t xml:space="preserve">, Intel, ATT, CEWiT,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preadtrum,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Heading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 xml:space="preserve">values to indicate joint/DL/UL TCI state(s) corresponding to the same or different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r w:rsidRPr="00573E0F">
        <w:rPr>
          <w:rFonts w:ascii="Times New Roman" w:hAnsi="Times New Roman" w:cs="Times New Roman"/>
          <w:i/>
          <w:iCs/>
          <w:color w:val="000000"/>
          <w:sz w:val="18"/>
          <w:szCs w:val="18"/>
        </w:rPr>
        <w:t xml:space="preserve">CORESETPoolIndex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r w:rsidRPr="00573E0F">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PMingLiU" w:hAnsi="PMingLiU" w:cs="PMingLiU"/>
          <w:highlight w:val="cyan"/>
        </w:rPr>
      </w:pPr>
      <w:bookmarkStart w:id="6" w:name="_Hlk103885774"/>
      <w:r w:rsidRPr="00322B2F">
        <w:rPr>
          <w:rFonts w:ascii="Times New Roman" w:hAnsi="Times New Roman" w:cs="Times New Roman"/>
          <w:sz w:val="18"/>
          <w:szCs w:val="18"/>
          <w:highlight w:val="cyan"/>
        </w:rPr>
        <w:lastRenderedPageBreak/>
        <w:t>Support: Nokia, Futurewei, QC, NEC, IDG, CATT, Samsung, Fraunhofer, OPPO, LG, ZTE, Xiaomi, Transsion, ATT, CEWiT, Fujitsu, Apple, Docomo, TCL, CMCC, vivo, Spreadtrum,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PMingLiU" w:hAnsi="PMingLiU"/>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ListParagraph"/>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r>
        <w:rPr>
          <w:rFonts w:ascii="Times New Roman" w:hAnsi="Times New Roman" w:cs="Times New Roman"/>
          <w:i/>
          <w:iCs/>
          <w:color w:val="000000" w:themeColor="text1"/>
          <w:sz w:val="18"/>
          <w:szCs w:val="18"/>
          <w:lang w:val="en-GB"/>
        </w:rPr>
        <w:t>CORESETPoolIndex</w:t>
      </w:r>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Caption"/>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ListParagraph"/>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rsidP="0030772B">
            <w:pPr>
              <w:pStyle w:val="ListParagraph"/>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1.F, is the intention to dynamically down select one from the two indicated TCIs for a particular PDSCH, i.e.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ListParagraph"/>
              <w:numPr>
                <w:ilvl w:val="0"/>
                <w:numId w:val="29"/>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Such dynamic selection is only needed when 2 sticky TCIs are indicated;</w:t>
            </w:r>
          </w:p>
          <w:p w14:paraId="6652854B" w14:textId="77777777" w:rsidR="00997CBE" w:rsidRDefault="005E7B61" w:rsidP="0030772B">
            <w:pPr>
              <w:pStyle w:val="ListParagraph"/>
              <w:numPr>
                <w:ilvl w:val="0"/>
                <w:numId w:val="29"/>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selection of 1 or 2 TCIs for a particular PDSCH is from the 2 indicated sticky TCIs; </w:t>
            </w:r>
          </w:p>
          <w:p w14:paraId="06D07E87" w14:textId="77777777" w:rsidR="00997CBE" w:rsidRDefault="005E7B61" w:rsidP="0030772B">
            <w:pPr>
              <w:pStyle w:val="ListParagraph"/>
              <w:numPr>
                <w:ilvl w:val="0"/>
                <w:numId w:val="29"/>
              </w:num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two </w:t>
            </w:r>
            <w:r>
              <w:rPr>
                <w:rFonts w:cs="Times New Roman"/>
                <w:b w:val="0"/>
                <w:bCs w:val="0"/>
                <w:color w:val="FF0000"/>
                <w:sz w:val="18"/>
                <w:szCs w:val="18"/>
              </w:rPr>
              <w:t xml:space="preserve"> TCI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等线"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等线" w:hAnsi="Times New Roman" w:cs="Times New Roman"/>
                <w:sz w:val="18"/>
                <w:szCs w:val="18"/>
                <w:lang w:eastAsia="zh-CN"/>
              </w:rPr>
            </w:pPr>
          </w:p>
          <w:p w14:paraId="2FEAEF3B"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1.G, support Alt1. Seems no need to introduce new RRC if we have CORESETPoolIndex</w:t>
            </w:r>
          </w:p>
          <w:p w14:paraId="62E86673"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等线"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Heading2"/>
              <w:spacing w:before="0" w:after="0"/>
              <w:ind w:left="2" w:hanging="2"/>
              <w:rPr>
                <w:rFonts w:eastAsia="等线" w:cs="Times New Roman"/>
                <w:b w:val="0"/>
                <w:sz w:val="18"/>
                <w:szCs w:val="18"/>
                <w:lang w:eastAsia="zh-CN"/>
              </w:rPr>
            </w:pPr>
            <w:r>
              <w:rPr>
                <w:rFonts w:eastAsia="等线" w:cs="Times New Roman"/>
                <w:sz w:val="18"/>
                <w:szCs w:val="18"/>
                <w:lang w:eastAsia="zh-CN"/>
              </w:rPr>
              <w:t>Proposal 1.B-2:</w:t>
            </w:r>
            <w:r>
              <w:rPr>
                <w:rFonts w:eastAsia="等线" w:cs="Times New Roman"/>
                <w:b w:val="0"/>
                <w:sz w:val="18"/>
                <w:szCs w:val="18"/>
                <w:lang w:eastAsia="zh-CN"/>
              </w:rPr>
              <w:t xml:space="preserve"> If “[at least] is added to the 1</w:t>
            </w:r>
            <w:r>
              <w:rPr>
                <w:rFonts w:eastAsia="等线" w:cs="Times New Roman"/>
                <w:b w:val="0"/>
                <w:sz w:val="18"/>
                <w:szCs w:val="18"/>
                <w:vertAlign w:val="superscript"/>
                <w:lang w:eastAsia="zh-CN"/>
              </w:rPr>
              <w:t>st</w:t>
            </w:r>
            <w:r>
              <w:rPr>
                <w:rFonts w:eastAsia="等线" w:cs="Times New Roman"/>
                <w:b w:val="0"/>
                <w:sz w:val="18"/>
                <w:szCs w:val="18"/>
                <w:lang w:eastAsia="zh-CN"/>
              </w:rPr>
              <w:t xml:space="preserve"> and 2</w:t>
            </w:r>
            <w:r>
              <w:rPr>
                <w:rFonts w:eastAsia="等线" w:cs="Times New Roman"/>
                <w:b w:val="0"/>
                <w:sz w:val="18"/>
                <w:szCs w:val="18"/>
                <w:vertAlign w:val="superscript"/>
                <w:lang w:eastAsia="zh-CN"/>
              </w:rPr>
              <w:t>nd</w:t>
            </w:r>
            <w:r>
              <w:rPr>
                <w:rFonts w:eastAsia="等线" w:cs="Times New Roman"/>
                <w:b w:val="0"/>
                <w:sz w:val="18"/>
                <w:szCs w:val="18"/>
                <w:lang w:eastAsia="zh-CN"/>
              </w:rPr>
              <w:t xml:space="preserve"> bullet, it should be also added to the 1</w:t>
            </w:r>
            <w:r>
              <w:rPr>
                <w:rFonts w:eastAsia="等线" w:cs="Times New Roman"/>
                <w:b w:val="0"/>
                <w:sz w:val="18"/>
                <w:szCs w:val="18"/>
                <w:vertAlign w:val="superscript"/>
                <w:lang w:eastAsia="zh-CN"/>
              </w:rPr>
              <w:t>st</w:t>
            </w:r>
            <w:r>
              <w:rPr>
                <w:rFonts w:eastAsia="等线" w:cs="Times New Roman"/>
                <w:b w:val="0"/>
                <w:sz w:val="18"/>
                <w:szCs w:val="18"/>
                <w:lang w:eastAsia="zh-CN"/>
              </w:rPr>
              <w:t xml:space="preserve"> FFS.</w:t>
            </w:r>
          </w:p>
          <w:p w14:paraId="36F85D7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Heading2"/>
              <w:spacing w:before="0" w:after="0"/>
              <w:ind w:left="2" w:hanging="2"/>
              <w:rPr>
                <w:rFonts w:eastAsia="等线" w:cs="Times New Roman"/>
                <w:b w:val="0"/>
                <w:sz w:val="18"/>
                <w:szCs w:val="18"/>
                <w:lang w:val="en-US" w:eastAsia="zh-CN"/>
              </w:rPr>
            </w:pPr>
          </w:p>
          <w:p w14:paraId="4FF1FD96" w14:textId="77777777" w:rsidR="00997CBE" w:rsidRDefault="005E7B61" w:rsidP="0030772B">
            <w:pPr>
              <w:pStyle w:val="Heading2"/>
              <w:spacing w:before="0" w:after="0"/>
              <w:ind w:left="2" w:hanging="2"/>
              <w:rPr>
                <w:rFonts w:eastAsia="等线" w:cs="Times New Roman"/>
                <w:b w:val="0"/>
                <w:sz w:val="18"/>
                <w:szCs w:val="18"/>
                <w:lang w:eastAsia="zh-CN"/>
              </w:rPr>
            </w:pPr>
            <w:r>
              <w:rPr>
                <w:rFonts w:eastAsia="等线"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等线" w:hAnsi="Times New Roman" w:cs="Times New Roman"/>
                <w:b/>
                <w:sz w:val="18"/>
                <w:szCs w:val="18"/>
                <w:lang w:eastAsia="zh-CN"/>
              </w:rPr>
            </w:pPr>
            <w:r>
              <w:rPr>
                <w:rFonts w:ascii="Times New Roman" w:eastAsia="等线" w:hAnsi="Times New Roman" w:cs="Times New Roman" w:hint="eastAsia"/>
                <w:b/>
                <w:sz w:val="18"/>
                <w:szCs w:val="18"/>
                <w:lang w:eastAsia="zh-CN"/>
              </w:rPr>
              <w:t>P</w:t>
            </w:r>
            <w:r>
              <w:rPr>
                <w:rFonts w:ascii="Times New Roman" w:eastAsia="等线" w:hAnsi="Times New Roman" w:cs="Times New Roman"/>
                <w:b/>
                <w:sz w:val="18"/>
                <w:szCs w:val="18"/>
                <w:lang w:eastAsia="zh-CN"/>
              </w:rPr>
              <w:t>roposal 1.D series:</w:t>
            </w:r>
          </w:p>
          <w:p w14:paraId="47072F5E" w14:textId="77777777" w:rsidR="00997CBE" w:rsidRDefault="005E7B61" w:rsidP="0030772B">
            <w:pPr>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1.D-2 and Proposal 1.D-4 are both for M-DCI based MTRP, are we going to agree one of them? In our mind, as CORESETPoolIndex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等线" w:hAnsi="Times New Roman" w:cs="Times New Roman"/>
                <w:sz w:val="18"/>
                <w:szCs w:val="18"/>
                <w:lang w:val="en-GB" w:eastAsia="zh-CN"/>
              </w:rPr>
            </w:pPr>
            <w:r>
              <w:rPr>
                <w:rFonts w:ascii="Times New Roman" w:eastAsia="等线" w:hAnsi="Times New Roman" w:cs="Times New Roman"/>
                <w:b/>
                <w:sz w:val="18"/>
                <w:szCs w:val="18"/>
                <w:lang w:val="en-GB" w:eastAsia="zh-CN"/>
              </w:rPr>
              <w:t>Proposal 1.E-2:</w:t>
            </w:r>
            <w:r>
              <w:rPr>
                <w:rFonts w:ascii="Times New Roman" w:eastAsia="等线"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等线" w:hAnsi="Times New Roman" w:cs="Times New Roman"/>
                <w:sz w:val="18"/>
                <w:szCs w:val="18"/>
                <w:lang w:val="en-GB" w:eastAsia="zh-CN"/>
              </w:rPr>
            </w:pPr>
          </w:p>
          <w:p w14:paraId="271456C2" w14:textId="77777777" w:rsidR="00997CBE" w:rsidRDefault="005E7B61" w:rsidP="0030772B">
            <w:pPr>
              <w:spacing w:after="0"/>
              <w:rPr>
                <w:rFonts w:ascii="Times New Roman" w:eastAsia="等线" w:hAnsi="Times New Roman" w:cs="Times New Roman"/>
                <w:b/>
                <w:sz w:val="18"/>
                <w:szCs w:val="18"/>
                <w:lang w:val="en-GB" w:eastAsia="zh-CN"/>
              </w:rPr>
            </w:pPr>
            <w:r>
              <w:rPr>
                <w:rFonts w:ascii="Times New Roman" w:eastAsia="等线" w:hAnsi="Times New Roman" w:cs="Times New Roman"/>
                <w:b/>
                <w:sz w:val="18"/>
                <w:szCs w:val="18"/>
                <w:lang w:val="en-GB" w:eastAsia="zh-CN"/>
              </w:rPr>
              <w:t>Proposal 1.F:</w:t>
            </w:r>
            <w:r>
              <w:rPr>
                <w:rFonts w:ascii="Times New Roman" w:eastAsia="等线"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b/>
                <w:color w:val="000000" w:themeColor="text1"/>
                <w:sz w:val="18"/>
                <w:szCs w:val="18"/>
                <w:lang w:val="en-GB" w:eastAsia="zh-CN"/>
              </w:rPr>
              <w:t>Proposal 1.G:</w:t>
            </w:r>
            <w:r>
              <w:rPr>
                <w:rFonts w:ascii="Times New Roman" w:eastAsia="等线"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等线"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等线" w:hAnsi="Times New Roman" w:cs="Times New Roman"/>
                <w:color w:val="000000" w:themeColor="text1"/>
                <w:sz w:val="18"/>
                <w:szCs w:val="18"/>
                <w:lang w:val="en-GB" w:eastAsia="zh-CN"/>
              </w:rPr>
            </w:pPr>
            <w:r>
              <w:rPr>
                <w:rFonts w:ascii="Times New Roman" w:eastAsia="等线" w:hAnsi="Times New Roman" w:cs="Times New Roman" w:hint="eastAsia"/>
                <w:b/>
                <w:color w:val="000000" w:themeColor="text1"/>
                <w:sz w:val="18"/>
                <w:szCs w:val="18"/>
                <w:lang w:val="en-GB" w:eastAsia="zh-CN"/>
              </w:rPr>
              <w:t>P</w:t>
            </w:r>
            <w:r>
              <w:rPr>
                <w:rFonts w:ascii="Times New Roman" w:eastAsia="等线" w:hAnsi="Times New Roman" w:cs="Times New Roman"/>
                <w:b/>
                <w:color w:val="000000" w:themeColor="text1"/>
                <w:sz w:val="18"/>
                <w:szCs w:val="18"/>
                <w:lang w:val="en-GB" w:eastAsia="zh-CN"/>
              </w:rPr>
              <w:t>roposal 1.H:</w:t>
            </w:r>
            <w:r>
              <w:rPr>
                <w:rFonts w:ascii="Times New Roman" w:eastAsia="等线"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r>
              <w:rPr>
                <w:rFonts w:ascii="Times New Roman" w:hAnsi="Times New Roman" w:cs="Times New Roman"/>
                <w:sz w:val="18"/>
                <w:szCs w:val="18"/>
              </w:rPr>
              <w:lastRenderedPageBreak/>
              <w:t>HiSilicon</w:t>
            </w:r>
          </w:p>
        </w:tc>
        <w:tc>
          <w:tcPr>
            <w:tcW w:w="8699" w:type="dxa"/>
          </w:tcPr>
          <w:p w14:paraId="3866265B" w14:textId="77777777" w:rsidR="00997CBE" w:rsidRDefault="005E7B61" w:rsidP="0030772B">
            <w:pPr>
              <w:pStyle w:val="Heading2"/>
              <w:spacing w:before="0" w:after="0"/>
              <w:ind w:left="2" w:hanging="2"/>
              <w:rPr>
                <w:rFonts w:ascii="Calibri" w:eastAsia="PMingLiU" w:hAnsi="Calibri" w:cs="Times New Roman"/>
                <w:b w:val="0"/>
                <w:bCs w:val="0"/>
                <w:iCs w:val="0"/>
                <w:sz w:val="18"/>
                <w:szCs w:val="18"/>
                <w:lang w:val="en-US" w:eastAsia="zh-TW"/>
              </w:rPr>
            </w:pPr>
            <w:r>
              <w:rPr>
                <w:rFonts w:eastAsia="等线" w:cs="Times New Roman"/>
                <w:sz w:val="18"/>
                <w:szCs w:val="18"/>
                <w:lang w:eastAsia="zh-CN"/>
              </w:rPr>
              <w:lastRenderedPageBreak/>
              <w:t xml:space="preserve">Proposal 1.B-2: </w:t>
            </w:r>
            <w:r>
              <w:rPr>
                <w:rFonts w:ascii="Calibri" w:eastAsia="PMingLiU" w:hAnsi="Calibri" w:cs="Times New Roman"/>
                <w:b w:val="0"/>
                <w:bCs w:val="0"/>
                <w:iCs w:val="0"/>
                <w:sz w:val="18"/>
                <w:szCs w:val="18"/>
                <w:lang w:val="en-US" w:eastAsia="zh-TW"/>
              </w:rPr>
              <w:t xml:space="preserve">We do have a strong concern on the limitation of number of TCI states even with “at least up to 2”. </w:t>
            </w:r>
            <w:r>
              <w:rPr>
                <w:rFonts w:ascii="Calibri" w:eastAsia="PMingLiU" w:hAnsi="Calibri" w:cs="Times New Roman"/>
                <w:b w:val="0"/>
                <w:bCs w:val="0"/>
                <w:iCs w:val="0"/>
                <w:sz w:val="18"/>
                <w:szCs w:val="18"/>
                <w:lang w:val="en-US" w:eastAsia="zh-TW"/>
              </w:rPr>
              <w:lastRenderedPageBreak/>
              <w:t>In the inter-site CJT deployment, each TRP/cell has its own TRS and TCI state, so 4 TCI states are required. If only 1 or 2 TCI states indication is supported, we are not sure how inter-site CJT can work. So, we still have to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ListParagraph"/>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Heading2"/>
              <w:spacing w:before="0" w:after="0"/>
              <w:ind w:left="2" w:hanging="2"/>
              <w:rPr>
                <w:rFonts w:eastAsia="等线" w:cs="Times New Roman"/>
                <w:sz w:val="18"/>
                <w:szCs w:val="18"/>
                <w:lang w:eastAsia="zh-CN"/>
              </w:rPr>
            </w:pPr>
          </w:p>
          <w:p w14:paraId="00171D67" w14:textId="77777777" w:rsidR="00997CBE" w:rsidRDefault="00997CBE" w:rsidP="0030772B">
            <w:pPr>
              <w:pStyle w:val="Heading2"/>
              <w:spacing w:before="0" w:after="0"/>
              <w:ind w:left="2" w:hanging="2"/>
              <w:rPr>
                <w:rFonts w:eastAsia="等线" w:cs="Times New Roman"/>
                <w:sz w:val="18"/>
                <w:szCs w:val="18"/>
                <w:lang w:eastAsia="zh-CN"/>
              </w:rPr>
            </w:pPr>
          </w:p>
          <w:p w14:paraId="11CFA933" w14:textId="77777777" w:rsidR="00997CBE" w:rsidRDefault="005E7B61" w:rsidP="0030772B">
            <w:pPr>
              <w:pStyle w:val="Heading2"/>
              <w:spacing w:before="0" w:after="0"/>
              <w:ind w:left="2" w:hanging="2"/>
              <w:rPr>
                <w:rFonts w:eastAsia="等线" w:cs="Times New Roman"/>
                <w:sz w:val="18"/>
                <w:szCs w:val="18"/>
                <w:lang w:eastAsia="zh-CN"/>
              </w:rPr>
            </w:pPr>
            <w:r>
              <w:rPr>
                <w:rFonts w:eastAsia="等线" w:cs="Times New Roman"/>
                <w:sz w:val="18"/>
                <w:szCs w:val="18"/>
                <w:lang w:eastAsia="zh-CN"/>
              </w:rPr>
              <w:t xml:space="preserve">Proposal 1.D-2: </w:t>
            </w:r>
            <w:r>
              <w:rPr>
                <w:rFonts w:eastAsia="等线"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However, if adding this text has a strong support, we would be willing to accept it;</w:t>
            </w:r>
          </w:p>
          <w:p w14:paraId="1E5FC952" w14:textId="77777777" w:rsidR="00997CBE" w:rsidRDefault="005E7B61" w:rsidP="0030772B">
            <w:pPr>
              <w:pStyle w:val="ListParagraph"/>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gNB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w:t>
            </w:r>
            <w:r>
              <w:rPr>
                <w:rFonts w:cs="Times New Roman"/>
                <w:b w:val="0"/>
                <w:bCs w:val="0"/>
                <w:strike/>
                <w:color w:val="FF0000"/>
                <w:sz w:val="18"/>
                <w:szCs w:val="18"/>
              </w:rPr>
              <w:lastRenderedPageBreak/>
              <w:t xml:space="preserve">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ListParagraph"/>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1.D-3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Heading2"/>
              <w:spacing w:before="0" w:after="0"/>
              <w:ind w:left="2" w:hanging="2"/>
              <w:rPr>
                <w:rFonts w:eastAsia="等线" w:cs="Times New Roman"/>
                <w:sz w:val="18"/>
                <w:szCs w:val="18"/>
                <w:lang w:eastAsia="zh-CN"/>
              </w:rPr>
            </w:pPr>
            <w:r>
              <w:rPr>
                <w:rFonts w:eastAsia="等线"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等线"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1.D-3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sub-bullet,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Heading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i.e.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w:t>
            </w:r>
            <w:r>
              <w:rPr>
                <w:rFonts w:ascii="Times New Roman" w:hAnsi="Times New Roman" w:cs="Times New Roman"/>
                <w:color w:val="000000" w:themeColor="text1"/>
                <w:sz w:val="18"/>
                <w:szCs w:val="18"/>
              </w:rPr>
              <w:lastRenderedPageBreak/>
              <w:t xml:space="preserve">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e.g.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One particular question for Alt1. Is it necessary to “study the association between joint/DL/UL TCI state(s) and the CORESETPoolIndex value”? Otherwise, it seems not clear to us on how to associate an indicated TCI state to the CORESETPoolIndex.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81D31F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Study the association between joint/DL/UL TCI state(s) and the CORESETPoolIndex value</w:t>
            </w:r>
          </w:p>
          <w:p w14:paraId="53130FAF"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1D4D963A"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488E6E4"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30E9F08"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basis, when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Heading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Spreadtrum</w:t>
            </w:r>
          </w:p>
        </w:tc>
        <w:tc>
          <w:tcPr>
            <w:tcW w:w="8699" w:type="dxa"/>
          </w:tcPr>
          <w:p w14:paraId="634E413A"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1.</w:t>
            </w:r>
            <w:r>
              <w:rPr>
                <w:rFonts w:ascii="Times New Roman" w:eastAsia="等线" w:hAnsi="Times New Roman" w:cs="Times New Roman"/>
                <w:sz w:val="18"/>
                <w:szCs w:val="18"/>
                <w:lang w:eastAsia="zh-CN"/>
              </w:rPr>
              <w:t xml:space="preserve">B-2: </w:t>
            </w:r>
            <w:r>
              <w:rPr>
                <w:rFonts w:ascii="Times New Roman" w:eastAsia="等线"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等线"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1.</w:t>
            </w:r>
            <w:r>
              <w:rPr>
                <w:rFonts w:ascii="Times New Roman" w:eastAsia="等线"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C</w:t>
            </w:r>
            <w:r>
              <w:rPr>
                <w:rFonts w:ascii="Times New Roman" w:eastAsia="等线"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 xml:space="preserve">roposal 1.B-2/1.D-4/1.E-1/1.F/1.G: Support. </w:t>
            </w:r>
          </w:p>
          <w:p w14:paraId="67B07FD1" w14:textId="77777777" w:rsidR="00997CBE" w:rsidRDefault="00997CBE" w:rsidP="0030772B">
            <w:pPr>
              <w:snapToGrid w:val="0"/>
              <w:spacing w:after="0"/>
              <w:rPr>
                <w:rFonts w:ascii="Times New Roman" w:eastAsia="等线"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CEWiT</w:t>
            </w:r>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等线"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等线"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699" w:type="dxa"/>
          </w:tcPr>
          <w:p w14:paraId="633C39B0" w14:textId="77777777" w:rsidR="00997CBE" w:rsidRDefault="005E7B61" w:rsidP="0030772B">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Proposal 1.B-2: Support</w:t>
            </w:r>
            <w:r>
              <w:rPr>
                <w:rFonts w:ascii="Times New Roman" w:eastAsia="宋体" w:hAnsi="Times New Roman" w:cs="Times New Roman"/>
                <w:sz w:val="18"/>
                <w:szCs w:val="18"/>
                <w:lang w:eastAsia="zh-CN"/>
              </w:rPr>
              <w:t>. For the second sub-bullet, we are fine to study all the valid combinations(e.g. DL+UL TCI state).</w:t>
            </w:r>
          </w:p>
          <w:p w14:paraId="187DF4A0" w14:textId="77777777" w:rsidR="00997CBE" w:rsidRDefault="005E7B61" w:rsidP="0030772B">
            <w:pPr>
              <w:snapToGrid w:val="0"/>
              <w:spacing w:after="0"/>
              <w:rPr>
                <w:rFonts w:ascii="Times New Roman" w:eastAsia="宋体" w:hAnsi="Times New Roman" w:cs="Times New Roman"/>
                <w:sz w:val="18"/>
                <w:szCs w:val="18"/>
                <w:lang w:eastAsia="zh-CN"/>
              </w:rPr>
            </w:pPr>
            <w:r>
              <w:rPr>
                <w:rFonts w:ascii="Times New Roman" w:hAnsi="Times New Roman" w:cs="Times New Roman"/>
                <w:sz w:val="18"/>
                <w:szCs w:val="18"/>
              </w:rPr>
              <w:t>Proposal 1.D-4: Support</w:t>
            </w:r>
            <w:r>
              <w:rPr>
                <w:rFonts w:ascii="Times New Roman" w:eastAsia="宋体"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宋体"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宋体" w:hAnsi="Times New Roman" w:cs="Times New Roman"/>
                <w:color w:val="000000" w:themeColor="text1"/>
                <w:sz w:val="18"/>
                <w:szCs w:val="18"/>
                <w:lang w:eastAsia="zh-CN"/>
              </w:rPr>
              <w:t>Share the same view as OPPO that reusing Rel.16 TCI state(s) to PDSCH mapping rule  can be listed as an alternative.</w:t>
            </w:r>
          </w:p>
          <w:p w14:paraId="3397EEF2" w14:textId="77777777" w:rsidR="00997CBE" w:rsidRDefault="005E7B61" w:rsidP="0030772B">
            <w:pPr>
              <w:snapToGrid w:val="0"/>
              <w:spacing w:after="0"/>
              <w:rPr>
                <w:rFonts w:ascii="Times New Roman" w:eastAsia="宋体" w:hAnsi="Times New Roman" w:cs="Times New Roman"/>
                <w:color w:val="000000" w:themeColor="text1"/>
                <w:sz w:val="18"/>
                <w:szCs w:val="18"/>
                <w:lang w:eastAsia="zh-CN"/>
              </w:rPr>
            </w:pPr>
            <w:r>
              <w:rPr>
                <w:rFonts w:ascii="Times New Roman" w:hAnsi="Times New Roman" w:cs="Times New Roman"/>
                <w:color w:val="000000" w:themeColor="text1"/>
                <w:sz w:val="18"/>
                <w:szCs w:val="18"/>
              </w:rPr>
              <w:t>Proposal 1.G: Support</w:t>
            </w:r>
            <w:r>
              <w:rPr>
                <w:rFonts w:ascii="Times New Roman" w:eastAsia="宋体" w:hAnsi="Times New Roman" w:cs="Times New Roman"/>
                <w:color w:val="000000" w:themeColor="text1"/>
                <w:sz w:val="18"/>
                <w:szCs w:val="18"/>
                <w:lang w:eastAsia="zh-CN"/>
              </w:rPr>
              <w:t xml:space="preserve">  Alt1. Using the existing RRC parameter (e.g. CORESETPoolIndex)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等线"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mDCI,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Okay, then I need to return back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Proposal 1.E-1: Similar to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Pr>
          <w:p w14:paraId="28AA37AD" w14:textId="77777777" w:rsidR="007C326B" w:rsidRDefault="007C326B"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1.</w:t>
            </w:r>
            <w:r>
              <w:rPr>
                <w:rFonts w:ascii="Times New Roman" w:eastAsia="等线" w:hAnsi="Times New Roman" w:cs="Times New Roman"/>
                <w:sz w:val="18"/>
                <w:szCs w:val="18"/>
                <w:lang w:eastAsia="zh-CN"/>
              </w:rPr>
              <w:t>B-2: S</w:t>
            </w:r>
            <w:r>
              <w:rPr>
                <w:rFonts w:ascii="Times New Roman" w:eastAsia="等线"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等线" w:hAnsi="Times New Roman" w:cs="Times New Roman"/>
                <w:sz w:val="18"/>
                <w:szCs w:val="18"/>
                <w:lang w:eastAsia="zh-CN"/>
              </w:rPr>
              <w:t>P</w:t>
            </w:r>
            <w:r>
              <w:rPr>
                <w:rFonts w:ascii="Times New Roman" w:eastAsia="等线" w:hAnsi="Times New Roman" w:cs="Times New Roman" w:hint="eastAsia"/>
                <w:sz w:val="18"/>
                <w:szCs w:val="18"/>
                <w:lang w:eastAsia="zh-CN"/>
              </w:rPr>
              <w:t>roposal</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1.</w:t>
            </w:r>
            <w:r>
              <w:rPr>
                <w:rFonts w:ascii="Times New Roman" w:eastAsia="等线" w:hAnsi="Times New Roman" w:cs="Times New Roman"/>
                <w:sz w:val="18"/>
                <w:szCs w:val="18"/>
                <w:lang w:eastAsia="zh-CN"/>
              </w:rPr>
              <w:t>D-4: Support. We prefer to keep “</w:t>
            </w:r>
            <w:r w:rsidRPr="00D03BAD">
              <w:rPr>
                <w:rFonts w:ascii="Times New Roman" w:eastAsia="等线" w:hAnsi="Times New Roman" w:cs="Times New Roman"/>
                <w:color w:val="FF0000"/>
                <w:sz w:val="18"/>
                <w:szCs w:val="18"/>
                <w:lang w:eastAsia="zh-CN"/>
              </w:rPr>
              <w:t>investigate the possibility to have one solution for S-DCI and M-DCI based M-TRP</w:t>
            </w:r>
            <w:r>
              <w:rPr>
                <w:rFonts w:ascii="Times New Roman" w:eastAsia="等线"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Fine to study. But, this kind of “two-step” dynamic selection is not beneficial as eventually the final selector consumes DCI overhead. It is simpler and better to select one or two TCI states directly from a codepoint of the TCI field, similar to what we have for existing S-DCI for MTRP.  We can consider to increase bitwidth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ListParagraph"/>
              <w:numPr>
                <w:ilvl w:val="0"/>
                <w:numId w:val="34"/>
              </w:numPr>
              <w:snapToGrid w:val="0"/>
              <w:spacing w:after="0"/>
              <w:rPr>
                <w:rFonts w:ascii="Times New Roman" w:hAnsi="Times New Roman" w:cs="Times New Roman"/>
                <w:b/>
                <w:color w:val="3333FF"/>
                <w:sz w:val="18"/>
                <w:szCs w:val="18"/>
              </w:rPr>
            </w:pPr>
            <w:r w:rsidRPr="00055277">
              <w:rPr>
                <w:rFonts w:ascii="Times New Roman" w:hAnsi="Times New Roman" w:cs="Times New Roman"/>
                <w:b/>
                <w:color w:val="3333FF"/>
                <w:sz w:val="18"/>
                <w:szCs w:val="18"/>
              </w:rPr>
              <w:t>Return back to Proposal 1.D since the update proposal still cannot be accepted by concerned company</w:t>
            </w:r>
          </w:p>
          <w:p w14:paraId="1E16BEF4" w14:textId="5E8EE5AD" w:rsidR="00055277" w:rsidRPr="00055277" w:rsidRDefault="00055277" w:rsidP="00055277">
            <w:pPr>
              <w:pStyle w:val="ListParagraph"/>
              <w:numPr>
                <w:ilvl w:val="0"/>
                <w:numId w:val="34"/>
              </w:numPr>
              <w:snapToGrid w:val="0"/>
              <w:spacing w:after="0"/>
              <w:rPr>
                <w:rFonts w:ascii="Times New Roman" w:eastAsia="PMingLiU" w:hAnsi="Times New Roman" w:cs="Times New Roman"/>
                <w:sz w:val="18"/>
                <w:szCs w:val="18"/>
                <w:lang w:eastAsia="zh-TW"/>
              </w:rPr>
            </w:pPr>
            <w:r w:rsidRPr="00055277">
              <w:rPr>
                <w:rFonts w:ascii="Times New Roman" w:hAnsi="Times New Roman" w:cs="Times New Roman" w:hint="eastAsia"/>
                <w:b/>
                <w:color w:val="3333FF"/>
                <w:sz w:val="18"/>
                <w:szCs w:val="18"/>
              </w:rPr>
              <w:lastRenderedPageBreak/>
              <w:t>N</w:t>
            </w:r>
            <w:r w:rsidRPr="00055277">
              <w:rPr>
                <w:rFonts w:ascii="Times New Roman" w:hAnsi="Times New Roman" w:cs="Times New Roman"/>
                <w:b/>
                <w:color w:val="3333FF"/>
                <w:sz w:val="18"/>
                <w:szCs w:val="18"/>
              </w:rPr>
              <w:t>o change to other proposal</w:t>
            </w:r>
          </w:p>
        </w:tc>
      </w:tr>
      <w:tr w:rsidR="00A541EA" w14:paraId="7CF2AE21" w14:textId="77777777" w:rsidTr="000023C2">
        <w:tc>
          <w:tcPr>
            <w:tcW w:w="1286" w:type="dxa"/>
          </w:tcPr>
          <w:p w14:paraId="531D682A" w14:textId="77777777" w:rsidR="00A541EA" w:rsidRPr="00D84B3C" w:rsidRDefault="00A541EA" w:rsidP="000023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Pr>
          <w:p w14:paraId="2A31E5E8" w14:textId="77777777" w:rsidR="00A541EA" w:rsidRPr="00B74FB2" w:rsidRDefault="00A541EA" w:rsidP="000023C2">
            <w:pPr>
              <w:snapToGrid w:val="0"/>
              <w:rPr>
                <w:rFonts w:ascii="Times New Roman" w:eastAsia="等线"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等线" w:hAnsi="Times New Roman" w:cs="Times New Roman" w:hint="eastAsia"/>
                <w:sz w:val="18"/>
                <w:szCs w:val="18"/>
                <w:lang w:eastAsia="zh-CN"/>
              </w:rPr>
              <w:t xml:space="preserve">Per our understanding,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up to</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implies that even if only one joint TCI state is indicated, it is also a kind of mTRP operation? </w:t>
            </w:r>
          </w:p>
          <w:p w14:paraId="574DB62B" w14:textId="77777777" w:rsidR="00A541EA" w:rsidRDefault="00A541EA" w:rsidP="000023C2">
            <w:pPr>
              <w:snapToGrid w:val="0"/>
              <w:rPr>
                <w:rFonts w:ascii="Times New Roman" w:eastAsia="等线"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等线" w:hAnsi="Times New Roman" w:cs="Times New Roman" w:hint="eastAsia"/>
                <w:sz w:val="18"/>
                <w:szCs w:val="18"/>
                <w:lang w:eastAsia="zh-CN"/>
              </w:rPr>
              <w:t>-4</w:t>
            </w:r>
            <w:r w:rsidRPr="0031537B">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CORESETPoolIndex is not applicable for S-DCI based mTRP. We </w:t>
            </w:r>
            <w:r>
              <w:rPr>
                <w:rFonts w:ascii="Times New Roman" w:eastAsia="等线" w:hAnsi="Times New Roman" w:cs="Times New Roman"/>
                <w:sz w:val="18"/>
                <w:szCs w:val="18"/>
                <w:lang w:eastAsia="zh-CN"/>
              </w:rPr>
              <w:t>prefer</w:t>
            </w:r>
            <w:r>
              <w:rPr>
                <w:rFonts w:ascii="Times New Roman" w:eastAsia="等线" w:hAnsi="Times New Roman" w:cs="Times New Roman" w:hint="eastAsia"/>
                <w:sz w:val="18"/>
                <w:szCs w:val="18"/>
                <w:lang w:eastAsia="zh-CN"/>
              </w:rPr>
              <w:t xml:space="preserve"> to delete the </w:t>
            </w:r>
            <w:r>
              <w:rPr>
                <w:rFonts w:ascii="Times New Roman" w:eastAsia="等线" w:hAnsi="Times New Roman" w:cs="Times New Roman"/>
                <w:sz w:val="18"/>
                <w:szCs w:val="18"/>
                <w:lang w:eastAsia="zh-CN"/>
              </w:rPr>
              <w:t>following</w:t>
            </w:r>
            <w:r>
              <w:rPr>
                <w:rFonts w:ascii="Times New Roman" w:eastAsia="等线" w:hAnsi="Times New Roman" w:cs="Times New Roman" w:hint="eastAsia"/>
                <w:sz w:val="18"/>
                <w:szCs w:val="18"/>
                <w:lang w:eastAsia="zh-CN"/>
              </w:rPr>
              <w:t xml:space="preserve"> part in the main bullet:</w:t>
            </w:r>
          </w:p>
          <w:p w14:paraId="055F51A0" w14:textId="77777777" w:rsidR="00A541EA" w:rsidRPr="00A37122" w:rsidRDefault="00A541EA" w:rsidP="000023C2">
            <w:pPr>
              <w:snapToGrid w:val="0"/>
              <w:rPr>
                <w:rFonts w:eastAsia="等线"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0023C2">
            <w:pPr>
              <w:snapToGrid w:val="0"/>
              <w:rPr>
                <w:rFonts w:ascii="Times New Roman" w:eastAsia="等线" w:hAnsi="Times New Roman" w:cs="Times New Roman"/>
                <w:sz w:val="18"/>
                <w:szCs w:val="18"/>
                <w:lang w:eastAsia="zh-CN"/>
              </w:rPr>
            </w:pPr>
            <w:r w:rsidRPr="0031537B">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w:t>
            </w:r>
            <w:r>
              <w:rPr>
                <w:rFonts w:ascii="Times New Roman" w:eastAsia="等线" w:hAnsi="Times New Roman" w:cs="Times New Roman" w:hint="eastAsia"/>
                <w:sz w:val="18"/>
                <w:szCs w:val="18"/>
                <w:lang w:eastAsia="zh-CN"/>
              </w:rPr>
              <w:t>1</w:t>
            </w:r>
            <w:r w:rsidRPr="0031537B">
              <w:rPr>
                <w:rFonts w:ascii="Times New Roman" w:eastAsia="等线" w:hAnsi="Times New Roman" w:cs="Times New Roman"/>
                <w:sz w:val="18"/>
                <w:szCs w:val="18"/>
                <w:lang w:eastAsia="zh-CN"/>
              </w:rPr>
              <w:t>: Support.</w:t>
            </w:r>
          </w:p>
          <w:p w14:paraId="4D8C70DC" w14:textId="77777777" w:rsidR="00A541EA" w:rsidRPr="00B74FB2" w:rsidRDefault="00A541EA" w:rsidP="000023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等线" w:hAnsi="Times New Roman" w:cs="Times New Roman"/>
                <w:sz w:val="18"/>
                <w:szCs w:val="18"/>
                <w:lang w:eastAsia="zh-CN"/>
              </w:rPr>
              <w:t>different</w:t>
            </w:r>
            <w:r>
              <w:rPr>
                <w:rFonts w:ascii="Times New Roman" w:eastAsia="等线" w:hAnsi="Times New Roman" w:cs="Times New Roman" w:hint="eastAsia"/>
                <w:sz w:val="18"/>
                <w:szCs w:val="18"/>
                <w:lang w:eastAsia="zh-CN"/>
              </w:rPr>
              <w:t xml:space="preserve"> for one TCI state and two TCI states. We prefer to add back </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one joint/DL TCI state</w:t>
            </w:r>
            <w:r>
              <w:rPr>
                <w:rFonts w:ascii="Times New Roman" w:eastAsia="等线" w:hAnsi="Times New Roman" w:cs="Times New Roman"/>
                <w:sz w:val="18"/>
                <w:szCs w:val="18"/>
                <w:lang w:eastAsia="zh-CN"/>
              </w:rPr>
              <w:t>”</w:t>
            </w:r>
            <w:r>
              <w:rPr>
                <w:rFonts w:ascii="Times New Roman" w:eastAsia="等线" w:hAnsi="Times New Roman" w:cs="Times New Roman" w:hint="eastAsia"/>
                <w:sz w:val="18"/>
                <w:szCs w:val="18"/>
                <w:lang w:eastAsia="zh-CN"/>
              </w:rPr>
              <w:t xml:space="preserve"> in the main bullet.</w:t>
            </w:r>
          </w:p>
          <w:p w14:paraId="1FD27EEA" w14:textId="77777777" w:rsidR="00A541EA" w:rsidRDefault="00A541EA" w:rsidP="000023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1.G: Support. Not sure if Alt2 and Alt3 aim to have a common solution for S-DCI and M-DCI based mTRP.</w:t>
            </w:r>
          </w:p>
          <w:p w14:paraId="695BAC6D" w14:textId="77777777" w:rsidR="00A541EA" w:rsidRPr="006044DD" w:rsidRDefault="00A541EA" w:rsidP="000023C2">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等线" w:hAnsi="Times New Roman" w:cs="Times New Roman"/>
                <w:sz w:val="18"/>
                <w:szCs w:val="18"/>
                <w:lang w:eastAsia="zh-CN"/>
              </w:rPr>
            </w:pPr>
            <w:r w:rsidRPr="0031537B">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w:t>
            </w:r>
            <w:r>
              <w:rPr>
                <w:rFonts w:ascii="Times New Roman" w:eastAsia="等线" w:hAnsi="Times New Roman" w:cs="Times New Roman" w:hint="eastAsia"/>
                <w:sz w:val="18"/>
                <w:szCs w:val="18"/>
                <w:lang w:eastAsia="zh-CN"/>
              </w:rPr>
              <w:t>1</w:t>
            </w:r>
            <w:r w:rsidRPr="0031537B">
              <w:rPr>
                <w:rFonts w:ascii="Times New Roman" w:eastAsia="等线" w:hAnsi="Times New Roman" w:cs="Times New Roman"/>
                <w:sz w:val="18"/>
                <w:szCs w:val="18"/>
                <w:lang w:eastAsia="zh-CN"/>
              </w:rPr>
              <w:t>: Support.</w:t>
            </w:r>
          </w:p>
        </w:tc>
      </w:tr>
      <w:tr w:rsidR="00055277" w14:paraId="34FE5BEE" w14:textId="77777777">
        <w:tc>
          <w:tcPr>
            <w:tcW w:w="1286" w:type="dxa"/>
          </w:tcPr>
          <w:p w14:paraId="123AF6DF" w14:textId="77777777" w:rsidR="00055277" w:rsidRDefault="00055277" w:rsidP="0030772B">
            <w:pPr>
              <w:snapToGrid w:val="0"/>
              <w:spacing w:after="0"/>
              <w:rPr>
                <w:rFonts w:ascii="Times New Roman" w:hAnsi="Times New Roman" w:cs="Times New Roman"/>
                <w:sz w:val="18"/>
                <w:szCs w:val="18"/>
              </w:rPr>
            </w:pPr>
          </w:p>
        </w:tc>
        <w:tc>
          <w:tcPr>
            <w:tcW w:w="8699" w:type="dxa"/>
          </w:tcPr>
          <w:p w14:paraId="7B1D7AD6" w14:textId="77777777" w:rsidR="00055277" w:rsidRPr="00055277" w:rsidRDefault="00055277" w:rsidP="0030772B">
            <w:pPr>
              <w:snapToGrid w:val="0"/>
              <w:spacing w:after="0"/>
              <w:rPr>
                <w:rFonts w:ascii="Times New Roman" w:hAnsi="Times New Roman" w:cs="Times New Roman"/>
                <w:b/>
                <w:color w:val="3333FF"/>
                <w:sz w:val="18"/>
                <w:szCs w:val="18"/>
              </w:rPr>
            </w:pP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bookmarkStart w:id="13" w:name="_Hlk102142298"/>
      <w:r>
        <w:rPr>
          <w:rFonts w:ascii="Times New Roman" w:eastAsia="PMingLiU" w:hAnsi="Times New Roman"/>
          <w:sz w:val="28"/>
          <w:lang w:val="en-US" w:eastAsia="zh-TW"/>
        </w:rPr>
        <w:t>Issue 3 – Beam reporting and beam failure recovery</w:t>
      </w:r>
    </w:p>
    <w:bookmarkEnd w:id="13"/>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Caption"/>
        <w:spacing w:after="0"/>
        <w:jc w:val="center"/>
        <w:rPr>
          <w:rFonts w:ascii="Times New Roman" w:hAnsi="Times New Roman" w:cs="Times New Roman"/>
        </w:rPr>
      </w:pPr>
    </w:p>
    <w:p w14:paraId="37096287" w14:textId="6617228E" w:rsidR="00997CBE" w:rsidRDefault="005E7B61" w:rsidP="0030772B">
      <w:pPr>
        <w:pStyle w:val="Caption"/>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Pr>
                <w:rFonts w:ascii="Times New Roman" w:eastAsia="宋体"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Caption"/>
        <w:spacing w:after="0"/>
        <w:jc w:val="center"/>
        <w:rPr>
          <w:rFonts w:ascii="Times New Roman" w:hAnsi="Times New Roman" w:cs="Times New Roman"/>
        </w:rPr>
      </w:pPr>
    </w:p>
    <w:p w14:paraId="08D81310" w14:textId="77777777" w:rsidR="00997CBE" w:rsidRDefault="005E7B61" w:rsidP="0030772B">
      <w:pPr>
        <w:pStyle w:val="Heading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STxMP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 to group-based reporting (including Rel-17 enhanced group-based reporting) to support STxMP</w:t>
      </w:r>
    </w:p>
    <w:p w14:paraId="512BD1BC" w14:textId="77777777" w:rsidR="00997CBE" w:rsidRDefault="005E7B61" w:rsidP="0030772B">
      <w:pPr>
        <w:pStyle w:val="ListParagraph"/>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lastRenderedPageBreak/>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Heading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Huawei, HiSilicon</w:t>
            </w:r>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F</w:t>
            </w:r>
            <w:r>
              <w:rPr>
                <w:rFonts w:ascii="Times New Roman" w:eastAsia="等线" w:hAnsi="Times New Roman" w:cs="Times New Roman" w:hint="eastAsia"/>
                <w:sz w:val="18"/>
                <w:szCs w:val="18"/>
                <w:lang w:eastAsia="zh-CN"/>
              </w:rPr>
              <w:t>u</w:t>
            </w:r>
            <w:r>
              <w:rPr>
                <w:rFonts w:ascii="Times New Roman" w:eastAsia="等线"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Support both Proposal 3.A and 3.B.</w:t>
            </w:r>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Transsion</w:t>
            </w:r>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Support both Proposal 3.A and 3.B.</w:t>
            </w:r>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3.A: OK to study. But in light of the recent guidance from the chair, we still feel this would fit better in 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等线" w:hAnsi="Times New Roman" w:cs="Times New Roman"/>
                <w:sz w:val="18"/>
                <w:szCs w:val="18"/>
                <w:lang w:eastAsia="zh-CN"/>
              </w:rPr>
              <w:t>Proposal 3.B: Don’t support at this point in time. This has low prio.</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等线" w:hAnsi="Times New Roman" w:cs="Times New Roman"/>
                <w:sz w:val="18"/>
                <w:szCs w:val="18"/>
                <w:lang w:eastAsia="zh-CN"/>
              </w:rPr>
            </w:pPr>
            <w:r>
              <w:rPr>
                <w:rFonts w:ascii="Times New Roman" w:hAnsi="Times New Roman" w:cs="Times New Roman"/>
                <w:sz w:val="18"/>
                <w:szCs w:val="18"/>
              </w:rPr>
              <w:t>Supoort both Proposal 3.A and 3.B.</w:t>
            </w:r>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 xml:space="preserve">upport both proposals. </w:t>
            </w:r>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Heading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rsidP="0030772B">
      <w:pPr>
        <w:pStyle w:val="Caption"/>
        <w:spacing w:after="0"/>
        <w:jc w:val="center"/>
        <w:rPr>
          <w:rFonts w:ascii="Times New Roman" w:hAnsi="Times New Roman" w:cs="Times New Roman"/>
        </w:rPr>
      </w:pPr>
    </w:p>
    <w:p w14:paraId="59ABE3C1" w14:textId="77777777" w:rsidR="00997CBE" w:rsidRDefault="005E7B61" w:rsidP="0030772B">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Heading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Strong"/>
          <w:rFonts w:ascii="Times" w:hAnsi="Times" w:cs="Times"/>
          <w:sz w:val="20"/>
          <w:szCs w:val="20"/>
          <w:highlight w:val="green"/>
        </w:rPr>
      </w:pPr>
    </w:p>
    <w:p w14:paraId="75E49CD1" w14:textId="47DCF54D"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5E6101DF" w14:textId="77777777" w:rsidR="00997CBE" w:rsidRDefault="005E7B61" w:rsidP="0030772B">
      <w:pPr>
        <w:spacing w:after="0"/>
        <w:rPr>
          <w:rFonts w:ascii="PMingLiU" w:hAnsi="PMingLiU" w:cs="PMingLiU"/>
          <w:strike/>
          <w:color w:val="4472C4"/>
        </w:rPr>
      </w:pPr>
      <w:r>
        <w:rPr>
          <w:rFonts w:ascii="Times" w:hAnsi="Times" w:cs="Times"/>
          <w:sz w:val="20"/>
          <w:szCs w:val="20"/>
        </w:rPr>
        <w:lastRenderedPageBreak/>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STxMP is supported, Rel-18 MTRP scheme(s) with STxMP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Strong"/>
          <w:rFonts w:ascii="Times" w:hAnsi="Times" w:cs="Times"/>
          <w:sz w:val="20"/>
          <w:szCs w:val="20"/>
        </w:rPr>
      </w:pPr>
      <w:r>
        <w:rPr>
          <w:rStyle w:val="Strong"/>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How to extend to other Rel-18 MTRP scheme(s) with STxMP,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Heading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Heading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ListParagraph"/>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rsidP="0030772B">
      <w:pPr>
        <w:pStyle w:val="ListParagraph"/>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rsidP="0030772B">
      <w:pPr>
        <w:pStyle w:val="ListParagraph"/>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ListParagraph"/>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ListParagraph"/>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ListParagraph"/>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M-DCI based MTRP</w:t>
      </w:r>
    </w:p>
    <w:p w14:paraId="44DBD41A" w14:textId="77777777" w:rsidR="00997CBE" w:rsidRDefault="005E7B61" w:rsidP="0030772B">
      <w:pPr>
        <w:pStyle w:val="ListParagraph"/>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On unified TCI framework extension for M-DCI based MTRP, consider the following alternatives for TCI state update and study whether or not the single-DCI MTRP solution is applicable also to multi-DCI MTRP</w:t>
      </w:r>
    </w:p>
    <w:p w14:paraId="469F0E66" w14:textId="77777777" w:rsidR="00997CBE" w:rsidRDefault="005E7B61"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5EF83FC9"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74B3EEF6"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35E3579E" w14:textId="77777777" w:rsidR="00997CBE" w:rsidRDefault="005E7B61"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6DA512CD" w14:textId="77777777" w:rsidR="00997CBE" w:rsidRDefault="005E7B61"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CORESETPoolIndex</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Heading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Until RAN1#110, investigate the possibility to have one solution for sDCI and mDCI mTRP</w:t>
      </w:r>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Heading2"/>
        <w:spacing w:before="0" w:after="0"/>
        <w:ind w:left="2" w:hanging="2"/>
        <w:rPr>
          <w:rFonts w:cs="Times New Roman"/>
          <w:b w:val="0"/>
          <w:bCs w:val="0"/>
          <w:sz w:val="18"/>
          <w:szCs w:val="18"/>
        </w:rPr>
      </w:pPr>
      <w:r>
        <w:rPr>
          <w:rFonts w:cs="Times New Roman"/>
          <w:sz w:val="18"/>
          <w:szCs w:val="18"/>
        </w:rPr>
        <w:lastRenderedPageBreak/>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2B9FDD65" w14:textId="77777777" w:rsidR="0030772B" w:rsidRDefault="0030772B" w:rsidP="0030772B">
      <w:pPr>
        <w:pStyle w:val="ListParagraph"/>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values</w:t>
      </w:r>
    </w:p>
    <w:p w14:paraId="2EFD4861" w14:textId="77777777" w:rsidR="0030772B" w:rsidRDefault="0030772B" w:rsidP="0030772B">
      <w:pPr>
        <w:pStyle w:val="ListParagraph"/>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45CE7F2A" w14:textId="77777777" w:rsidR="0030772B" w:rsidRDefault="0030772B" w:rsidP="0030772B">
      <w:pPr>
        <w:pStyle w:val="ListParagraph"/>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 xml:space="preserve">values to indicate joint/DL/UL TCI state(s) corresponding to the same or different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w:t>
      </w:r>
    </w:p>
    <w:p w14:paraId="1DF14481" w14:textId="77777777" w:rsidR="0030772B" w:rsidRDefault="0030772B" w:rsidP="0030772B">
      <w:pPr>
        <w:pStyle w:val="ListParagraph"/>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r>
        <w:rPr>
          <w:rFonts w:ascii="Times New Roman" w:hAnsi="Times New Roman" w:cs="Times New Roman"/>
          <w:i/>
          <w:iCs/>
          <w:color w:val="000000"/>
          <w:sz w:val="18"/>
          <w:szCs w:val="18"/>
        </w:rPr>
        <w:t xml:space="preserve">CORESETPoolIndex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r>
        <w:rPr>
          <w:rFonts w:ascii="Times New Roman" w:hAnsi="Times New Roman" w:cs="Times New Roman"/>
          <w:i/>
          <w:iCs/>
          <w:color w:val="000000"/>
          <w:sz w:val="18"/>
          <w:szCs w:val="18"/>
        </w:rPr>
        <w:t xml:space="preserve">CORESETPoolInde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4"/>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CE54" w14:textId="77777777" w:rsidR="001F30C4" w:rsidRDefault="001F30C4" w:rsidP="005E7B61">
      <w:pPr>
        <w:spacing w:after="0" w:line="240" w:lineRule="auto"/>
      </w:pPr>
      <w:r>
        <w:separator/>
      </w:r>
    </w:p>
  </w:endnote>
  <w:endnote w:type="continuationSeparator" w:id="0">
    <w:p w14:paraId="3FCFA5C4" w14:textId="77777777" w:rsidR="001F30C4" w:rsidRDefault="001F30C4"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9ED8" w14:textId="77777777" w:rsidR="001F30C4" w:rsidRDefault="001F30C4" w:rsidP="005E7B61">
      <w:pPr>
        <w:spacing w:after="0" w:line="240" w:lineRule="auto"/>
      </w:pPr>
      <w:r>
        <w:separator/>
      </w:r>
    </w:p>
  </w:footnote>
  <w:footnote w:type="continuationSeparator" w:id="0">
    <w:p w14:paraId="40DCCAF4" w14:textId="77777777" w:rsidR="001F30C4" w:rsidRDefault="001F30C4"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7"/>
  </w:num>
  <w:num w:numId="3">
    <w:abstractNumId w:val="14"/>
  </w:num>
  <w:num w:numId="4">
    <w:abstractNumId w:val="16"/>
  </w:num>
  <w:num w:numId="5">
    <w:abstractNumId w:val="25"/>
  </w:num>
  <w:num w:numId="6">
    <w:abstractNumId w:val="9"/>
  </w:num>
  <w:num w:numId="7">
    <w:abstractNumId w:val="31"/>
  </w:num>
  <w:num w:numId="8">
    <w:abstractNumId w:val="27"/>
  </w:num>
  <w:num w:numId="9">
    <w:abstractNumId w:val="0"/>
  </w:num>
  <w:num w:numId="10">
    <w:abstractNumId w:val="17"/>
  </w:num>
  <w:num w:numId="11">
    <w:abstractNumId w:val="26"/>
  </w:num>
  <w:num w:numId="12">
    <w:abstractNumId w:val="22"/>
  </w:num>
  <w:num w:numId="13">
    <w:abstractNumId w:val="10"/>
  </w:num>
  <w:num w:numId="14">
    <w:abstractNumId w:val="21"/>
  </w:num>
  <w:num w:numId="15">
    <w:abstractNumId w:val="19"/>
  </w:num>
  <w:num w:numId="16">
    <w:abstractNumId w:val="33"/>
  </w:num>
  <w:num w:numId="17">
    <w:abstractNumId w:val="2"/>
  </w:num>
  <w:num w:numId="18">
    <w:abstractNumId w:val="32"/>
  </w:num>
  <w:num w:numId="19">
    <w:abstractNumId w:val="28"/>
  </w:num>
  <w:num w:numId="20">
    <w:abstractNumId w:val="1"/>
  </w:num>
  <w:num w:numId="21">
    <w:abstractNumId w:val="18"/>
  </w:num>
  <w:num w:numId="22">
    <w:abstractNumId w:val="20"/>
  </w:num>
  <w:num w:numId="23">
    <w:abstractNumId w:val="29"/>
  </w:num>
  <w:num w:numId="24">
    <w:abstractNumId w:val="13"/>
  </w:num>
  <w:num w:numId="25">
    <w:abstractNumId w:val="15"/>
  </w:num>
  <w:num w:numId="26">
    <w:abstractNumId w:val="6"/>
  </w:num>
  <w:num w:numId="27">
    <w:abstractNumId w:val="24"/>
  </w:num>
  <w:num w:numId="28">
    <w:abstractNumId w:val="30"/>
  </w:num>
  <w:num w:numId="29">
    <w:abstractNumId w:val="4"/>
  </w:num>
  <w:num w:numId="30">
    <w:abstractNumId w:val="5"/>
  </w:num>
  <w:num w:numId="31">
    <w:abstractNumId w:val="23"/>
  </w:num>
  <w:num w:numId="32">
    <w:abstractNumId w:val="12"/>
  </w:num>
  <w:num w:numId="33">
    <w:abstractNumId w:val="3"/>
  </w:num>
  <w:num w:numId="3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Normal"/>
    <w:link w:val="ListParagraphChar"/>
    <w:uiPriority w:val="99"/>
    <w:qFormat/>
    <w:pPr>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eastAsia="Malgun Gothic"/>
      <w:lang w:eastAsia="en-US"/>
    </w:rPr>
  </w:style>
  <w:style w:type="paragraph" w:customStyle="1" w:styleId="1">
    <w:name w:val="修订1"/>
    <w:hidden/>
    <w:uiPriority w:val="99"/>
    <w:semiHidden/>
    <w:qFormat/>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qFormat/>
    <w:rPr>
      <w:rFonts w:ascii="Arial" w:eastAsia="Batang" w:hAnsi="Arial" w:cs="Times New Roman"/>
      <w:b/>
      <w:bCs/>
      <w:i/>
      <w:sz w:val="20"/>
      <w:szCs w:val="26"/>
      <w:lang w:val="en-GB"/>
    </w:rPr>
  </w:style>
  <w:style w:type="character" w:customStyle="1" w:styleId="Heading5Char">
    <w:name w:val="Heading 5 Char"/>
    <w:basedOn w:val="DefaultParagraphFont"/>
    <w:link w:val="Heading5"/>
    <w:qFormat/>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qFormat/>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E0086-BB8A-4F4B-B137-19A3F8E27E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7377</Words>
  <Characters>42053</Characters>
  <Application>Microsoft Office Word</Application>
  <DocSecurity>0</DocSecurity>
  <Lines>350</Lines>
  <Paragraphs>98</Paragraphs>
  <ScaleCrop>false</ScaleCrop>
  <Company>MediaTek</Company>
  <LinksUpToDate>false</LinksUpToDate>
  <CharactersWithSpaces>49332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Chenxi CX1 Zhu</cp:lastModifiedBy>
  <cp:revision>3</cp:revision>
  <dcterms:created xsi:type="dcterms:W3CDTF">2022-05-19T15:03:00Z</dcterms:created>
  <dcterms:modified xsi:type="dcterms:W3CDTF">2022-05-19T15:16:00Z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