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新細明體"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331A50">
      <w:pPr>
        <w:pStyle w:val="af3"/>
        <w:numPr>
          <w:ilvl w:val="1"/>
          <w:numId w:val="5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A34843">
      <w:pPr>
        <w:pStyle w:val="af3"/>
        <w:numPr>
          <w:ilvl w:val="1"/>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A34843">
      <w:pPr>
        <w:pStyle w:val="af3"/>
        <w:numPr>
          <w:ilvl w:val="0"/>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A34843">
      <w:pPr>
        <w:pStyle w:val="af3"/>
        <w:numPr>
          <w:ilvl w:val="1"/>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A34843">
      <w:pPr>
        <w:pStyle w:val="af3"/>
        <w:numPr>
          <w:ilvl w:val="1"/>
          <w:numId w:val="5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1964C122" w:rsidR="00573E0F" w:rsidRPr="00573E0F" w:rsidRDefault="00573E0F" w:rsidP="00A34843">
      <w:pPr>
        <w:pStyle w:val="af3"/>
        <w:numPr>
          <w:ilvl w:val="1"/>
          <w:numId w:val="5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2829DC44"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A34843">
      <w:pPr>
        <w:pStyle w:val="af3"/>
        <w:numPr>
          <w:ilvl w:val="1"/>
          <w:numId w:val="5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A34843">
      <w:pPr>
        <w:pStyle w:val="af3"/>
        <w:numPr>
          <w:ilvl w:val="1"/>
          <w:numId w:val="5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0B6FA00E" w14:textId="7C3D43D6" w:rsidR="00573E0F" w:rsidRPr="00573E0F" w:rsidRDefault="00573E0F" w:rsidP="00A34843">
      <w:pPr>
        <w:rPr>
          <w:rFonts w:ascii="Times New Roman" w:hAnsi="Times New Roman" w:cs="Times New Roman"/>
          <w:sz w:val="18"/>
          <w:szCs w:val="18"/>
        </w:rPr>
      </w:pPr>
    </w:p>
    <w:p w14:paraId="1338032F" w14:textId="1C3D1C20"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xml:space="preserve">: On unified TCI framework extension for multi-DCI based MTRP, consider the following alternatives for TCI state update and study </w:t>
      </w:r>
      <w:proofErr w:type="gramStart"/>
      <w:r w:rsidRPr="00573E0F">
        <w:rPr>
          <w:rFonts w:cs="Times New Roman"/>
          <w:b w:val="0"/>
          <w:bCs w:val="0"/>
          <w:sz w:val="18"/>
          <w:szCs w:val="18"/>
        </w:rPr>
        <w:t>whether or not</w:t>
      </w:r>
      <w:proofErr w:type="gramEnd"/>
      <w:r w:rsidRPr="00573E0F">
        <w:rPr>
          <w:rFonts w:cs="Times New Roman"/>
          <w:b w:val="0"/>
          <w:bCs w:val="0"/>
          <w:sz w:val="18"/>
          <w:szCs w:val="18"/>
        </w:rPr>
        <w:t xml:space="preserve"> the single-DCI MTRP solution is applicable also to multi-DCI MTRP</w:t>
      </w:r>
    </w:p>
    <w:p w14:paraId="66DECCB5" w14:textId="77777777" w:rsidR="00573E0F" w:rsidRPr="00573E0F" w:rsidRDefault="00573E0F" w:rsidP="00A34843">
      <w:pPr>
        <w:pStyle w:val="af3"/>
        <w:numPr>
          <w:ilvl w:val="0"/>
          <w:numId w:val="5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0C602329"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5F31827B" w14:textId="77777777"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0967976E"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66291C45" w14:textId="77777777"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522E5D94"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proofErr w:type="gramStart"/>
      <w:r w:rsidRPr="00573E0F">
        <w:rPr>
          <w:rFonts w:ascii="Times New Roman" w:hAnsi="Times New Roman" w:cs="Times New Roman"/>
          <w:color w:val="000000"/>
          <w:sz w:val="18"/>
          <w:szCs w:val="18"/>
        </w:rPr>
        <w:t>or</w:t>
      </w:r>
      <w:proofErr w:type="gramEnd"/>
      <w:r w:rsidRPr="00573E0F">
        <w:rPr>
          <w:rFonts w:ascii="Times New Roman" w:hAnsi="Times New Roman" w:cs="Times New Roman"/>
          <w:color w:val="000000"/>
          <w:sz w:val="18"/>
          <w:szCs w:val="18"/>
        </w:rPr>
        <w:t xml:space="preserve"> M-DCI should be treated equally when study/discuss</w:t>
      </w:r>
    </w:p>
    <w:p w14:paraId="5064800C" w14:textId="77777777" w:rsidR="00573E0F" w:rsidRPr="00573E0F" w:rsidRDefault="00573E0F" w:rsidP="00A34843">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xml:space="preserve">: Until RAN1#110, investigate the possibility to have one solution for </w:t>
      </w:r>
      <w:proofErr w:type="spellStart"/>
      <w:r w:rsidRPr="00573E0F">
        <w:rPr>
          <w:rFonts w:cs="Times New Roman"/>
          <w:b w:val="0"/>
          <w:bCs w:val="0"/>
          <w:sz w:val="18"/>
          <w:szCs w:val="18"/>
        </w:rPr>
        <w:t>sDCI</w:t>
      </w:r>
      <w:proofErr w:type="spellEnd"/>
      <w:r w:rsidRPr="00573E0F">
        <w:rPr>
          <w:rFonts w:cs="Times New Roman"/>
          <w:b w:val="0"/>
          <w:bCs w:val="0"/>
          <w:sz w:val="18"/>
          <w:szCs w:val="18"/>
        </w:rPr>
        <w:t xml:space="preserve"> and </w:t>
      </w:r>
      <w:proofErr w:type="spellStart"/>
      <w:r w:rsidRPr="00573E0F">
        <w:rPr>
          <w:rFonts w:cs="Times New Roman"/>
          <w:b w:val="0"/>
          <w:bCs w:val="0"/>
          <w:sz w:val="18"/>
          <w:szCs w:val="18"/>
        </w:rPr>
        <w:t>mDCI</w:t>
      </w:r>
      <w:proofErr w:type="spellEnd"/>
      <w:r w:rsidRPr="00573E0F">
        <w:rPr>
          <w:rFonts w:cs="Times New Roman"/>
          <w:b w:val="0"/>
          <w:bCs w:val="0"/>
          <w:sz w:val="18"/>
          <w:szCs w:val="18"/>
        </w:rPr>
        <w:t xml:space="preserve"> </w:t>
      </w:r>
      <w:proofErr w:type="spellStart"/>
      <w:r w:rsidRPr="00573E0F">
        <w:rPr>
          <w:rFonts w:cs="Times New Roman"/>
          <w:b w:val="0"/>
          <w:bCs w:val="0"/>
          <w:sz w:val="18"/>
          <w:szCs w:val="18"/>
        </w:rPr>
        <w:t>mTRP</w:t>
      </w:r>
      <w:proofErr w:type="spellEnd"/>
    </w:p>
    <w:p w14:paraId="652BA06B" w14:textId="334A9D8C"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A34843">
      <w:pPr>
        <w:pStyle w:val="af3"/>
        <w:numPr>
          <w:ilvl w:val="0"/>
          <w:numId w:val="5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77777777"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A34843">
      <w:pPr>
        <w:pStyle w:val="af3"/>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A34843">
      <w:pPr>
        <w:pStyle w:val="af3"/>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proofErr w:type="gramStart"/>
      <w:r w:rsidRPr="00573E0F">
        <w:rPr>
          <w:rFonts w:ascii="Times New Roman" w:hAnsi="Times New Roman" w:cs="Times New Roman"/>
          <w:color w:val="000000"/>
          <w:sz w:val="18"/>
          <w:szCs w:val="18"/>
        </w:rPr>
        <w:t>or</w:t>
      </w:r>
      <w:proofErr w:type="gramEnd"/>
      <w:r w:rsidRPr="00573E0F">
        <w:rPr>
          <w:rFonts w:ascii="Times New Roman" w:hAnsi="Times New Roman" w:cs="Times New Roman"/>
          <w:color w:val="000000"/>
          <w:sz w:val="18"/>
          <w:szCs w:val="18"/>
        </w:rPr>
        <w:t xml:space="preserve"> M-DCI should be treated equally when study/discuss</w:t>
      </w:r>
    </w:p>
    <w:p w14:paraId="7C5D8DC3" w14:textId="0D912B2A" w:rsidR="00573E0F" w:rsidRDefault="00573E0F" w:rsidP="00A34843">
      <w:pPr>
        <w:rPr>
          <w:rFonts w:ascii="Times New Roman" w:hAnsi="Times New Roman" w:cs="Times New Roman"/>
          <w:sz w:val="18"/>
          <w:szCs w:val="18"/>
          <w:lang w:val="en-GB"/>
        </w:rPr>
      </w:pPr>
    </w:p>
    <w:p w14:paraId="4ACCF861" w14:textId="3347A67E" w:rsidR="00BB5EB5" w:rsidRPr="00BB5EB5" w:rsidRDefault="00BB5EB5" w:rsidP="00A34843">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2</w:t>
      </w:r>
      <w:r w:rsidRPr="00BB5EB5">
        <w:rPr>
          <w:rFonts w:cs="Times New Roman"/>
          <w:b w:val="0"/>
          <w:bCs w:val="0"/>
          <w:sz w:val="18"/>
          <w:szCs w:val="18"/>
        </w:rPr>
        <w:t xml:space="preserve">: </w:t>
      </w:r>
      <w:bookmarkStart w:id="3"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3"/>
      <w:r w:rsidRPr="00A34843">
        <w:rPr>
          <w:rFonts w:cs="Times New Roman"/>
          <w:b w:val="0"/>
          <w:bCs w:val="0"/>
          <w:strike/>
          <w:color w:val="FF0000"/>
          <w:sz w:val="18"/>
          <w:szCs w:val="18"/>
        </w:rPr>
        <w:t xml:space="preserve"> </w:t>
      </w:r>
      <w:r w:rsidRPr="00573E0F">
        <w:rPr>
          <w:rFonts w:cs="Times New Roman"/>
          <w:b w:val="0"/>
          <w:bCs w:val="0"/>
          <w:sz w:val="18"/>
          <w:szCs w:val="18"/>
        </w:rPr>
        <w:t xml:space="preserve">and </w:t>
      </w:r>
      <w:r w:rsidRPr="00573E0F">
        <w:rPr>
          <w:rFonts w:cs="Times New Roman"/>
          <w:b w:val="0"/>
          <w:bCs w:val="0"/>
          <w:color w:val="FF0000"/>
          <w:sz w:val="18"/>
          <w:szCs w:val="18"/>
        </w:rPr>
        <w:t xml:space="preserve">investigate the possibility to have one solution for </w:t>
      </w:r>
      <w:r>
        <w:rPr>
          <w:rFonts w:cs="Times New Roman"/>
          <w:b w:val="0"/>
          <w:bCs w:val="0"/>
          <w:color w:val="FF0000"/>
          <w:sz w:val="18"/>
          <w:szCs w:val="18"/>
        </w:rPr>
        <w:t>S-</w:t>
      </w:r>
      <w:r w:rsidRPr="00573E0F">
        <w:rPr>
          <w:rFonts w:cs="Times New Roman"/>
          <w:b w:val="0"/>
          <w:bCs w:val="0"/>
          <w:color w:val="FF0000"/>
          <w:sz w:val="18"/>
          <w:szCs w:val="18"/>
        </w:rPr>
        <w:t xml:space="preserve">DCI and </w:t>
      </w:r>
      <w:r>
        <w:rPr>
          <w:rFonts w:cs="Times New Roman"/>
          <w:b w:val="0"/>
          <w:bCs w:val="0"/>
          <w:color w:val="FF0000"/>
          <w:sz w:val="18"/>
          <w:szCs w:val="18"/>
        </w:rPr>
        <w:t>M-</w:t>
      </w:r>
      <w:r w:rsidRPr="00573E0F">
        <w:rPr>
          <w:rFonts w:cs="Times New Roman"/>
          <w:b w:val="0"/>
          <w:bCs w:val="0"/>
          <w:color w:val="FF0000"/>
          <w:sz w:val="18"/>
          <w:szCs w:val="18"/>
        </w:rPr>
        <w:t xml:space="preserve">DCI </w:t>
      </w:r>
      <w:r>
        <w:rPr>
          <w:rFonts w:cs="Times New Roman"/>
          <w:b w:val="0"/>
          <w:bCs w:val="0"/>
          <w:color w:val="FF0000"/>
          <w:sz w:val="18"/>
          <w:szCs w:val="18"/>
        </w:rPr>
        <w:t>based M-</w:t>
      </w:r>
      <w:r w:rsidRPr="00573E0F">
        <w:rPr>
          <w:rFonts w:cs="Times New Roman"/>
          <w:b w:val="0"/>
          <w:bCs w:val="0"/>
          <w:color w:val="FF0000"/>
          <w:sz w:val="18"/>
          <w:szCs w:val="18"/>
        </w:rPr>
        <w:t>TRP</w:t>
      </w:r>
    </w:p>
    <w:p w14:paraId="34617229"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4"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4"/>
    </w:p>
    <w:p w14:paraId="19656F54"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5"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5"/>
    </w:p>
    <w:p w14:paraId="636CBA96"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A34843">
      <w:pPr>
        <w:pStyle w:val="af3"/>
        <w:numPr>
          <w:ilvl w:val="0"/>
          <w:numId w:val="53"/>
        </w:numPr>
        <w:spacing w:after="0" w:line="252" w:lineRule="atLeast"/>
        <w:jc w:val="both"/>
        <w:rPr>
          <w:rFonts w:ascii="新細明體" w:hAnsi="新細明體"/>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新細明體" w:hAnsi="新細明體"/>
          <w:color w:val="000000"/>
          <w:sz w:val="18"/>
          <w:szCs w:val="18"/>
        </w:rPr>
      </w:pPr>
      <w:bookmarkStart w:id="6"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6"/>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1676CE62" w:rsidR="00573E0F" w:rsidRPr="00B622E9" w:rsidRDefault="00573E0F" w:rsidP="00A34843">
      <w:pPr>
        <w:rPr>
          <w:rFonts w:ascii="Times New Roman" w:hAnsi="Times New Roman" w:cs="Times New Roman"/>
          <w:sz w:val="18"/>
          <w:szCs w:val="18"/>
        </w:rPr>
      </w:pPr>
    </w:p>
    <w:bookmarkEnd w:id="2"/>
    <w:p w14:paraId="6E8668D1" w14:textId="138CDC8D" w:rsidR="000176E7" w:rsidRPr="00BA0F19" w:rsidRDefault="000176E7"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sidR="001F3D02"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1F3D02">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6A4A0F" w:rsidRPr="006A4A0F">
        <w:rPr>
          <w:rFonts w:cs="Times New Roman"/>
          <w:b w:val="0"/>
          <w:bCs w:val="0"/>
          <w:color w:val="000000" w:themeColor="text1"/>
          <w:sz w:val="18"/>
          <w:szCs w:val="18"/>
        </w:rPr>
        <w:t>indicate the</w:t>
      </w:r>
      <w:r w:rsidR="006A4A0F" w:rsidRPr="00BA0F19">
        <w:rPr>
          <w:rFonts w:cs="Times New Roman"/>
          <w:b w:val="0"/>
          <w:bCs w:val="0"/>
          <w:color w:val="000000" w:themeColor="text1"/>
          <w:sz w:val="18"/>
          <w:szCs w:val="18"/>
        </w:rPr>
        <w:t xml:space="preserve"> ma</w:t>
      </w:r>
      <w:r w:rsidR="006A4A0F">
        <w:rPr>
          <w:rFonts w:cs="Times New Roman"/>
          <w:b w:val="0"/>
          <w:bCs w:val="0"/>
          <w:color w:val="000000" w:themeColor="text1"/>
          <w:sz w:val="18"/>
          <w:szCs w:val="18"/>
        </w:rPr>
        <w:t>pping</w:t>
      </w:r>
      <w:r w:rsidRPr="00BA0F19">
        <w:rPr>
          <w:rFonts w:cs="Times New Roman"/>
          <w:b w:val="0"/>
          <w:bCs w:val="0"/>
          <w:color w:val="000000" w:themeColor="text1"/>
          <w:sz w:val="18"/>
          <w:szCs w:val="18"/>
        </w:rPr>
        <w:t>/associat</w:t>
      </w:r>
      <w:r w:rsidR="006A4A0F">
        <w:rPr>
          <w:rFonts w:cs="Times New Roman"/>
          <w:b w:val="0"/>
          <w:bCs w:val="0"/>
          <w:color w:val="000000" w:themeColor="text1"/>
          <w:sz w:val="18"/>
          <w:szCs w:val="18"/>
        </w:rPr>
        <w:t>ion</w:t>
      </w:r>
      <w:r w:rsidRPr="00BA0F19">
        <w:rPr>
          <w:rFonts w:cs="Times New Roman"/>
          <w:b w:val="0"/>
          <w:bCs w:val="0"/>
          <w:color w:val="000000" w:themeColor="text1"/>
          <w:sz w:val="18"/>
          <w:szCs w:val="18"/>
        </w:rPr>
        <w:t xml:space="preserve"> </w:t>
      </w:r>
      <w:r w:rsidR="006A4A0F" w:rsidRPr="006A4A0F">
        <w:rPr>
          <w:rFonts w:cs="Times New Roman"/>
          <w:b w:val="0"/>
          <w:bCs w:val="0"/>
          <w:color w:val="000000" w:themeColor="text1"/>
          <w:sz w:val="18"/>
          <w:szCs w:val="18"/>
        </w:rPr>
        <w:t xml:space="preserve">between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w:t>
      </w:r>
      <w:r w:rsidR="001F3D02">
        <w:rPr>
          <w:rFonts w:cs="Times New Roman"/>
          <w:b w:val="0"/>
          <w:bCs w:val="0"/>
          <w:color w:val="000000" w:themeColor="text1"/>
          <w:sz w:val="18"/>
          <w:szCs w:val="18"/>
        </w:rPr>
        <w:t>s</w:t>
      </w:r>
      <w:r w:rsidRPr="00BA0F19">
        <w:rPr>
          <w:rFonts w:cs="Times New Roman"/>
          <w:b w:val="0"/>
          <w:bCs w:val="0"/>
          <w:color w:val="000000" w:themeColor="text1"/>
          <w:sz w:val="18"/>
          <w:szCs w:val="18"/>
        </w:rPr>
        <w:t xml:space="preserve"> </w:t>
      </w:r>
      <w:r w:rsidR="006A4A0F">
        <w:rPr>
          <w:rFonts w:cs="Times New Roman"/>
          <w:b w:val="0"/>
          <w:bCs w:val="0"/>
          <w:color w:val="000000" w:themeColor="text1"/>
          <w:sz w:val="18"/>
          <w:szCs w:val="18"/>
        </w:rPr>
        <w:t>and</w:t>
      </w:r>
      <w:r w:rsidRPr="00BA0F19">
        <w:rPr>
          <w:rFonts w:cs="Times New Roman"/>
          <w:b w:val="0"/>
          <w:bCs w:val="0"/>
          <w:color w:val="000000" w:themeColor="text1"/>
          <w:sz w:val="18"/>
          <w:szCs w:val="18"/>
        </w:rPr>
        <w:t xml:space="preserve">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w:t>
      </w:r>
      <w:r w:rsidR="0012241A">
        <w:rPr>
          <w:rFonts w:cs="Times New Roman"/>
          <w:b w:val="0"/>
          <w:bCs w:val="0"/>
          <w:color w:val="000000" w:themeColor="text1"/>
          <w:sz w:val="18"/>
          <w:szCs w:val="18"/>
        </w:rPr>
        <w:t>(</w:t>
      </w:r>
      <w:r w:rsidR="00963D70">
        <w:rPr>
          <w:rFonts w:cs="Times New Roman"/>
          <w:b w:val="0"/>
          <w:bCs w:val="0"/>
          <w:color w:val="000000" w:themeColor="text1"/>
          <w:sz w:val="18"/>
          <w:szCs w:val="18"/>
        </w:rPr>
        <w:t>s</w:t>
      </w:r>
      <w:r w:rsidR="0012241A">
        <w:rPr>
          <w:rFonts w:cs="Times New Roman"/>
          <w:b w:val="0"/>
          <w:bCs w:val="0"/>
          <w:color w:val="000000" w:themeColor="text1"/>
          <w:sz w:val="18"/>
          <w:szCs w:val="18"/>
        </w:rPr>
        <w:t>)</w:t>
      </w:r>
      <w:r w:rsidRPr="00BA0F19">
        <w:rPr>
          <w:rFonts w:cs="Times New Roman"/>
          <w:b w:val="0"/>
          <w:bCs w:val="0"/>
          <w:color w:val="000000" w:themeColor="text1"/>
          <w:sz w:val="18"/>
          <w:szCs w:val="18"/>
        </w:rPr>
        <w:t>:</w:t>
      </w:r>
    </w:p>
    <w:p w14:paraId="356FFA22" w14:textId="11A6FBF6" w:rsidR="000176E7" w:rsidRPr="00BD7B24" w:rsidRDefault="000176E7" w:rsidP="00A34843">
      <w:pPr>
        <w:pStyle w:val="af3"/>
        <w:numPr>
          <w:ilvl w:val="0"/>
          <w:numId w:val="11"/>
        </w:numPr>
        <w:spacing w:after="0"/>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w:t>
      </w:r>
      <w:r w:rsidR="0012241A">
        <w:rPr>
          <w:rFonts w:ascii="Times New Roman" w:hAnsi="Times New Roman" w:cs="Times New Roman"/>
          <w:color w:val="000000" w:themeColor="text1"/>
          <w:sz w:val="18"/>
          <w:szCs w:val="18"/>
          <w:lang w:val="en-GB"/>
        </w:rPr>
        <w:t xml:space="preserve"> the existing</w:t>
      </w:r>
      <w:r w:rsidR="00F8239F">
        <w:rPr>
          <w:rFonts w:ascii="Times New Roman" w:hAnsi="Times New Roman" w:cs="Times New Roman"/>
          <w:color w:val="000000" w:themeColor="text1"/>
          <w:sz w:val="18"/>
          <w:szCs w:val="18"/>
          <w:lang w:val="en-GB"/>
        </w:rPr>
        <w:t xml:space="preserve"> TCI field)</w:t>
      </w:r>
      <w:r>
        <w:rPr>
          <w:rFonts w:ascii="Times New Roman" w:hAnsi="Times New Roman" w:cs="Times New Roman"/>
          <w:color w:val="000000" w:themeColor="text1"/>
          <w:sz w:val="18"/>
          <w:szCs w:val="18"/>
          <w:lang w:val="en-GB"/>
        </w:rPr>
        <w:t xml:space="preserve"> in a scheduling DCI to </w:t>
      </w:r>
      <w:r w:rsidR="0012241A">
        <w:rPr>
          <w:rFonts w:ascii="Times New Roman" w:hAnsi="Times New Roman" w:cs="Times New Roman"/>
          <w:color w:val="000000" w:themeColor="text1"/>
          <w:sz w:val="18"/>
          <w:szCs w:val="18"/>
          <w:lang w:val="en-GB"/>
        </w:rPr>
        <w:t>indicate the mapping/association</w:t>
      </w:r>
    </w:p>
    <w:p w14:paraId="53CDF207" w14:textId="28B0EC92" w:rsidR="00557C40" w:rsidRDefault="00557C40" w:rsidP="00A34843">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sidR="0012241A">
        <w:rPr>
          <w:rFonts w:ascii="Times New Roman" w:hAnsi="Times New Roman" w:cs="Times New Roman"/>
          <w:color w:val="000000" w:themeColor="text1"/>
          <w:sz w:val="18"/>
          <w:szCs w:val="18"/>
          <w:lang w:val="en-GB"/>
        </w:rPr>
        <w:t>to indicate the mapping/association</w:t>
      </w:r>
    </w:p>
    <w:p w14:paraId="5C436E86" w14:textId="3FEA1150" w:rsidR="002E302B" w:rsidRPr="00BB6E63" w:rsidRDefault="002E302B" w:rsidP="00A34843">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sidR="0012241A">
        <w:rPr>
          <w:rFonts w:ascii="Times New Roman" w:hAnsi="Times New Roman" w:cs="Times New Roman"/>
          <w:color w:val="000000" w:themeColor="text1"/>
          <w:sz w:val="18"/>
          <w:szCs w:val="18"/>
          <w:lang w:val="en-GB"/>
        </w:rPr>
        <w:t>to indicate the mapping/association</w:t>
      </w:r>
    </w:p>
    <w:p w14:paraId="5140B75E" w14:textId="07A6D95C" w:rsidR="00BB6E63" w:rsidRPr="00BB6E63" w:rsidRDefault="00BB6E63" w:rsidP="00A34843">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Other alternatives are not precluded</w:t>
      </w:r>
    </w:p>
    <w:p w14:paraId="7ECD9B12" w14:textId="13A440EF" w:rsidR="00F569B9" w:rsidRDefault="00557C40" w:rsidP="00A34843">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t>
      </w:r>
      <w:r w:rsidR="001F3D02">
        <w:rPr>
          <w:rFonts w:ascii="Times New Roman" w:hAnsi="Times New Roman" w:cs="Times New Roman"/>
          <w:color w:val="000000" w:themeColor="text1"/>
          <w:sz w:val="18"/>
          <w:szCs w:val="18"/>
          <w:lang w:val="en-GB"/>
        </w:rPr>
        <w:t>when</w:t>
      </w:r>
      <w:r>
        <w:rPr>
          <w:rFonts w:ascii="Times New Roman" w:hAnsi="Times New Roman" w:cs="Times New Roman"/>
          <w:color w:val="000000" w:themeColor="text1"/>
          <w:sz w:val="18"/>
          <w:szCs w:val="18"/>
          <w:lang w:val="en-GB"/>
        </w:rPr>
        <w:t xml:space="preserve"> two </w:t>
      </w:r>
      <w:r w:rsidRPr="00557C40">
        <w:rPr>
          <w:rFonts w:ascii="Times New Roman" w:hAnsi="Times New Roman" w:cs="Times New Roman"/>
          <w:color w:val="000000" w:themeColor="text1"/>
          <w:sz w:val="18"/>
          <w:szCs w:val="18"/>
          <w:lang w:val="en-GB"/>
        </w:rPr>
        <w:t>indicated joint/DL TCI state</w:t>
      </w:r>
      <w:r w:rsidR="001F3D02">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001F3D02">
        <w:rPr>
          <w:rFonts w:ascii="Times New Roman" w:hAnsi="Times New Roman" w:cs="Times New Roman"/>
          <w:color w:val="000000" w:themeColor="text1"/>
          <w:sz w:val="18"/>
          <w:szCs w:val="18"/>
          <w:lang w:val="en-GB"/>
        </w:rPr>
        <w:t>mapped/associated</w:t>
      </w:r>
      <w:r w:rsidR="006A4A0F">
        <w:rPr>
          <w:rFonts w:ascii="Times New Roman" w:hAnsi="Times New Roman" w:cs="Times New Roman" w:hint="eastAsia"/>
          <w:color w:val="000000" w:themeColor="text1"/>
          <w:sz w:val="18"/>
          <w:szCs w:val="18"/>
          <w:lang w:val="en-GB"/>
        </w:rPr>
        <w:t xml:space="preserve"> </w:t>
      </w:r>
      <w:r w:rsidR="006A4A0F">
        <w:rPr>
          <w:rFonts w:ascii="Times New Roman" w:hAnsi="Times New Roman" w:cs="Times New Roman"/>
          <w:color w:val="000000" w:themeColor="text1"/>
          <w:sz w:val="18"/>
          <w:szCs w:val="18"/>
          <w:lang w:val="en-GB"/>
        </w:rPr>
        <w:t>to the corresponding PDSCH reception</w:t>
      </w:r>
      <w:r w:rsidR="002E302B">
        <w:rPr>
          <w:rFonts w:ascii="Times New Roman" w:hAnsi="Times New Roman" w:cs="Times New Roman"/>
          <w:color w:val="000000" w:themeColor="text1"/>
          <w:sz w:val="18"/>
          <w:szCs w:val="18"/>
          <w:lang w:val="en-GB"/>
        </w:rPr>
        <w:t xml:space="preserve">, and </w:t>
      </w:r>
      <w:r w:rsidR="006A4A0F">
        <w:rPr>
          <w:rFonts w:ascii="Times New Roman" w:hAnsi="Times New Roman" w:cs="Times New Roman"/>
          <w:color w:val="000000" w:themeColor="text1"/>
          <w:sz w:val="18"/>
          <w:szCs w:val="18"/>
          <w:lang w:val="en-GB"/>
        </w:rPr>
        <w:t xml:space="preserve">it is not precluded to </w:t>
      </w:r>
      <w:r w:rsidR="002E302B">
        <w:rPr>
          <w:rFonts w:ascii="Times New Roman" w:hAnsi="Times New Roman" w:cs="Times New Roman"/>
          <w:color w:val="000000" w:themeColor="text1"/>
          <w:sz w:val="18"/>
          <w:szCs w:val="18"/>
          <w:lang w:val="en-GB"/>
        </w:rPr>
        <w:t>reus</w:t>
      </w:r>
      <w:r w:rsidR="006A4A0F">
        <w:rPr>
          <w:rFonts w:ascii="Times New Roman" w:hAnsi="Times New Roman" w:cs="Times New Roman"/>
          <w:color w:val="000000" w:themeColor="text1"/>
          <w:sz w:val="18"/>
          <w:szCs w:val="18"/>
          <w:lang w:val="en-GB"/>
        </w:rPr>
        <w:t>e</w:t>
      </w:r>
      <w:r w:rsidR="002E302B">
        <w:rPr>
          <w:rFonts w:ascii="Times New Roman" w:hAnsi="Times New Roman" w:cs="Times New Roman"/>
          <w:color w:val="000000" w:themeColor="text1"/>
          <w:sz w:val="18"/>
          <w:szCs w:val="18"/>
          <w:lang w:val="en-GB"/>
        </w:rPr>
        <w:t xml:space="preserve">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w:t>
      </w:r>
    </w:p>
    <w:p w14:paraId="1F5BCA26" w14:textId="77777777" w:rsidR="00B622E9" w:rsidRDefault="00B622E9"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f3"/>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f3"/>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f3"/>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w:t>
      </w:r>
      <w:r w:rsidR="003A23FD">
        <w:rPr>
          <w:rFonts w:ascii="Times New Roman" w:eastAsia="新細明體" w:hAnsi="Times New Roman" w:cs="Times New Roman"/>
          <w:color w:val="000000" w:themeColor="text1"/>
          <w:sz w:val="18"/>
          <w:szCs w:val="20"/>
          <w:lang w:eastAsia="zh-TW"/>
        </w:rPr>
        <w:t xml:space="preserve">hether to increase the </w:t>
      </w:r>
      <w:r w:rsidR="00DB3F8A">
        <w:rPr>
          <w:rFonts w:ascii="Times New Roman" w:eastAsia="新細明體" w:hAnsi="Times New Roman" w:cs="Times New Roman"/>
          <w:color w:val="000000" w:themeColor="text1"/>
          <w:sz w:val="18"/>
          <w:szCs w:val="20"/>
          <w:lang w:eastAsia="zh-TW"/>
        </w:rPr>
        <w:t>max</w:t>
      </w:r>
      <w:r w:rsidR="003A23FD">
        <w:rPr>
          <w:rFonts w:ascii="Times New Roman" w:eastAsia="新細明體" w:hAnsi="Times New Roman" w:cs="Times New Roman"/>
          <w:color w:val="000000" w:themeColor="text1"/>
          <w:sz w:val="18"/>
          <w:szCs w:val="20"/>
          <w:lang w:eastAsia="zh-TW"/>
        </w:rPr>
        <w:t xml:space="preserve"> number of configured TCI states in </w:t>
      </w:r>
      <w:r w:rsidR="00D91B22">
        <w:rPr>
          <w:rFonts w:ascii="Times New Roman" w:eastAsia="新細明體" w:hAnsi="Times New Roman" w:cs="Times New Roman"/>
          <w:color w:val="000000" w:themeColor="text1"/>
          <w:sz w:val="18"/>
          <w:szCs w:val="20"/>
          <w:lang w:eastAsia="zh-TW"/>
        </w:rPr>
        <w:t>the</w:t>
      </w:r>
      <w:r w:rsidR="003A23FD">
        <w:rPr>
          <w:rFonts w:ascii="Times New Roman" w:eastAsia="新細明體" w:hAnsi="Times New Roman" w:cs="Times New Roman"/>
          <w:color w:val="000000" w:themeColor="text1"/>
          <w:sz w:val="18"/>
          <w:szCs w:val="20"/>
          <w:lang w:eastAsia="zh-TW"/>
        </w:rPr>
        <w:t xml:space="preserve"> joint/DL TCI state list </w:t>
      </w:r>
      <w:r w:rsidR="00D91B22">
        <w:rPr>
          <w:rFonts w:ascii="Times New Roman" w:eastAsia="新細明體" w:hAnsi="Times New Roman" w:cs="Times New Roman"/>
          <w:color w:val="000000" w:themeColor="text1"/>
          <w:sz w:val="18"/>
          <w:szCs w:val="20"/>
          <w:lang w:eastAsia="zh-TW"/>
        </w:rPr>
        <w:t>and the</w:t>
      </w:r>
      <w:r w:rsidR="003A23FD">
        <w:rPr>
          <w:rFonts w:ascii="Times New Roman" w:eastAsia="新細明體"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F569B9">
            <w:pPr>
              <w:pStyle w:val="af3"/>
              <w:numPr>
                <w:ilvl w:val="0"/>
                <w:numId w:val="45"/>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7EC72F6" w14:textId="7EA42330" w:rsidR="002E7EEE" w:rsidRPr="00F569B9" w:rsidRDefault="002E7EEE" w:rsidP="002E7EEE">
            <w:pPr>
              <w:pStyle w:val="af3"/>
              <w:numPr>
                <w:ilvl w:val="0"/>
                <w:numId w:val="45"/>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w:t>
            </w:r>
            <w:r w:rsidR="0012241A">
              <w:rPr>
                <w:rFonts w:ascii="Times New Roman" w:eastAsia="新細明體"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B64B88">
            <w:pPr>
              <w:pStyle w:val="af3"/>
              <w:numPr>
                <w:ilvl w:val="0"/>
                <w:numId w:val="4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proofErr w:type="gramStart"/>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roofErr w:type="gramEnd"/>
          </w:p>
          <w:p w14:paraId="7D99F4C1" w14:textId="6A65A392" w:rsidR="00B64B88" w:rsidRPr="00B64B88" w:rsidRDefault="00B64B88" w:rsidP="00B64B88">
            <w:pPr>
              <w:pStyle w:val="af3"/>
              <w:numPr>
                <w:ilvl w:val="0"/>
                <w:numId w:val="49"/>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w:t>
            </w:r>
            <w:proofErr w:type="gramStart"/>
            <w:r w:rsidRPr="00B64B88">
              <w:rPr>
                <w:rFonts w:ascii="Times New Roman" w:eastAsia="DengXian" w:hAnsi="Times New Roman" w:cs="Times New Roman"/>
                <w:sz w:val="18"/>
                <w:szCs w:val="18"/>
                <w:lang w:eastAsia="zh-CN"/>
              </w:rPr>
              <w:t>TCIs;</w:t>
            </w:r>
            <w:proofErr w:type="gramEnd"/>
            <w:r w:rsidRPr="00B64B88">
              <w:rPr>
                <w:rFonts w:ascii="Times New Roman" w:eastAsia="DengXian" w:hAnsi="Times New Roman" w:cs="Times New Roman"/>
                <w:sz w:val="18"/>
                <w:szCs w:val="18"/>
                <w:lang w:eastAsia="zh-CN"/>
              </w:rPr>
              <w:t xml:space="preserve"> </w:t>
            </w:r>
          </w:p>
          <w:p w14:paraId="5564C250" w14:textId="6180C7A6" w:rsidR="00FC38BF" w:rsidRPr="00B64B88" w:rsidRDefault="00B64B88" w:rsidP="00916C74">
            <w:pPr>
              <w:pStyle w:val="af3"/>
              <w:numPr>
                <w:ilvl w:val="0"/>
                <w:numId w:val="49"/>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 xml:space="preserve">one or </w:t>
            </w:r>
            <w:proofErr w:type="gramStart"/>
            <w:r w:rsidR="00FC38BF" w:rsidRPr="00EA42E8">
              <w:rPr>
                <w:rFonts w:cs="Times New Roman"/>
                <w:b w:val="0"/>
                <w:bCs w:val="0"/>
                <w:color w:val="000000" w:themeColor="text1"/>
                <w:sz w:val="18"/>
                <w:szCs w:val="18"/>
              </w:rPr>
              <w:t>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w:t>
            </w:r>
            <w:proofErr w:type="gramEnd"/>
            <w:r w:rsidR="00FC38BF">
              <w:rPr>
                <w:rFonts w:cs="Times New Roman"/>
                <w:b w:val="0"/>
                <w:bCs w:val="0"/>
                <w:color w:val="FF0000"/>
                <w:sz w:val="18"/>
                <w:szCs w:val="18"/>
              </w:rPr>
              <w:t xml:space="preserve">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新細明體"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f3"/>
              <w:numPr>
                <w:ilvl w:val="0"/>
                <w:numId w:val="11"/>
              </w:numPr>
              <w:spacing w:after="0"/>
              <w:rPr>
                <w:rFonts w:ascii="Times New Roman" w:eastAsia="新細明體" w:hAnsi="Times New Roman" w:cs="Times New Roman"/>
                <w:color w:val="000000" w:themeColor="text1"/>
                <w:sz w:val="18"/>
                <w:szCs w:val="18"/>
                <w:lang w:val="en-GB" w:eastAsia="zh-TW"/>
              </w:rPr>
            </w:pPr>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77777777" w:rsidR="00FA01F0" w:rsidRDefault="00FA01F0"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0285BDD9" w14:textId="77777777" w:rsidR="00B63151" w:rsidRDefault="00B63151" w:rsidP="00916C74">
            <w:pPr>
              <w:snapToGrid w:val="0"/>
              <w:rPr>
                <w:rFonts w:ascii="Times New Roman" w:eastAsia="DengXian" w:hAnsi="Times New Roman" w:cs="Times New Roman"/>
                <w:sz w:val="18"/>
                <w:szCs w:val="18"/>
                <w:lang w:eastAsia="zh-CN"/>
              </w:rPr>
            </w:pP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hint="eastAsia"/>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87974C4" w14:textId="77777777" w:rsidR="00E85F41" w:rsidRDefault="00E85F41" w:rsidP="00E85F41">
            <w:pPr>
              <w:snapToGrid w:val="0"/>
              <w:rPr>
                <w:rFonts w:ascii="Times New Roman" w:hAnsi="Times New Roman" w:cs="Times New Roman"/>
                <w:sz w:val="18"/>
                <w:szCs w:val="18"/>
              </w:rPr>
            </w:pP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hint="eastAsia"/>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7" w:name="_Hlk102142298"/>
      <w:r>
        <w:rPr>
          <w:rFonts w:ascii="Times New Roman" w:eastAsia="新細明體" w:hAnsi="Times New Roman"/>
          <w:sz w:val="28"/>
          <w:lang w:val="en-US" w:eastAsia="zh-TW"/>
        </w:rPr>
        <w:lastRenderedPageBreak/>
        <w:t>Issue 3 – Beam reporting and beam failure recovery</w:t>
      </w:r>
    </w:p>
    <w:bookmarkEnd w:id="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 xml:space="preserve">If </w:t>
      </w:r>
      <w:proofErr w:type="spellStart"/>
      <w:r w:rsidR="00E11A73" w:rsidRPr="00E11A73">
        <w:rPr>
          <w:rFonts w:cs="Times New Roman"/>
          <w:b w:val="0"/>
          <w:bCs w:val="0"/>
          <w:color w:val="000000" w:themeColor="text1"/>
          <w:sz w:val="18"/>
          <w:szCs w:val="18"/>
        </w:rPr>
        <w:t>STxMP</w:t>
      </w:r>
      <w:proofErr w:type="spellEnd"/>
      <w:r w:rsidR="00E11A73" w:rsidRPr="00E11A73">
        <w:rPr>
          <w:rFonts w:cs="Times New Roman"/>
          <w:b w:val="0"/>
          <w:bCs w:val="0"/>
          <w:color w:val="000000" w:themeColor="text1"/>
          <w:sz w:val="18"/>
          <w:szCs w:val="18"/>
        </w:rPr>
        <w:t xml:space="preserve">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新細明體" w:eastAsia="新細明體" w:hAnsi="新細明體" w:cs="Times New Roman" w:hint="eastAsia"/>
          <w:sz w:val="18"/>
          <w:szCs w:val="20"/>
          <w:lang w:eastAsia="zh-TW"/>
        </w:rPr>
        <w:t xml:space="preserve"> </w:t>
      </w:r>
      <w:r w:rsidR="007509C6">
        <w:rPr>
          <w:rFonts w:ascii="Times New Roman" w:eastAsia="新細明體" w:hAnsi="Times New Roman" w:cs="Times New Roman" w:hint="eastAsia"/>
          <w:sz w:val="18"/>
          <w:szCs w:val="20"/>
          <w:lang w:eastAsia="zh-TW"/>
        </w:rPr>
        <w:t>t</w:t>
      </w:r>
      <w:r w:rsidR="007509C6">
        <w:rPr>
          <w:rFonts w:ascii="Times New Roman" w:eastAsia="新細明體"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21AFEBDD" w:rsidR="00263786" w:rsidRDefault="00263786" w:rsidP="00263786">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D17C5E3" w14:textId="2EC6F4F3" w:rsidR="00263786" w:rsidRDefault="00263786" w:rsidP="00263786">
            <w:pPr>
              <w:snapToGrid w:val="0"/>
              <w:rPr>
                <w:rFonts w:ascii="Times New Roman" w:hAnsi="Times New Roman" w:cs="Times New Roman"/>
                <w:sz w:val="18"/>
                <w:szCs w:val="18"/>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345C9BB" w14:textId="77777777" w:rsidR="00CF7E6B" w:rsidRPr="00F569B9" w:rsidRDefault="00CF7E6B">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D91B22">
      <w:pPr>
        <w:pStyle w:val="2222"/>
        <w:numPr>
          <w:ilvl w:val="0"/>
          <w:numId w:val="29"/>
        </w:numPr>
        <w:spacing w:before="240" w:after="60" w:line="240" w:lineRule="auto"/>
        <w:ind w:firstLineChars="0"/>
        <w:rPr>
          <w:rFonts w:cs="Times New Roman"/>
          <w:sz w:val="18"/>
          <w:szCs w:val="18"/>
          <w:lang w:val="en-US" w:eastAsia="ko-KR"/>
        </w:rPr>
      </w:pPr>
      <w:bookmarkStart w:id="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8"/>
    <w:p w14:paraId="75CC1BB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F9605" w14:textId="77777777" w:rsidR="00EE41DE" w:rsidRDefault="00EE41DE" w:rsidP="000F62EA">
      <w:r>
        <w:separator/>
      </w:r>
    </w:p>
  </w:endnote>
  <w:endnote w:type="continuationSeparator" w:id="0">
    <w:p w14:paraId="1C8340C3" w14:textId="77777777" w:rsidR="00EE41DE" w:rsidRDefault="00EE41D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5B41A" w14:textId="77777777" w:rsidR="00EE41DE" w:rsidRDefault="00EE41DE" w:rsidP="000F62EA">
      <w:r>
        <w:separator/>
      </w:r>
    </w:p>
  </w:footnote>
  <w:footnote w:type="continuationSeparator" w:id="0">
    <w:p w14:paraId="707FB532" w14:textId="77777777" w:rsidR="00EE41DE" w:rsidRDefault="00EE41DE"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0C5D0E7E"/>
    <w:multiLevelType w:val="hybridMultilevel"/>
    <w:tmpl w:val="A5B46AE2"/>
    <w:lvl w:ilvl="0" w:tplc="9A5A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77B"/>
    <w:multiLevelType w:val="hybridMultilevel"/>
    <w:tmpl w:val="95068C8A"/>
    <w:lvl w:ilvl="0" w:tplc="8452A5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31B1BF3"/>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B1654"/>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6B254DB"/>
    <w:multiLevelType w:val="hybridMultilevel"/>
    <w:tmpl w:val="33049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2"/>
  </w:num>
  <w:num w:numId="3">
    <w:abstractNumId w:val="20"/>
  </w:num>
  <w:num w:numId="4">
    <w:abstractNumId w:val="24"/>
  </w:num>
  <w:num w:numId="5">
    <w:abstractNumId w:val="36"/>
  </w:num>
  <w:num w:numId="6">
    <w:abstractNumId w:val="13"/>
  </w:num>
  <w:num w:numId="7">
    <w:abstractNumId w:val="46"/>
  </w:num>
  <w:num w:numId="8">
    <w:abstractNumId w:val="42"/>
  </w:num>
  <w:num w:numId="9">
    <w:abstractNumId w:val="2"/>
  </w:num>
  <w:num w:numId="10">
    <w:abstractNumId w:val="25"/>
  </w:num>
  <w:num w:numId="11">
    <w:abstractNumId w:val="41"/>
  </w:num>
  <w:num w:numId="12">
    <w:abstractNumId w:val="30"/>
  </w:num>
  <w:num w:numId="13">
    <w:abstractNumId w:val="14"/>
  </w:num>
  <w:num w:numId="14">
    <w:abstractNumId w:val="29"/>
  </w:num>
  <w:num w:numId="15">
    <w:abstractNumId w:val="27"/>
  </w:num>
  <w:num w:numId="16">
    <w:abstractNumId w:val="49"/>
  </w:num>
  <w:num w:numId="17">
    <w:abstractNumId w:val="4"/>
  </w:num>
  <w:num w:numId="18">
    <w:abstractNumId w:val="48"/>
  </w:num>
  <w:num w:numId="19">
    <w:abstractNumId w:val="43"/>
  </w:num>
  <w:num w:numId="20">
    <w:abstractNumId w:val="3"/>
  </w:num>
  <w:num w:numId="21">
    <w:abstractNumId w:val="26"/>
  </w:num>
  <w:num w:numId="22">
    <w:abstractNumId w:val="28"/>
  </w:num>
  <w:num w:numId="23">
    <w:abstractNumId w:val="44"/>
  </w:num>
  <w:num w:numId="24">
    <w:abstractNumId w:val="17"/>
  </w:num>
  <w:num w:numId="25">
    <w:abstractNumId w:val="21"/>
  </w:num>
  <w:num w:numId="26">
    <w:abstractNumId w:val="1"/>
  </w:num>
  <w:num w:numId="27">
    <w:abstractNumId w:val="38"/>
  </w:num>
  <w:num w:numId="28">
    <w:abstractNumId w:val="37"/>
  </w:num>
  <w:num w:numId="29">
    <w:abstractNumId w:val="5"/>
  </w:num>
  <w:num w:numId="30">
    <w:abstractNumId w:val="34"/>
  </w:num>
  <w:num w:numId="31">
    <w:abstractNumId w:val="35"/>
  </w:num>
  <w:num w:numId="32">
    <w:abstractNumId w:val="19"/>
  </w:num>
  <w:num w:numId="33">
    <w:abstractNumId w:val="11"/>
  </w:num>
  <w:num w:numId="34">
    <w:abstractNumId w:val="40"/>
  </w:num>
  <w:num w:numId="35">
    <w:abstractNumId w:val="0"/>
  </w:num>
  <w:num w:numId="36">
    <w:abstractNumId w:val="32"/>
  </w:num>
  <w:num w:numId="37">
    <w:abstractNumId w:val="22"/>
  </w:num>
  <w:num w:numId="38">
    <w:abstractNumId w:val="18"/>
  </w:num>
  <w:num w:numId="39">
    <w:abstractNumId w:val="31"/>
  </w:num>
  <w:num w:numId="40">
    <w:abstractNumId w:val="16"/>
  </w:num>
  <w:num w:numId="41">
    <w:abstractNumId w:val="9"/>
  </w:num>
  <w:num w:numId="42">
    <w:abstractNumId w:val="23"/>
  </w:num>
  <w:num w:numId="43">
    <w:abstractNumId w:val="39"/>
  </w:num>
  <w:num w:numId="44">
    <w:abstractNumId w:val="41"/>
  </w:num>
  <w:num w:numId="45">
    <w:abstractNumId w:val="45"/>
  </w:num>
  <w:num w:numId="46">
    <w:abstractNumId w:val="41"/>
  </w:num>
  <w:num w:numId="47">
    <w:abstractNumId w:val="8"/>
  </w:num>
  <w:num w:numId="48">
    <w:abstractNumId w:val="10"/>
  </w:num>
  <w:num w:numId="49">
    <w:abstractNumId w:val="7"/>
  </w:num>
  <w:num w:numId="50">
    <w:abstractNumId w:val="6"/>
  </w:num>
  <w:num w:numId="51">
    <w:abstractNumId w:val="21"/>
  </w:num>
  <w:num w:numId="52">
    <w:abstractNumId w:val="10"/>
  </w:num>
  <w:num w:numId="53">
    <w:abstractNumId w:val="33"/>
  </w:num>
  <w:num w:numId="54">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목록 단락 字元,목록단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3B661-F476-449A-B09B-2AB70F0F072D}">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4145</Words>
  <Characters>23628</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5</cp:revision>
  <dcterms:created xsi:type="dcterms:W3CDTF">2022-05-19T02:28:00Z</dcterms:created>
  <dcterms:modified xsi:type="dcterms:W3CDTF">2022-05-19T02:32:00Z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