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RedCap</w:t>
      </w:r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RedCap</w:t>
      </w:r>
      <w:r w:rsidR="006449DB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19B4A87D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0D7B6174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7830030B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FA6161">
              <w:rPr>
                <w:rFonts w:eastAsiaTheme="minorEastAsia"/>
                <w:lang w:val="en-US" w:eastAsia="zh-CN"/>
              </w:rPr>
              <w:t>panxueming@vivo.com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30CC19B1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5F8A9497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16D9C509" w:rsidR="003A54B0" w:rsidRDefault="00DB153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35D35AA4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5F0C831A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29AA117" w:rsidR="003A54B0" w:rsidRDefault="00A05A5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leijing@qti.qualcomm.com</w:t>
            </w: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Msg4/MsgB,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Msg4/MsgB</w:t>
      </w:r>
      <w:r w:rsidR="009F27C7">
        <w:rPr>
          <w:lang w:val="en-US"/>
        </w:rPr>
        <w:t xml:space="preserve"> and supports to confirm the WA </w:t>
      </w:r>
      <w:r w:rsidR="009F27C7">
        <w:rPr>
          <w:lang w:val="en-US"/>
        </w:rPr>
        <w:lastRenderedPageBreak/>
        <w:t>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RedCap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>during the RACH procedure, e.g., from the transmission of the Msg.1 to the transmission of the PUCCH for Msg.4, the RedCap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 xml:space="preserve">For Case 5 of SSB overlapping with Msg3 (re)transmission or PUCCH for Msg4/MsgB, reuse the </w:t>
      </w:r>
      <w:proofErr w:type="gramStart"/>
      <w:r w:rsidRPr="00F0372E">
        <w:rPr>
          <w:rFonts w:ascii="Times New Roman" w:hAnsi="Times New Roman" w:cs="Times New Roman"/>
          <w:sz w:val="20"/>
          <w:szCs w:val="20"/>
        </w:rPr>
        <w:t>same handling</w:t>
      </w:r>
      <w:proofErr w:type="gramEnd"/>
      <w:r w:rsidRPr="00F0372E">
        <w:rPr>
          <w:rFonts w:ascii="Times New Roman" w:hAnsi="Times New Roman" w:cs="Times New Roman"/>
          <w:sz w:val="20"/>
          <w:szCs w:val="20"/>
        </w:rPr>
        <w:t xml:space="preserve"> as for other dynamically scheduled UL transmission and prioritize the SSB</w:t>
      </w:r>
    </w:p>
    <w:p w14:paraId="376CD315" w14:textId="663C14AF" w:rsidR="009F27C7" w:rsidRDefault="009F27C7" w:rsidP="00F0372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204DBDD2" w:rsidR="003B4267" w:rsidRDefault="00FA616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9B68059" w14:textId="6C2CFB85" w:rsidR="003B4267" w:rsidRDefault="00FA616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17479429" w:rsidR="003B4267" w:rsidRDefault="00DB153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60A8B85" w14:textId="300BB8EB" w:rsidR="003B4267" w:rsidRDefault="00DB153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1A29F11F" w:rsidR="003B4267" w:rsidRDefault="007F2CE2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0A1D6B8" w14:textId="5613E942" w:rsidR="003B4267" w:rsidRDefault="007F2CE2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B0FDA" w14:paraId="0EE4D580" w14:textId="77777777" w:rsidTr="00DE421C">
        <w:tc>
          <w:tcPr>
            <w:tcW w:w="1479" w:type="dxa"/>
          </w:tcPr>
          <w:p w14:paraId="58F095C1" w14:textId="3B0E9BBF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20AE0048" w14:textId="3A79C9E0" w:rsidR="004B0FDA" w:rsidRDefault="004B0FD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E4D849A" w14:textId="77777777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051B134" w:rsidR="00EB43EE" w:rsidRDefault="00FA616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CDEE36D" w14:textId="552E7BC7" w:rsidR="00EB43EE" w:rsidRDefault="00FA6161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1F461E">
              <w:rPr>
                <w:rFonts w:eastAsiaTheme="minorEastAsia"/>
                <w:lang w:val="en-US" w:eastAsia="zh-CN"/>
              </w:rPr>
              <w:t xml:space="preserve"> with modification </w:t>
            </w:r>
          </w:p>
        </w:tc>
        <w:tc>
          <w:tcPr>
            <w:tcW w:w="6780" w:type="dxa"/>
          </w:tcPr>
          <w:p w14:paraId="136446C5" w14:textId="77777777" w:rsidR="001F461E" w:rsidRDefault="00FA6161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bout the collision cases</w:t>
            </w:r>
            <w:r w:rsidR="001F461E">
              <w:rPr>
                <w:rFonts w:eastAsiaTheme="minorEastAsia"/>
                <w:lang w:val="en-US" w:eastAsia="zh-CN"/>
              </w:rPr>
              <w:t xml:space="preserve"> involving SSB</w:t>
            </w:r>
            <w:r>
              <w:rPr>
                <w:rFonts w:eastAsiaTheme="minorEastAsia"/>
                <w:lang w:val="en-US" w:eastAsia="zh-CN"/>
              </w:rPr>
              <w:t xml:space="preserve">, it makes sense </w:t>
            </w:r>
            <w:r w:rsidR="001F461E">
              <w:rPr>
                <w:rFonts w:eastAsiaTheme="minorEastAsia"/>
                <w:lang w:val="en-US" w:eastAsia="zh-CN"/>
              </w:rPr>
              <w:t xml:space="preserve">to consider </w:t>
            </w:r>
            <w:r>
              <w:rPr>
                <w:rFonts w:eastAsiaTheme="minorEastAsia"/>
                <w:lang w:val="en-US" w:eastAsia="zh-CN"/>
              </w:rPr>
              <w:t>only the SSB (either CD-SSB or NCD-SSB) present in the active BWP</w:t>
            </w:r>
            <w:r w:rsidR="001F461E">
              <w:rPr>
                <w:rFonts w:eastAsiaTheme="minorEastAsia"/>
                <w:lang w:val="en-US" w:eastAsia="zh-CN"/>
              </w:rPr>
              <w:t>. Therefore, we would like to make the following modification:</w:t>
            </w:r>
          </w:p>
          <w:p w14:paraId="0F196A49" w14:textId="451321B5" w:rsidR="001F461E" w:rsidRPr="001F461E" w:rsidRDefault="001F461E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“</w:t>
            </w:r>
            <w:proofErr w:type="gramStart"/>
            <w:r>
              <w:rPr>
                <w:b/>
                <w:bCs/>
                <w:lang w:val="en-US"/>
              </w:rPr>
              <w:t>the</w:t>
            </w:r>
            <w:proofErr w:type="gramEnd"/>
            <w:r>
              <w:rPr>
                <w:b/>
                <w:bCs/>
                <w:lang w:val="en-US"/>
              </w:rPr>
              <w:t xml:space="preserve"> SSB refers to the one that present in the active BWP for collision handling between SSB and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</w:t>
            </w:r>
            <w:r w:rsidRPr="001F461E">
              <w:rPr>
                <w:b/>
                <w:bCs/>
                <w:strike/>
                <w:color w:val="FF0000"/>
                <w:lang w:val="en-US"/>
              </w:rPr>
              <w:t>RACH related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UL</w:t>
            </w:r>
            <w:r>
              <w:rPr>
                <w:b/>
                <w:bCs/>
                <w:lang w:val="en-US"/>
              </w:rPr>
              <w:t xml:space="preserve"> transmission</w:t>
            </w:r>
            <w:r w:rsidRPr="001F461E"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, </w:t>
            </w:r>
            <w:r w:rsidRPr="001F461E">
              <w:rPr>
                <w:rFonts w:eastAsia="Microsoft YaHei UI"/>
                <w:b/>
                <w:color w:val="FF0000"/>
                <w:lang w:eastAsia="zh-CN"/>
              </w:rPr>
              <w:t>i.e., dynamically scheduled or configured UL transmission</w:t>
            </w:r>
            <w:r>
              <w:rPr>
                <w:rFonts w:eastAsia="Microsoft YaHei UI"/>
                <w:b/>
                <w:color w:val="FF0000"/>
                <w:lang w:eastAsia="zh-CN"/>
              </w:rPr>
              <w:t>s</w:t>
            </w:r>
            <w:r w:rsidRPr="001F461E">
              <w:rPr>
                <w:b/>
                <w:bCs/>
                <w:color w:val="FF0000"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”</w:t>
            </w:r>
          </w:p>
          <w:p w14:paraId="5DC77DF9" w14:textId="76853EA9" w:rsidR="00EB43EE" w:rsidRPr="001F461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44A60EFD" w:rsidR="00EB43EE" w:rsidRDefault="0055696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E71CE4C" w14:textId="3199E00B" w:rsidR="00EB43EE" w:rsidRDefault="0055696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F03F4E2" w14:textId="70DDCB28" w:rsidR="00EB43EE" w:rsidRDefault="00B3613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and only SSB within BWP matters. This is in our opinion current specification.  </w:t>
            </w: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85693EF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A9CA21D" w14:textId="2C7627B2" w:rsidR="00EB43EE" w:rsidRDefault="007F2CE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043608" w14:textId="711D8915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the active DL BWP </w:t>
            </w:r>
            <w:r w:rsidR="00EB584D">
              <w:rPr>
                <w:rFonts w:eastAsiaTheme="minorEastAsia"/>
                <w:lang w:val="en-US" w:eastAsia="zh-CN"/>
              </w:rPr>
              <w:t xml:space="preserve">of a HD-FDD RedCap UE </w:t>
            </w:r>
            <w:r>
              <w:rPr>
                <w:rFonts w:eastAsiaTheme="minorEastAsia"/>
                <w:lang w:val="en-US" w:eastAsia="zh-CN"/>
              </w:rPr>
              <w:t xml:space="preserve">includes an SSB transmitted by the serving cell, the </w:t>
            </w:r>
            <w:r w:rsidRPr="007F2CE2">
              <w:rPr>
                <w:rFonts w:eastAsiaTheme="minorEastAsia"/>
                <w:lang w:val="en-US" w:eastAsia="zh-CN"/>
              </w:rPr>
              <w:t xml:space="preserve">collision handling between SSB and </w:t>
            </w:r>
            <w:r w:rsidR="00A02D00" w:rsidRPr="00A02D00">
              <w:rPr>
                <w:rFonts w:eastAsiaTheme="minorEastAsia"/>
                <w:lang w:val="en-US" w:eastAsia="zh-CN"/>
              </w:rPr>
              <w:t xml:space="preserve">UL transmissions </w:t>
            </w:r>
            <w:r w:rsidR="00EB584D">
              <w:rPr>
                <w:rFonts w:eastAsiaTheme="minorEastAsia"/>
                <w:lang w:val="en-US" w:eastAsia="zh-CN"/>
              </w:rPr>
              <w:t xml:space="preserve">dynamically scheduled or configured </w:t>
            </w:r>
            <w:r w:rsidR="00A02D00">
              <w:rPr>
                <w:rFonts w:eastAsiaTheme="minorEastAsia"/>
                <w:lang w:val="en-US" w:eastAsia="zh-CN"/>
              </w:rPr>
              <w:t>in the active UL BWP of the RedCap UE</w:t>
            </w:r>
            <w:r w:rsidR="00EB584D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refer</w:t>
            </w:r>
            <w:r w:rsidR="00A02D00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to the SSB in the active DL BWP.</w:t>
            </w:r>
          </w:p>
        </w:tc>
      </w:tr>
      <w:tr w:rsidR="00A51772" w14:paraId="56082835" w14:textId="77777777" w:rsidTr="008341A2">
        <w:tc>
          <w:tcPr>
            <w:tcW w:w="1479" w:type="dxa"/>
          </w:tcPr>
          <w:p w14:paraId="3F9F6B45" w14:textId="1E83C20A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61E2FB39" w14:textId="3FB7B234" w:rsidR="00A51772" w:rsidRDefault="00A5177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BCCACA5" w14:textId="77777777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lastRenderedPageBreak/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09C76A7A" w:rsidR="00AD179C" w:rsidRDefault="003D36A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62345B9" w14:textId="424C70E9" w:rsidR="00AD179C" w:rsidRDefault="003D36A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369390" w14:textId="56A0214C" w:rsidR="00AD179C" w:rsidRDefault="00E54EC7" w:rsidP="00E54EC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analyzed in our contribution, allowing </w:t>
            </w:r>
            <w:r w:rsidRPr="00E54EC7">
              <w:rPr>
                <w:rFonts w:eastAsiaTheme="minorEastAsia"/>
                <w:lang w:val="en-US" w:eastAsia="zh-CN"/>
              </w:rPr>
              <w:t>“back-to-back” non-overlapping UL/DL without sufficient gap between SSB and dynamic scheduled UL</w:t>
            </w:r>
            <w:r>
              <w:rPr>
                <w:rFonts w:eastAsiaTheme="minorEastAsia"/>
                <w:lang w:val="en-US" w:eastAsia="zh-CN"/>
              </w:rPr>
              <w:t xml:space="preserve"> happen can </w:t>
            </w:r>
            <w:r w:rsidRPr="00E54EC7">
              <w:rPr>
                <w:rFonts w:eastAsiaTheme="minorEastAsia"/>
                <w:lang w:val="en-US" w:eastAsia="zh-CN"/>
              </w:rPr>
              <w:t xml:space="preserve">simplify UE </w:t>
            </w:r>
            <w:proofErr w:type="spellStart"/>
            <w:r w:rsidRPr="00E54EC7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Pr="00E54EC7">
              <w:rPr>
                <w:rFonts w:eastAsiaTheme="minorEastAsia"/>
                <w:lang w:val="en-US" w:eastAsia="zh-CN"/>
              </w:rPr>
              <w:t xml:space="preserve"> and specification</w:t>
            </w:r>
            <w:r>
              <w:rPr>
                <w:rFonts w:eastAsiaTheme="minorEastAsia"/>
                <w:lang w:val="en-US" w:eastAsia="zh-CN"/>
              </w:rPr>
              <w:t xml:space="preserve"> a lot. </w:t>
            </w: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2FAE37F9" w:rsidR="00AD179C" w:rsidRDefault="008C661E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1B6E34C" w14:textId="0FFE1524" w:rsidR="00AD179C" w:rsidRDefault="00DE3EC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A91806">
              <w:rPr>
                <w:rFonts w:eastAsiaTheme="minorEastAsia"/>
                <w:lang w:val="en-US" w:eastAsia="zh-CN"/>
              </w:rPr>
              <w:t>, but</w:t>
            </w:r>
          </w:p>
        </w:tc>
        <w:tc>
          <w:tcPr>
            <w:tcW w:w="6780" w:type="dxa"/>
          </w:tcPr>
          <w:p w14:paraId="103ADB44" w14:textId="105D7D1A" w:rsidR="00AD179C" w:rsidRDefault="00E25415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this should be a general rule</w:t>
            </w:r>
            <w:r w:rsidR="00B61D19">
              <w:rPr>
                <w:rFonts w:eastAsiaTheme="minorEastAsia"/>
                <w:lang w:val="en-US" w:eastAsia="zh-CN"/>
              </w:rPr>
              <w:t xml:space="preserve">. Saying </w:t>
            </w:r>
            <w:proofErr w:type="gramStart"/>
            <w:r w:rsidR="00B61D19">
              <w:rPr>
                <w:rFonts w:eastAsiaTheme="minorEastAsia"/>
                <w:lang w:val="en-US" w:eastAsia="zh-CN"/>
              </w:rPr>
              <w:t xml:space="preserve">this, </w:t>
            </w:r>
            <w:r>
              <w:rPr>
                <w:rFonts w:eastAsiaTheme="minorEastAsia"/>
                <w:lang w:val="en-US" w:eastAsia="zh-CN"/>
              </w:rPr>
              <w:t xml:space="preserve"> we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c</w:t>
            </w:r>
            <w:r w:rsidR="00B61D19">
              <w:rPr>
                <w:rFonts w:eastAsiaTheme="minorEastAsia"/>
                <w:lang w:val="en-US" w:eastAsia="zh-CN"/>
              </w:rPr>
              <w:t>ould be fine with allowing exceptions for validation purposes</w:t>
            </w:r>
            <w:r w:rsidR="00A91806">
              <w:rPr>
                <w:rFonts w:eastAsiaTheme="minorEastAsia"/>
                <w:lang w:val="en-US" w:eastAsia="zh-CN"/>
              </w:rPr>
              <w:t xml:space="preserve"> below.</w:t>
            </w:r>
            <w:r w:rsidR="001E6183"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D179C" w14:paraId="5EF2903E" w14:textId="77777777" w:rsidTr="00782517">
        <w:trPr>
          <w:trHeight w:val="1394"/>
        </w:trPr>
        <w:tc>
          <w:tcPr>
            <w:tcW w:w="1479" w:type="dxa"/>
          </w:tcPr>
          <w:p w14:paraId="6E6F4566" w14:textId="1381ADE4" w:rsidR="00AD179C" w:rsidRDefault="004C594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DC64CC5" w14:textId="70F8D1AD" w:rsidR="00AD179C" w:rsidRDefault="004C594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EF74435" w14:textId="0B4951C7" w:rsidR="000C1CE9" w:rsidRDefault="000C1CE9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necessary to clarify if the SSB is an CD-SSB or NCD-SSB.</w:t>
            </w:r>
          </w:p>
          <w:p w14:paraId="7B7BFF00" w14:textId="22BAE4D6" w:rsidR="00AD179C" w:rsidRDefault="00CA5C1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SSB is an NCD-SSB configured by RRC and the HD UE capability is known to NW, such</w:t>
            </w:r>
            <w:r w:rsidRPr="00CA5C17">
              <w:rPr>
                <w:rFonts w:eastAsiaTheme="minorEastAsia"/>
                <w:lang w:val="en-US" w:eastAsia="zh-CN"/>
              </w:rPr>
              <w:t xml:space="preserve"> “back-to-back</w:t>
            </w:r>
            <w:r w:rsidR="00361313">
              <w:rPr>
                <w:rFonts w:eastAsiaTheme="minorEastAsia"/>
                <w:lang w:val="en-US" w:eastAsia="zh-CN"/>
              </w:rPr>
              <w:t xml:space="preserve"> </w:t>
            </w:r>
            <w:r w:rsidRPr="00CA5C17">
              <w:rPr>
                <w:rFonts w:eastAsiaTheme="minorEastAsia"/>
                <w:lang w:val="en-US" w:eastAsia="zh-CN"/>
              </w:rPr>
              <w:t>non-overlapping UL/DL without sufficient gap</w:t>
            </w:r>
            <w:r w:rsidR="00361313">
              <w:rPr>
                <w:rFonts w:eastAsiaTheme="minorEastAsia"/>
                <w:lang w:val="en-US" w:eastAsia="zh-CN"/>
              </w:rPr>
              <w:t>”</w:t>
            </w:r>
            <w:r w:rsidRPr="00CA5C17">
              <w:rPr>
                <w:rFonts w:eastAsiaTheme="minorEastAsia"/>
                <w:lang w:val="en-US" w:eastAsia="zh-CN"/>
              </w:rPr>
              <w:t xml:space="preserve"> between SSB and dynamically scheduled UL</w:t>
            </w:r>
            <w:r>
              <w:rPr>
                <w:rFonts w:eastAsiaTheme="minorEastAsia"/>
                <w:lang w:val="en-US" w:eastAsia="zh-CN"/>
              </w:rPr>
              <w:t xml:space="preserve"> can be avoided by NW.</w:t>
            </w:r>
          </w:p>
        </w:tc>
      </w:tr>
      <w:tr w:rsidR="00A51772" w14:paraId="2ADD5D5E" w14:textId="77777777" w:rsidTr="00DE421C">
        <w:tc>
          <w:tcPr>
            <w:tcW w:w="1479" w:type="dxa"/>
          </w:tcPr>
          <w:p w14:paraId="20281BA7" w14:textId="7F6CD0B2" w:rsidR="00A51772" w:rsidRDefault="00A51772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DB98DA4" w14:textId="77777777" w:rsidR="00A51772" w:rsidRDefault="00A51772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27B9A5B" w14:textId="77777777" w:rsidR="00A51772" w:rsidRDefault="00A51772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MS PGothic"/>
          <w:color w:val="000000"/>
          <w:lang w:val="en-US" w:eastAsia="zh-CN"/>
        </w:rPr>
      </w:pPr>
      <w:r w:rsidRPr="00A739FF">
        <w:rPr>
          <w:rFonts w:eastAsia="MS PGothic"/>
          <w:color w:val="000000"/>
          <w:lang w:val="en-US" w:eastAsia="zh-CN"/>
        </w:rPr>
        <w:t xml:space="preserve">If </w:t>
      </w:r>
      <w:r>
        <w:rPr>
          <w:rFonts w:eastAsia="MS PGothic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</w:t>
      </w:r>
      <w:proofErr w:type="gramStart"/>
      <w:r>
        <w:rPr>
          <w:rFonts w:ascii="Times New Roman" w:hAnsi="Times New Roman" w:cs="Times New Roman"/>
          <w:sz w:val="20"/>
          <w:szCs w:val="20"/>
        </w:rPr>
        <w:t>is not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52D362C7" w:rsidR="00332DA0" w:rsidRDefault="003D36AA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9C0B18" w14:textId="12814709" w:rsidR="00332DA0" w:rsidRDefault="003D36AA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341B0D6B" w14:textId="77777777" w:rsidTr="00942194">
        <w:tc>
          <w:tcPr>
            <w:tcW w:w="1479" w:type="dxa"/>
          </w:tcPr>
          <w:p w14:paraId="4C54DE59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E2D798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75C534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4C04CCD9" w14:textId="77777777" w:rsidTr="00942194">
        <w:tc>
          <w:tcPr>
            <w:tcW w:w="1479" w:type="dxa"/>
          </w:tcPr>
          <w:p w14:paraId="0CDE9E30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3674285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6FD32A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</w:t>
      </w:r>
      <w:proofErr w:type="gramStart"/>
      <w:r w:rsidR="0091304F">
        <w:rPr>
          <w:rFonts w:ascii="Times New Roman" w:hAnsi="Times New Roman" w:cs="Times New Roman"/>
          <w:sz w:val="20"/>
          <w:szCs w:val="20"/>
        </w:rPr>
        <w:t>is not</w:t>
      </w:r>
      <w:proofErr w:type="gramEnd"/>
      <w:r w:rsidR="0091304F">
        <w:rPr>
          <w:rFonts w:ascii="Times New Roman" w:hAnsi="Times New Roman" w:cs="Times New Roman"/>
          <w:sz w:val="20"/>
          <w:szCs w:val="20"/>
        </w:rPr>
        <w:t xml:space="preserve">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 xml:space="preserve">transmission in the slot does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</w:t>
      </w:r>
      <w:proofErr w:type="gramEnd"/>
      <w:r w:rsidRPr="005D0C29">
        <w:rPr>
          <w:rFonts w:ascii="Times New Roman" w:hAnsi="Times New Roman" w:cs="Times New Roman"/>
          <w:sz w:val="20"/>
          <w:szCs w:val="20"/>
        </w:rPr>
        <w:t xml:space="preserve">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</w:t>
      </w:r>
      <w:proofErr w:type="gramStart"/>
      <w:r w:rsidR="003273BE" w:rsidRPr="003273BE">
        <w:rPr>
          <w:rFonts w:ascii="Times New Roman" w:hAnsi="Times New Roman" w:cs="Times New Roman"/>
          <w:sz w:val="20"/>
          <w:szCs w:val="20"/>
        </w:rPr>
        <w:t>is not</w:t>
      </w:r>
      <w:proofErr w:type="gramEnd"/>
      <w:r w:rsidR="003273BE" w:rsidRPr="003273BE">
        <w:rPr>
          <w:rFonts w:ascii="Times New Roman" w:hAnsi="Times New Roman" w:cs="Times New Roman"/>
          <w:sz w:val="20"/>
          <w:szCs w:val="20"/>
        </w:rPr>
        <w:t xml:space="preserve">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0266F380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EC71330" w14:textId="0AC1A239" w:rsidR="0091304F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3804DB" w14:textId="1C1DDD09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this proposal to align the UE behavior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Cov_enh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91304F" w14:paraId="72070CE6" w14:textId="77777777" w:rsidTr="00DE421C">
        <w:tc>
          <w:tcPr>
            <w:tcW w:w="1479" w:type="dxa"/>
          </w:tcPr>
          <w:p w14:paraId="5FD2A660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458B2A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F89F61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1304F" w14:paraId="6E6E98D2" w14:textId="77777777" w:rsidTr="00DE421C">
        <w:tc>
          <w:tcPr>
            <w:tcW w:w="1479" w:type="dxa"/>
          </w:tcPr>
          <w:p w14:paraId="1386CA65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0F3B77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69159B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</w:t>
      </w:r>
      <w:proofErr w:type="gramStart"/>
      <w:r w:rsidRPr="008C24E0">
        <w:rPr>
          <w:rFonts w:ascii="Times New Roman" w:hAnsi="Times New Roman" w:cs="Times New Roman"/>
          <w:sz w:val="20"/>
          <w:szCs w:val="20"/>
        </w:rPr>
        <w:t>not at</w:t>
      </w:r>
      <w:proofErr w:type="gramEnd"/>
      <w:r w:rsidRPr="008C24E0">
        <w:rPr>
          <w:rFonts w:ascii="Times New Roman" w:hAnsi="Times New Roman" w:cs="Times New Roman"/>
          <w:sz w:val="20"/>
          <w:szCs w:val="20"/>
        </w:rPr>
        <w:t xml:space="preserve">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6E02128" w:rsidR="003273BE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E323976" w14:textId="0F64FC56" w:rsidR="003273BE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7D32B93" w14:textId="3C3EB6C4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40DE2C1A" w14:textId="77777777" w:rsidTr="00DE421C">
        <w:tc>
          <w:tcPr>
            <w:tcW w:w="1479" w:type="dxa"/>
          </w:tcPr>
          <w:p w14:paraId="63B98772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F8E0724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B4CB0A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5DBB6329" w14:textId="77777777" w:rsidTr="00DE421C">
        <w:tc>
          <w:tcPr>
            <w:tcW w:w="1479" w:type="dxa"/>
          </w:tcPr>
          <w:p w14:paraId="264EC9BF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9E783B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5775316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lastRenderedPageBreak/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ListParagraph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4410356C" w:rsidR="00DD7B22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B073E69" w14:textId="74C86193" w:rsidR="00DD7B22" w:rsidRDefault="00B421B5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 </w:t>
            </w:r>
          </w:p>
        </w:tc>
        <w:tc>
          <w:tcPr>
            <w:tcW w:w="6780" w:type="dxa"/>
          </w:tcPr>
          <w:p w14:paraId="1FF221E8" w14:textId="41CE1ADC" w:rsidR="00DD7B22" w:rsidRPr="00B421B5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proposal can be discussed together with </w:t>
            </w:r>
            <w:r>
              <w:rPr>
                <w:b/>
                <w:highlight w:val="yellow"/>
                <w:lang w:val="en-US"/>
              </w:rPr>
              <w:t xml:space="preserve">FL1 High Priority Proposal 1-1. </w:t>
            </w:r>
            <w:r w:rsidRPr="00B421B5">
              <w:rPr>
                <w:rFonts w:eastAsiaTheme="minorEastAsia"/>
                <w:lang w:val="en-US" w:eastAsia="zh-CN"/>
              </w:rPr>
              <w:t xml:space="preserve">In </w:t>
            </w:r>
            <w:r>
              <w:rPr>
                <w:rFonts w:eastAsiaTheme="minorEastAsia"/>
                <w:lang w:val="en-US" w:eastAsia="zh-CN"/>
              </w:rPr>
              <w:t>addition, we think it is necessary to change</w:t>
            </w:r>
            <w:r w:rsidRPr="00B421B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specification since in current TS 38.213 section 17.2, the SSB refers to the “</w:t>
            </w:r>
            <w:r w:rsidRPr="004765EF">
              <w:rPr>
                <w:i/>
              </w:rPr>
              <w:t>ssb-PositionsInBurst</w:t>
            </w:r>
            <w:r w:rsidRPr="004765EF">
              <w:t xml:space="preserve"> in </w:t>
            </w:r>
            <w:r w:rsidRPr="004765EF">
              <w:rPr>
                <w:i/>
              </w:rPr>
              <w:t>SIB1</w:t>
            </w:r>
            <w:r w:rsidRPr="004765EF">
              <w:t xml:space="preserve"> or in </w:t>
            </w:r>
            <w:proofErr w:type="spellStart"/>
            <w:r w:rsidRPr="004765EF">
              <w:rPr>
                <w:i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while for NCD-SSB, it is configured by UE-dedicated RRC signaling </w:t>
            </w:r>
            <w:proofErr w:type="spellStart"/>
            <w:r w:rsidRPr="00B421B5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3D2EC6A2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105678B" w14:textId="46871BBA" w:rsidR="00DD7B22" w:rsidRDefault="00A91806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6201A8" w14:textId="51D8B78F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</w:t>
            </w:r>
            <w:r w:rsidR="008439FA">
              <w:rPr>
                <w:rFonts w:eastAsiaTheme="minorEastAsia"/>
                <w:lang w:val="en-US" w:eastAsia="zh-CN"/>
              </w:rPr>
              <w:t>and only SSB within BWP matters. T</w:t>
            </w:r>
            <w:r>
              <w:rPr>
                <w:rFonts w:eastAsiaTheme="minorEastAsia"/>
                <w:lang w:val="en-US" w:eastAsia="zh-CN"/>
              </w:rPr>
              <w:t xml:space="preserve">his is </w:t>
            </w:r>
            <w:r w:rsidR="008A13F3">
              <w:rPr>
                <w:rFonts w:eastAsiaTheme="minorEastAsia"/>
                <w:lang w:val="en-US" w:eastAsia="zh-CN"/>
              </w:rPr>
              <w:t xml:space="preserve">in our opinion current specification.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DD7B22" w14:paraId="269DEA36" w14:textId="77777777" w:rsidTr="00942194">
        <w:tc>
          <w:tcPr>
            <w:tcW w:w="1479" w:type="dxa"/>
          </w:tcPr>
          <w:p w14:paraId="44CE4569" w14:textId="16D2F219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49B66B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EE80893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BE3815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BE3815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BE3815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BE3815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AFB5" w14:textId="77777777" w:rsidR="00BE3815" w:rsidRDefault="00BE3815" w:rsidP="00453843">
      <w:pPr>
        <w:spacing w:after="0" w:line="240" w:lineRule="auto"/>
      </w:pPr>
      <w:r>
        <w:separator/>
      </w:r>
    </w:p>
  </w:endnote>
  <w:endnote w:type="continuationSeparator" w:id="0">
    <w:p w14:paraId="6308A38F" w14:textId="77777777" w:rsidR="00BE3815" w:rsidRDefault="00BE3815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25">
    <w:altName w:val="Cambria"/>
    <w:panose1 w:val="020B0604020202020204"/>
    <w:charset w:val="00"/>
    <w:family w:val="roman"/>
    <w:pitch w:val="default"/>
  </w:font>
  <w:font w:name="Helvetica-Bold">
    <w:altName w:val="Segoe Print"/>
    <w:panose1 w:val="00000000000000000000"/>
    <w:charset w:val="00"/>
    <w:family w:val="roman"/>
    <w:pitch w:val="default"/>
  </w:font>
  <w:font w:name="Times-Roman">
    <w:altName w:val="Times New Roman"/>
    <w:panose1 w:val="00000500000000020000"/>
    <w:charset w:val="00"/>
    <w:family w:val="roman"/>
    <w:pitch w:val="default"/>
  </w:font>
  <w:font w:name="Times-Italic">
    <w:altName w:val="Segoe Print"/>
    <w:panose1 w:val="00000500000000090000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54F7" w14:textId="77777777" w:rsidR="00BE3815" w:rsidRDefault="00BE3815" w:rsidP="00453843">
      <w:pPr>
        <w:spacing w:after="0" w:line="240" w:lineRule="auto"/>
      </w:pPr>
      <w:r>
        <w:separator/>
      </w:r>
    </w:p>
  </w:footnote>
  <w:footnote w:type="continuationSeparator" w:id="0">
    <w:p w14:paraId="441D9691" w14:textId="77777777" w:rsidR="00BE3815" w:rsidRDefault="00BE3815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7447">
    <w:abstractNumId w:val="3"/>
  </w:num>
  <w:num w:numId="2" w16cid:durableId="197281822">
    <w:abstractNumId w:val="7"/>
  </w:num>
  <w:num w:numId="3" w16cid:durableId="374427440">
    <w:abstractNumId w:val="1"/>
  </w:num>
  <w:num w:numId="4" w16cid:durableId="1659844358">
    <w:abstractNumId w:val="0"/>
  </w:num>
  <w:num w:numId="5" w16cid:durableId="2137983636">
    <w:abstractNumId w:val="11"/>
  </w:num>
  <w:num w:numId="6" w16cid:durableId="1544094185">
    <w:abstractNumId w:val="13"/>
    <w:lvlOverride w:ilvl="0">
      <w:startOverride w:val="1"/>
    </w:lvlOverride>
  </w:num>
  <w:num w:numId="7" w16cid:durableId="766464107">
    <w:abstractNumId w:val="14"/>
  </w:num>
  <w:num w:numId="8" w16cid:durableId="90665984">
    <w:abstractNumId w:val="24"/>
  </w:num>
  <w:num w:numId="9" w16cid:durableId="1302998037">
    <w:abstractNumId w:val="18"/>
  </w:num>
  <w:num w:numId="10" w16cid:durableId="2061048134">
    <w:abstractNumId w:val="9"/>
  </w:num>
  <w:num w:numId="11" w16cid:durableId="1820490333">
    <w:abstractNumId w:val="26"/>
  </w:num>
  <w:num w:numId="12" w16cid:durableId="631251818">
    <w:abstractNumId w:val="21"/>
  </w:num>
  <w:num w:numId="13" w16cid:durableId="1627085691">
    <w:abstractNumId w:val="6"/>
  </w:num>
  <w:num w:numId="14" w16cid:durableId="1411926309">
    <w:abstractNumId w:val="15"/>
  </w:num>
  <w:num w:numId="15" w16cid:durableId="1551770503">
    <w:abstractNumId w:val="32"/>
  </w:num>
  <w:num w:numId="16" w16cid:durableId="69278795">
    <w:abstractNumId w:val="10"/>
  </w:num>
  <w:num w:numId="17" w16cid:durableId="580064360">
    <w:abstractNumId w:val="35"/>
  </w:num>
  <w:num w:numId="18" w16cid:durableId="544415292">
    <w:abstractNumId w:val="20"/>
  </w:num>
  <w:num w:numId="19" w16cid:durableId="1248223860">
    <w:abstractNumId w:val="16"/>
  </w:num>
  <w:num w:numId="20" w16cid:durableId="48383844">
    <w:abstractNumId w:val="8"/>
  </w:num>
  <w:num w:numId="21" w16cid:durableId="78059783">
    <w:abstractNumId w:val="34"/>
  </w:num>
  <w:num w:numId="22" w16cid:durableId="1062023272">
    <w:abstractNumId w:val="25"/>
  </w:num>
  <w:num w:numId="23" w16cid:durableId="638801174">
    <w:abstractNumId w:val="30"/>
  </w:num>
  <w:num w:numId="24" w16cid:durableId="47802225">
    <w:abstractNumId w:val="18"/>
  </w:num>
  <w:num w:numId="25" w16cid:durableId="527523840">
    <w:abstractNumId w:val="22"/>
  </w:num>
  <w:num w:numId="26" w16cid:durableId="62024770">
    <w:abstractNumId w:val="23"/>
  </w:num>
  <w:num w:numId="27" w16cid:durableId="2097439955">
    <w:abstractNumId w:val="29"/>
  </w:num>
  <w:num w:numId="28" w16cid:durableId="426004245">
    <w:abstractNumId w:val="33"/>
  </w:num>
  <w:num w:numId="29" w16cid:durableId="1213924561">
    <w:abstractNumId w:val="31"/>
  </w:num>
  <w:num w:numId="30" w16cid:durableId="865753034">
    <w:abstractNumId w:val="27"/>
  </w:num>
  <w:num w:numId="31" w16cid:durableId="715158723">
    <w:abstractNumId w:val="28"/>
  </w:num>
  <w:num w:numId="32" w16cid:durableId="1581989161">
    <w:abstractNumId w:val="17"/>
  </w:num>
  <w:num w:numId="33" w16cid:durableId="1485514556">
    <w:abstractNumId w:val="19"/>
  </w:num>
  <w:num w:numId="34" w16cid:durableId="1436361756">
    <w:abstractNumId w:val="2"/>
  </w:num>
  <w:num w:numId="35" w16cid:durableId="578445768">
    <w:abstractNumId w:val="18"/>
  </w:num>
  <w:num w:numId="36" w16cid:durableId="406613215">
    <w:abstractNumId w:val="12"/>
  </w:num>
  <w:num w:numId="37" w16cid:durableId="2120101200">
    <w:abstractNumId w:val="4"/>
  </w:num>
  <w:num w:numId="38" w16cid:durableId="209297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599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4753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787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1CE9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0C17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2229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18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1E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0EC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29D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457F9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313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36AA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0FDA"/>
    <w:rsid w:val="004B1349"/>
    <w:rsid w:val="004B14D5"/>
    <w:rsid w:val="004B242A"/>
    <w:rsid w:val="004B276E"/>
    <w:rsid w:val="004B2C7C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5941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F0C"/>
    <w:rsid w:val="0055661C"/>
    <w:rsid w:val="0055696D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271E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517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710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2CE2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39FA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5B21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13F3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5C76"/>
    <w:rsid w:val="008C6255"/>
    <w:rsid w:val="008C661E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1C2F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2D00"/>
    <w:rsid w:val="00A03246"/>
    <w:rsid w:val="00A04245"/>
    <w:rsid w:val="00A04E18"/>
    <w:rsid w:val="00A04E90"/>
    <w:rsid w:val="00A0574E"/>
    <w:rsid w:val="00A05A4E"/>
    <w:rsid w:val="00A05A53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1772"/>
    <w:rsid w:val="00A531B5"/>
    <w:rsid w:val="00A53E8A"/>
    <w:rsid w:val="00A54736"/>
    <w:rsid w:val="00A54F68"/>
    <w:rsid w:val="00A55590"/>
    <w:rsid w:val="00A55E2F"/>
    <w:rsid w:val="00A57147"/>
    <w:rsid w:val="00A577A7"/>
    <w:rsid w:val="00A577C3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1806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135"/>
    <w:rsid w:val="00B368B0"/>
    <w:rsid w:val="00B3731A"/>
    <w:rsid w:val="00B3791C"/>
    <w:rsid w:val="00B37CD2"/>
    <w:rsid w:val="00B40247"/>
    <w:rsid w:val="00B41FED"/>
    <w:rsid w:val="00B42061"/>
    <w:rsid w:val="00B420F2"/>
    <w:rsid w:val="00B421B5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1D19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15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1065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5C17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53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3ECF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415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4EC7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84D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16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9" Type="http://schemas.openxmlformats.org/officeDocument/2006/relationships/hyperlink" Target="https://www.3gpp.org/ftp/TSG_RAN/WG1_RL1/TSGR1_109-e/Docs/R1-220399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1_RL1/TSGR1_109-e/Docs/R1-2203438.zip" TargetMode="External"/><Relationship Id="rId41" Type="http://schemas.openxmlformats.org/officeDocument/2006/relationships/hyperlink" Target="https://www.3gpp.org/ftp/TSG_RAN/WG1_RL1/TSGR1_109-e/Docs/R1-22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3" ma:contentTypeDescription="Luo uusi asiakirja." ma:contentTypeScope="" ma:versionID="9908770ab6910a8a351435403b1c1c3f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c7cb638de6fa54c1e9b112d7d76009e9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C9139-2C32-4A6E-BF21-A58A8FDA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E34D3-61EA-4C79-968D-A72CF7353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2587</Words>
  <Characters>12836</Characters>
  <Application>Microsoft Office Word</Application>
  <DocSecurity>0</DocSecurity>
  <Lines>755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Hong He</cp:lastModifiedBy>
  <cp:revision>3</cp:revision>
  <dcterms:created xsi:type="dcterms:W3CDTF">2022-05-10T00:59:00Z</dcterms:created>
  <dcterms:modified xsi:type="dcterms:W3CDTF">2022-05-10T01:56:00Z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