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CC288" w14:textId="7F42A6A9" w:rsidR="003D1563" w:rsidRPr="005E4A1D" w:rsidRDefault="003D1563" w:rsidP="003D156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2"/>
        </w:rPr>
      </w:pPr>
      <w:r w:rsidRPr="005E4A1D">
        <w:rPr>
          <w:rFonts w:ascii="Arial" w:hAnsi="Arial" w:cs="Arial"/>
          <w:b/>
          <w:bCs/>
          <w:sz w:val="24"/>
          <w:szCs w:val="22"/>
        </w:rPr>
        <w:t>3GPP TSG RAN WG1 #10</w:t>
      </w:r>
      <w:r w:rsidR="00F7749F">
        <w:rPr>
          <w:rFonts w:ascii="Arial" w:hAnsi="Arial" w:cs="Arial"/>
          <w:b/>
          <w:bCs/>
          <w:sz w:val="24"/>
          <w:szCs w:val="22"/>
        </w:rPr>
        <w:t>9</w:t>
      </w:r>
      <w:r w:rsidRPr="005E4A1D">
        <w:rPr>
          <w:rFonts w:ascii="Arial" w:hAnsi="Arial" w:cs="Arial"/>
          <w:b/>
          <w:bCs/>
          <w:sz w:val="24"/>
          <w:szCs w:val="22"/>
        </w:rPr>
        <w:t>e</w:t>
      </w:r>
      <w:r w:rsidRPr="005E4A1D">
        <w:rPr>
          <w:rFonts w:ascii="Arial" w:hAnsi="Arial" w:cs="Arial"/>
          <w:b/>
          <w:bCs/>
          <w:sz w:val="24"/>
          <w:szCs w:val="22"/>
        </w:rPr>
        <w:tab/>
      </w:r>
      <w:r w:rsidRPr="005E4A1D">
        <w:rPr>
          <w:rFonts w:ascii="Arial" w:hAnsi="Arial" w:cs="Arial"/>
          <w:b/>
          <w:bCs/>
          <w:sz w:val="24"/>
          <w:szCs w:val="22"/>
        </w:rPr>
        <w:tab/>
      </w:r>
      <w:r w:rsidR="002B03FB" w:rsidRPr="005E4A1D">
        <w:rPr>
          <w:rFonts w:ascii="Arial" w:hAnsi="Arial" w:cs="Arial"/>
          <w:b/>
          <w:bCs/>
          <w:sz w:val="24"/>
          <w:szCs w:val="22"/>
        </w:rPr>
        <w:t>R1-</w:t>
      </w:r>
      <w:r w:rsidR="00B52D11" w:rsidRPr="00B52D11">
        <w:rPr>
          <w:rFonts w:ascii="Arial" w:hAnsi="Arial" w:cs="Arial"/>
          <w:b/>
          <w:bCs/>
          <w:sz w:val="24"/>
          <w:szCs w:val="22"/>
        </w:rPr>
        <w:t>2</w:t>
      </w:r>
      <w:r w:rsidR="00F7749F">
        <w:rPr>
          <w:rFonts w:ascii="Arial" w:hAnsi="Arial" w:cs="Arial"/>
          <w:b/>
          <w:bCs/>
          <w:sz w:val="24"/>
          <w:szCs w:val="22"/>
        </w:rPr>
        <w:t>2</w:t>
      </w:r>
      <w:r w:rsidR="00D96732">
        <w:rPr>
          <w:rFonts w:ascii="Arial" w:hAnsi="Arial" w:cs="Arial"/>
          <w:b/>
          <w:bCs/>
          <w:sz w:val="24"/>
          <w:szCs w:val="22"/>
        </w:rPr>
        <w:t>04965</w:t>
      </w:r>
    </w:p>
    <w:p w14:paraId="2A4FB5FF" w14:textId="7334C70D" w:rsidR="003D1563" w:rsidRPr="005E4A1D" w:rsidRDefault="003D1563" w:rsidP="003D156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2"/>
          <w:lang w:eastAsia="ja-JP"/>
        </w:rPr>
      </w:pPr>
      <w:r w:rsidRPr="005E4A1D">
        <w:rPr>
          <w:rFonts w:ascii="Arial" w:eastAsia="MS Mincho" w:hAnsi="Arial" w:cs="Arial"/>
          <w:b/>
          <w:bCs/>
          <w:sz w:val="24"/>
          <w:szCs w:val="22"/>
          <w:lang w:eastAsia="ja-JP"/>
        </w:rPr>
        <w:t xml:space="preserve">e-Meeting, </w:t>
      </w:r>
      <w:r w:rsidR="00F7749F">
        <w:rPr>
          <w:rFonts w:ascii="Arial" w:eastAsia="MS Mincho" w:hAnsi="Arial" w:cs="Arial"/>
          <w:b/>
          <w:bCs/>
          <w:sz w:val="24"/>
          <w:szCs w:val="22"/>
          <w:lang w:eastAsia="ja-JP"/>
        </w:rPr>
        <w:t>May</w:t>
      </w:r>
      <w:r w:rsidR="00930BF1" w:rsidRPr="005E4A1D">
        <w:rPr>
          <w:rFonts w:ascii="Arial" w:eastAsia="MS Mincho" w:hAnsi="Arial" w:cs="Arial"/>
          <w:b/>
          <w:bCs/>
          <w:sz w:val="24"/>
          <w:szCs w:val="22"/>
          <w:lang w:eastAsia="ja-JP"/>
        </w:rPr>
        <w:t xml:space="preserve"> </w:t>
      </w:r>
      <w:r w:rsidR="00F7749F">
        <w:rPr>
          <w:rFonts w:ascii="Arial" w:eastAsia="MS Mincho" w:hAnsi="Arial" w:cs="Arial"/>
          <w:b/>
          <w:bCs/>
          <w:sz w:val="24"/>
          <w:szCs w:val="22"/>
          <w:lang w:eastAsia="ja-JP"/>
        </w:rPr>
        <w:t>9</w:t>
      </w:r>
      <w:r w:rsidRPr="005E4A1D">
        <w:rPr>
          <w:rFonts w:ascii="Arial" w:eastAsia="MS Mincho" w:hAnsi="Arial" w:cs="Arial"/>
          <w:b/>
          <w:bCs/>
          <w:sz w:val="24"/>
          <w:szCs w:val="22"/>
          <w:lang w:eastAsia="ja-JP"/>
        </w:rPr>
        <w:t xml:space="preserve"> – </w:t>
      </w:r>
      <w:r w:rsidR="005A521C" w:rsidRPr="005E4A1D">
        <w:rPr>
          <w:rFonts w:ascii="Arial" w:eastAsia="MS Mincho" w:hAnsi="Arial" w:cs="Arial"/>
          <w:b/>
          <w:bCs/>
          <w:sz w:val="24"/>
          <w:szCs w:val="22"/>
          <w:lang w:eastAsia="ja-JP"/>
        </w:rPr>
        <w:t>2</w:t>
      </w:r>
      <w:r w:rsidR="00F7749F">
        <w:rPr>
          <w:rFonts w:ascii="Arial" w:eastAsia="MS Mincho" w:hAnsi="Arial" w:cs="Arial"/>
          <w:b/>
          <w:bCs/>
          <w:sz w:val="24"/>
          <w:szCs w:val="22"/>
          <w:lang w:eastAsia="ja-JP"/>
        </w:rPr>
        <w:t>0</w:t>
      </w:r>
      <w:r w:rsidRPr="005E4A1D">
        <w:rPr>
          <w:rFonts w:ascii="Arial" w:eastAsia="MS Mincho" w:hAnsi="Arial" w:cs="Arial"/>
          <w:b/>
          <w:bCs/>
          <w:sz w:val="24"/>
          <w:szCs w:val="22"/>
          <w:lang w:eastAsia="ja-JP"/>
        </w:rPr>
        <w:t>, 202</w:t>
      </w:r>
      <w:r w:rsidR="00F7749F">
        <w:rPr>
          <w:rFonts w:ascii="Arial" w:eastAsia="MS Mincho" w:hAnsi="Arial" w:cs="Arial"/>
          <w:b/>
          <w:bCs/>
          <w:sz w:val="24"/>
          <w:szCs w:val="22"/>
          <w:lang w:eastAsia="ja-JP"/>
        </w:rPr>
        <w:t>2</w:t>
      </w:r>
    </w:p>
    <w:p w14:paraId="564BD8E9" w14:textId="77777777" w:rsidR="003D1563" w:rsidRPr="000833FA" w:rsidRDefault="003D1563" w:rsidP="003D1563">
      <w:pPr>
        <w:pStyle w:val="Header"/>
      </w:pPr>
    </w:p>
    <w:p w14:paraId="36CD4B18" w14:textId="77777777" w:rsidR="003D1563" w:rsidRPr="0003368D" w:rsidRDefault="003D1563" w:rsidP="003D1563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7CC6B97F" w14:textId="03E722EB" w:rsidR="003D1563" w:rsidRPr="00E220C0" w:rsidRDefault="003D1563" w:rsidP="003D1563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F7749F" w:rsidRPr="00F7749F">
        <w:t>Discussion on Reply LS from RAN4 on power control for NR-DC</w:t>
      </w:r>
    </w:p>
    <w:p w14:paraId="6EC73EE9" w14:textId="1A7DD7A9" w:rsidR="003D1563" w:rsidRPr="00E220C0" w:rsidRDefault="003D1563" w:rsidP="003D1563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F7749F">
        <w:t>5</w:t>
      </w:r>
    </w:p>
    <w:p w14:paraId="6CC5618F" w14:textId="77777777" w:rsidR="003D1563" w:rsidRPr="0003368D" w:rsidRDefault="003D1563" w:rsidP="003D1563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6B3CA0F5" w14:textId="77777777" w:rsidR="003D1563" w:rsidRPr="002100D2" w:rsidRDefault="003D1563" w:rsidP="003D1563">
      <w:pPr>
        <w:pBdr>
          <w:bottom w:val="single" w:sz="4" w:space="1" w:color="auto"/>
        </w:pBdr>
        <w:tabs>
          <w:tab w:val="left" w:pos="2552"/>
        </w:tabs>
      </w:pPr>
    </w:p>
    <w:p w14:paraId="0FF7DA82" w14:textId="77777777" w:rsidR="003D1563" w:rsidRDefault="003D1563" w:rsidP="003D1563">
      <w:pPr>
        <w:pStyle w:val="Heading1"/>
        <w:spacing w:before="180"/>
        <w:ind w:left="562" w:hanging="562"/>
      </w:pPr>
      <w:r>
        <w:t>Introduction</w:t>
      </w:r>
    </w:p>
    <w:p w14:paraId="0FABB2C1" w14:textId="56439D51" w:rsidR="00A94431" w:rsidRDefault="005A521C" w:rsidP="003D1563">
      <w:pPr>
        <w:pStyle w:val="BodyText"/>
      </w:pPr>
      <w:r>
        <w:t xml:space="preserve">In [1], an LS was received from RAN4 </w:t>
      </w:r>
      <w:r w:rsidR="00FE5AF1">
        <w:t xml:space="preserve">indicating that RAN4 </w:t>
      </w:r>
      <w:r w:rsidR="00FE5AF1" w:rsidRPr="00FE5AF1">
        <w:t xml:space="preserve">does not introduce </w:t>
      </w:r>
      <w:r w:rsidR="00FE5AF1">
        <w:t xml:space="preserve">the parameter </w:t>
      </w:r>
      <w:r w:rsidR="00E345FB">
        <w:t>p</w:t>
      </w:r>
      <w:r w:rsidR="00FE5AF1" w:rsidRPr="00FE5AF1">
        <w:t>-NR-FR2 in Rel-16</w:t>
      </w:r>
      <w:r w:rsidR="00FE5AF1">
        <w:t>. This parameter is related to</w:t>
      </w:r>
      <w:r>
        <w:t xml:space="preserve"> NR-DC power control </w:t>
      </w:r>
      <w:r w:rsidR="00FE5AF1">
        <w:t xml:space="preserve">and </w:t>
      </w:r>
      <w:r>
        <w:t xml:space="preserve">used in RAN1 and RAN2 specs. </w:t>
      </w:r>
    </w:p>
    <w:p w14:paraId="7C81734D" w14:textId="10E711DC" w:rsidR="00FE5AF1" w:rsidRDefault="00FE5AF1" w:rsidP="00FE5AF1">
      <w:pPr>
        <w:pStyle w:val="BodyText"/>
      </w:pPr>
      <w:r>
        <w:t>In [2], an LS reply related to this was sent to RAN4, requesting further clarifications on how to handle power control for FR2-FR2 DC (i.e., DC where both MCG and SCG have cells with FR2 UL)</w:t>
      </w:r>
      <w:r w:rsidR="00F7749F">
        <w:t>.</w:t>
      </w:r>
    </w:p>
    <w:p w14:paraId="3DF2EEC8" w14:textId="2A00FBF3" w:rsidR="00F7749F" w:rsidRDefault="00F7749F" w:rsidP="00FE5AF1">
      <w:pPr>
        <w:pStyle w:val="BodyText"/>
      </w:pPr>
      <w:r>
        <w:t xml:space="preserve">In </w:t>
      </w:r>
      <w:r w:rsidRPr="00F7749F">
        <w:t>R1-2203030</w:t>
      </w:r>
      <w:r>
        <w:t xml:space="preserve"> [3</w:t>
      </w:r>
      <w:r w:rsidR="00E757EA">
        <w:t>]</w:t>
      </w:r>
      <w:r>
        <w:t>, following reply was received from RAN4</w:t>
      </w:r>
    </w:p>
    <w:p w14:paraId="52A961E0" w14:textId="6794E256" w:rsidR="00E757EA" w:rsidRDefault="00E757EA" w:rsidP="00FE5AF1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2BF5D62F" wp14:editId="1AB2E55B">
                <wp:extent cx="5838093" cy="3988191"/>
                <wp:effectExtent l="0" t="0" r="10795" b="1270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093" cy="39881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D8DF0A" w14:textId="05D95B87" w:rsidR="00E757EA" w:rsidRPr="00E757EA" w:rsidRDefault="00E757EA" w:rsidP="00E757EA">
                            <w:pPr>
                              <w:pStyle w:val="Header"/>
                              <w:spacing w:afterLines="50" w:after="120"/>
                              <w:rPr>
                                <w:rFonts w:cs="Arial"/>
                                <w:b w:val="0"/>
                                <w:bCs/>
                              </w:rPr>
                            </w:pPr>
                            <w:r w:rsidRPr="00E757EA">
                              <w:rPr>
                                <w:rFonts w:cs="Arial"/>
                                <w:b w:val="0"/>
                                <w:bCs/>
                              </w:rPr>
                              <w:t>RAN4 would like to thank RAN1 for the Further Reply LS on power control for NR-DC.</w:t>
                            </w:r>
                          </w:p>
                          <w:p w14:paraId="04F18AC8" w14:textId="77777777" w:rsidR="00E757EA" w:rsidRPr="00E757EA" w:rsidRDefault="00E757EA" w:rsidP="00E757EA">
                            <w:pPr>
                              <w:pStyle w:val="Header"/>
                              <w:spacing w:afterLines="50" w:after="120"/>
                              <w:rPr>
                                <w:rFonts w:eastAsiaTheme="minorEastAsia" w:cs="Arial"/>
                                <w:b w:val="0"/>
                                <w:bCs/>
                                <w:lang w:eastAsia="zh-CN"/>
                              </w:rPr>
                            </w:pPr>
                            <w:r w:rsidRPr="00E757EA">
                              <w:rPr>
                                <w:rFonts w:cs="Arial"/>
                                <w:b w:val="0"/>
                                <w:bCs/>
                              </w:rPr>
                              <w:t>Regarding the feasibility of independent power control for the mentioned two cases</w:t>
                            </w:r>
                            <w:r w:rsidRPr="00E757EA">
                              <w:rPr>
                                <w:rFonts w:eastAsiaTheme="minorEastAsia" w:cs="Arial"/>
                                <w:b w:val="0"/>
                                <w:bCs/>
                                <w:lang w:eastAsia="zh-CN"/>
                              </w:rPr>
                              <w:t>:</w:t>
                            </w:r>
                          </w:p>
                          <w:p w14:paraId="4165CFC8" w14:textId="77777777" w:rsidR="00E757EA" w:rsidRPr="00E757EA" w:rsidRDefault="00E757EA" w:rsidP="00E757EA">
                            <w:pPr>
                              <w:ind w:left="720"/>
                              <w:jc w:val="both"/>
                              <w:rPr>
                                <w:bCs/>
                                <w:i/>
                                <w:color w:val="000000" w:themeColor="text1"/>
                                <w:lang w:eastAsia="zh-CN"/>
                              </w:rPr>
                            </w:pPr>
                            <w:r w:rsidRPr="00E757EA">
                              <w:rPr>
                                <w:bCs/>
                                <w:i/>
                                <w:color w:val="000000"/>
                                <w:lang w:eastAsia="zh-CN"/>
                              </w:rPr>
                              <w:t xml:space="preserve">1) uplink CCs of MCG and uplink CCs of SCG are in different </w:t>
                            </w:r>
                            <w:r w:rsidRPr="00E757EA">
                              <w:rPr>
                                <w:bCs/>
                                <w:i/>
                                <w:color w:val="000000" w:themeColor="text1"/>
                                <w:lang w:eastAsia="zh-CN"/>
                              </w:rPr>
                              <w:t>frequency bands in FR2.</w:t>
                            </w:r>
                          </w:p>
                          <w:p w14:paraId="79E0FD2D" w14:textId="77777777" w:rsidR="00E757EA" w:rsidRPr="00E757EA" w:rsidRDefault="00E757EA" w:rsidP="00E757EA">
                            <w:pPr>
                              <w:ind w:left="720"/>
                              <w:jc w:val="both"/>
                              <w:rPr>
                                <w:bCs/>
                                <w:i/>
                                <w:color w:val="000000" w:themeColor="text1"/>
                                <w:lang w:eastAsia="zh-CN"/>
                              </w:rPr>
                            </w:pPr>
                            <w:r w:rsidRPr="00E757EA">
                              <w:rPr>
                                <w:bCs/>
                                <w:i/>
                                <w:color w:val="000000" w:themeColor="text1"/>
                                <w:lang w:eastAsia="zh-CN"/>
                              </w:rPr>
                              <w:t>2) uplink CCs of MCG and uplink CCs of SCG are in the same frequency band in FR2.</w:t>
                            </w:r>
                          </w:p>
                          <w:p w14:paraId="475D992A" w14:textId="77777777" w:rsidR="00E757EA" w:rsidRPr="00E757EA" w:rsidRDefault="00E757EA" w:rsidP="00E757EA">
                            <w:pPr>
                              <w:pStyle w:val="Header"/>
                              <w:spacing w:afterLines="50" w:after="120"/>
                              <w:rPr>
                                <w:rFonts w:eastAsiaTheme="minorEastAsia"/>
                                <w:b w:val="0"/>
                                <w:bCs/>
                                <w:i/>
                                <w:color w:val="0070C0"/>
                                <w:lang w:eastAsia="zh-CN"/>
                              </w:rPr>
                            </w:pPr>
                          </w:p>
                          <w:p w14:paraId="6CC9B6CC" w14:textId="77777777" w:rsidR="00E757EA" w:rsidRPr="00E757EA" w:rsidRDefault="00E757EA" w:rsidP="00E757EA">
                            <w:pPr>
                              <w:pStyle w:val="Header"/>
                              <w:spacing w:afterLines="50" w:after="120"/>
                              <w:rPr>
                                <w:rFonts w:eastAsiaTheme="minorEastAsia" w:cs="Arial"/>
                                <w:b w:val="0"/>
                                <w:bCs/>
                                <w:lang w:eastAsia="zh-CN"/>
                              </w:rPr>
                            </w:pPr>
                            <w:r w:rsidRPr="00E757EA">
                              <w:rPr>
                                <w:rFonts w:eastAsiaTheme="minorEastAsia" w:cs="Arial" w:hint="eastAsia"/>
                                <w:b w:val="0"/>
                                <w:bCs/>
                                <w:lang w:eastAsia="zh-CN"/>
                              </w:rPr>
                              <w:t>R</w:t>
                            </w:r>
                            <w:r w:rsidRPr="00E757EA">
                              <w:rPr>
                                <w:rFonts w:eastAsiaTheme="minorEastAsia" w:cs="Arial"/>
                                <w:b w:val="0"/>
                                <w:bCs/>
                                <w:lang w:eastAsia="zh-CN"/>
                              </w:rPr>
                              <w:t xml:space="preserve">AN4 has discussed </w:t>
                            </w:r>
                            <w:r w:rsidRPr="00E757EA">
                              <w:rPr>
                                <w:rFonts w:eastAsiaTheme="minorEastAsia" w:cs="Arial" w:hint="eastAsia"/>
                                <w:b w:val="0"/>
                                <w:bCs/>
                                <w:lang w:eastAsia="zh-CN"/>
                              </w:rPr>
                              <w:t>t</w:t>
                            </w:r>
                            <w:r w:rsidRPr="00E757EA">
                              <w:rPr>
                                <w:rFonts w:eastAsiaTheme="minorEastAsia" w:cs="Arial"/>
                                <w:b w:val="0"/>
                                <w:bCs/>
                                <w:lang w:eastAsia="zh-CN"/>
                              </w:rPr>
                              <w:t>he definition of independent power control, and the understanding is that it means power control is per CG, and there is no total power limitation.</w:t>
                            </w:r>
                          </w:p>
                          <w:p w14:paraId="1176A873" w14:textId="77777777" w:rsidR="00E757EA" w:rsidRPr="00E757EA" w:rsidRDefault="00E757EA" w:rsidP="00E757EA">
                            <w:pPr>
                              <w:pStyle w:val="Header"/>
                              <w:spacing w:afterLines="50" w:after="120"/>
                              <w:rPr>
                                <w:rFonts w:eastAsiaTheme="minorEastAsia" w:cs="Arial"/>
                                <w:b w:val="0"/>
                                <w:bCs/>
                                <w:lang w:eastAsia="zh-CN"/>
                              </w:rPr>
                            </w:pPr>
                            <w:r w:rsidRPr="00E757EA">
                              <w:rPr>
                                <w:rFonts w:eastAsiaTheme="minorEastAsia" w:cs="Arial"/>
                                <w:b w:val="0"/>
                                <w:bCs/>
                                <w:lang w:eastAsia="zh-CN"/>
                              </w:rPr>
                              <w:t>Up to now RAN4 hasn’t introduce NR-DC band combination for FR2, therefore UL CA is referred here and it is RAN4 understanding that same conclusion can be applied to NR-DC.</w:t>
                            </w:r>
                          </w:p>
                          <w:p w14:paraId="1028EC77" w14:textId="77777777" w:rsidR="00E757EA" w:rsidRPr="00E757EA" w:rsidRDefault="00E757EA" w:rsidP="00E757EA">
                            <w:pPr>
                              <w:pStyle w:val="Header"/>
                              <w:spacing w:afterLines="50" w:after="120"/>
                              <w:rPr>
                                <w:rFonts w:eastAsiaTheme="minorEastAsia" w:cs="Arial"/>
                                <w:b w:val="0"/>
                                <w:bCs/>
                                <w:lang w:eastAsia="zh-CN"/>
                              </w:rPr>
                            </w:pPr>
                            <w:r w:rsidRPr="00E757EA">
                              <w:rPr>
                                <w:rFonts w:eastAsiaTheme="minorEastAsia" w:cs="Arial" w:hint="eastAsia"/>
                                <w:b w:val="0"/>
                                <w:bCs/>
                                <w:lang w:eastAsia="zh-CN"/>
                              </w:rPr>
                              <w:t>F</w:t>
                            </w:r>
                            <w:r w:rsidRPr="00E757EA">
                              <w:rPr>
                                <w:rFonts w:eastAsiaTheme="minorEastAsia" w:cs="Arial"/>
                                <w:b w:val="0"/>
                                <w:bCs/>
                                <w:lang w:eastAsia="zh-CN"/>
                              </w:rPr>
                              <w:t>or intra-band UL CA, total max TR</w:t>
                            </w:r>
                            <w:r w:rsidRPr="00E757EA">
                              <w:rPr>
                                <w:rFonts w:eastAsiaTheme="minorEastAsia" w:cs="Arial" w:hint="eastAsia"/>
                                <w:b w:val="0"/>
                                <w:bCs/>
                                <w:lang w:eastAsia="zh-CN"/>
                              </w:rPr>
                              <w:t>P</w:t>
                            </w:r>
                            <w:r w:rsidRPr="00E757EA">
                              <w:rPr>
                                <w:rFonts w:eastAsiaTheme="minorEastAsia" w:cs="Arial"/>
                                <w:b w:val="0"/>
                                <w:bCs/>
                                <w:lang w:eastAsia="zh-CN"/>
                              </w:rPr>
                              <w:t xml:space="preserve"> and max EIRP limitation are defined in section 6.2A.4 of TS 38.101-2, thus power sharing is needed when the maximum power limitation was reached. Therefore, it is not independent power control.</w:t>
                            </w:r>
                          </w:p>
                          <w:p w14:paraId="0D045CE9" w14:textId="77777777" w:rsidR="00E757EA" w:rsidRPr="00E757EA" w:rsidRDefault="00E757EA" w:rsidP="00E757EA">
                            <w:pPr>
                              <w:pStyle w:val="Header"/>
                              <w:spacing w:afterLines="50" w:after="120"/>
                              <w:rPr>
                                <w:rFonts w:eastAsiaTheme="minorEastAsia" w:cs="Arial"/>
                                <w:b w:val="0"/>
                                <w:bCs/>
                                <w:lang w:eastAsia="zh-CN"/>
                              </w:rPr>
                            </w:pPr>
                          </w:p>
                          <w:p w14:paraId="7B6D1BA6" w14:textId="77777777" w:rsidR="00E757EA" w:rsidRPr="00E757EA" w:rsidRDefault="00E757EA" w:rsidP="00E757EA">
                            <w:pPr>
                              <w:pStyle w:val="Header"/>
                              <w:spacing w:afterLines="50" w:after="120"/>
                              <w:rPr>
                                <w:rFonts w:eastAsiaTheme="minorEastAsia" w:cs="Arial"/>
                                <w:b w:val="0"/>
                                <w:bCs/>
                                <w:lang w:eastAsia="zh-CN"/>
                              </w:rPr>
                            </w:pPr>
                            <w:r w:rsidRPr="00E757EA">
                              <w:rPr>
                                <w:rFonts w:eastAsiaTheme="minorEastAsia" w:cs="Arial"/>
                                <w:b w:val="0"/>
                                <w:bCs/>
                                <w:lang w:eastAsia="zh-CN"/>
                              </w:rPr>
                              <w:t>For inter-band UL CA:</w:t>
                            </w:r>
                          </w:p>
                          <w:p w14:paraId="23CABAAC" w14:textId="77777777" w:rsidR="00E757EA" w:rsidRPr="00E757EA" w:rsidRDefault="00E757EA" w:rsidP="00E757EA">
                            <w:pPr>
                              <w:pStyle w:val="Header"/>
                              <w:spacing w:afterLines="50" w:after="120"/>
                              <w:rPr>
                                <w:rFonts w:eastAsiaTheme="minorEastAsia" w:cs="Arial"/>
                                <w:b w:val="0"/>
                                <w:bCs/>
                                <w:lang w:eastAsia="zh-CN"/>
                              </w:rPr>
                            </w:pPr>
                            <w:r w:rsidRPr="00E757EA">
                              <w:rPr>
                                <w:rFonts w:eastAsiaTheme="minorEastAsia" w:cs="Arial" w:hint="eastAsia"/>
                                <w:b w:val="0"/>
                                <w:bCs/>
                                <w:lang w:eastAsia="zh-CN"/>
                              </w:rPr>
                              <w:t>R</w:t>
                            </w:r>
                            <w:r w:rsidRPr="00E757EA">
                              <w:rPr>
                                <w:rFonts w:eastAsiaTheme="minorEastAsia" w:cs="Arial"/>
                                <w:b w:val="0"/>
                                <w:bCs/>
                                <w:lang w:eastAsia="zh-CN"/>
                              </w:rPr>
                              <w:t>AN4 has discussed two kinds of UEs to support inter-band CA, one is called CBM (Common Beam Management), and the other is called IBM (Independent Beam Management), and in Rel-17 RAN4 only defined requirements for IBM in inter-band UL CA. It is agreed that independent power control might be possible in some case for IBM but is not guaranteed UE behavior. RAN4 hasn’t discussed CBM for inter-band UL CA up to Rel-17.</w:t>
                            </w:r>
                          </w:p>
                          <w:p w14:paraId="33682CA1" w14:textId="77777777" w:rsidR="00E757EA" w:rsidRPr="00E757EA" w:rsidRDefault="00E757EA" w:rsidP="00E757EA">
                            <w:pPr>
                              <w:pStyle w:val="Header"/>
                              <w:rPr>
                                <w:rFonts w:eastAsia="DengXian" w:cs="Arial"/>
                                <w:b w:val="0"/>
                                <w:bCs/>
                                <w:lang w:eastAsia="zh-CN"/>
                              </w:rPr>
                            </w:pPr>
                          </w:p>
                          <w:p w14:paraId="3E84F5A7" w14:textId="77777777" w:rsidR="00E757EA" w:rsidRPr="00E757EA" w:rsidRDefault="00E757EA" w:rsidP="00E757EA">
                            <w:pPr>
                              <w:pStyle w:val="Header"/>
                              <w:spacing w:afterLines="50" w:after="120"/>
                              <w:rPr>
                                <w:rFonts w:eastAsia="DengXian" w:cs="Arial"/>
                                <w:b w:val="0"/>
                                <w:bCs/>
                                <w:lang w:eastAsia="zh-CN"/>
                              </w:rPr>
                            </w:pPr>
                            <w:r w:rsidRPr="00E757EA">
                              <w:rPr>
                                <w:rFonts w:eastAsiaTheme="minorEastAsia" w:cs="Arial" w:hint="eastAsia"/>
                                <w:b w:val="0"/>
                                <w:bCs/>
                                <w:lang w:eastAsia="zh-CN"/>
                              </w:rPr>
                              <w:t>I</w:t>
                            </w:r>
                            <w:r w:rsidRPr="00E757EA">
                              <w:rPr>
                                <w:rFonts w:eastAsiaTheme="minorEastAsia" w:cs="Arial"/>
                                <w:b w:val="0"/>
                                <w:bCs/>
                                <w:lang w:eastAsia="zh-CN"/>
                              </w:rPr>
                              <w:t xml:space="preserve">n addition, </w:t>
                            </w:r>
                            <w:r w:rsidRPr="00E757EA">
                              <w:rPr>
                                <w:rFonts w:eastAsia="DengXian" w:cs="Arial"/>
                                <w:b w:val="0"/>
                                <w:bCs/>
                                <w:lang w:eastAsia="zh-CN"/>
                              </w:rPr>
                              <w:t>RAN4 do not plan to discuss p-NR-FR2 or p-UE-FR2 in Rel-17.</w:t>
                            </w:r>
                          </w:p>
                          <w:p w14:paraId="0651DF04" w14:textId="5BD49808" w:rsidR="00E757EA" w:rsidRDefault="00E757E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BF5D62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9.7pt;height:31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">
                <v:textbox>
                  <w:txbxContent>
                    <w:p w14:paraId="72D8DF0A" w14:textId="05D95B87" w:rsidR="00E757EA" w:rsidRPr="00E757EA" w:rsidRDefault="00E757EA" w:rsidP="00E757EA">
                      <w:pPr>
                        <w:pStyle w:val="Header"/>
                        <w:spacing w:afterLines="50" w:after="120"/>
                        <w:rPr>
                          <w:rFonts w:cs="Arial"/>
                          <w:b w:val="0"/>
                          <w:bCs/>
                        </w:rPr>
                      </w:pPr>
                      <w:r w:rsidRPr="00E757EA">
                        <w:rPr>
                          <w:rFonts w:cs="Arial"/>
                          <w:b w:val="0"/>
                          <w:bCs/>
                        </w:rPr>
                        <w:t>RAN4 would like to thank RAN1 for the Further Reply LS on power control for NR-DC.</w:t>
                      </w:r>
                    </w:p>
                    <w:p w14:paraId="04F18AC8" w14:textId="77777777" w:rsidR="00E757EA" w:rsidRPr="00E757EA" w:rsidRDefault="00E757EA" w:rsidP="00E757EA">
                      <w:pPr>
                        <w:pStyle w:val="Header"/>
                        <w:spacing w:afterLines="50" w:after="120"/>
                        <w:rPr>
                          <w:rFonts w:eastAsiaTheme="minorEastAsia" w:cs="Arial"/>
                          <w:b w:val="0"/>
                          <w:bCs/>
                          <w:lang w:eastAsia="zh-CN"/>
                        </w:rPr>
                      </w:pPr>
                      <w:r w:rsidRPr="00E757EA">
                        <w:rPr>
                          <w:rFonts w:cs="Arial"/>
                          <w:b w:val="0"/>
                          <w:bCs/>
                        </w:rPr>
                        <w:t>Regarding the feasibility of independent power control for the mentioned two cases</w:t>
                      </w:r>
                      <w:r w:rsidRPr="00E757EA">
                        <w:rPr>
                          <w:rFonts w:eastAsiaTheme="minorEastAsia" w:cs="Arial"/>
                          <w:b w:val="0"/>
                          <w:bCs/>
                          <w:lang w:eastAsia="zh-CN"/>
                        </w:rPr>
                        <w:t>:</w:t>
                      </w:r>
                    </w:p>
                    <w:p w14:paraId="4165CFC8" w14:textId="77777777" w:rsidR="00E757EA" w:rsidRPr="00E757EA" w:rsidRDefault="00E757EA" w:rsidP="00E757EA">
                      <w:pPr>
                        <w:ind w:left="720"/>
                        <w:jc w:val="both"/>
                        <w:rPr>
                          <w:bCs/>
                          <w:i/>
                          <w:color w:val="000000" w:themeColor="text1"/>
                          <w:lang w:eastAsia="zh-CN"/>
                        </w:rPr>
                      </w:pPr>
                      <w:r w:rsidRPr="00E757EA">
                        <w:rPr>
                          <w:bCs/>
                          <w:i/>
                          <w:color w:val="000000"/>
                          <w:lang w:eastAsia="zh-CN"/>
                        </w:rPr>
                        <w:t xml:space="preserve">1) uplink CCs of MCG and uplink CCs of SCG are in different </w:t>
                      </w:r>
                      <w:r w:rsidRPr="00E757EA">
                        <w:rPr>
                          <w:bCs/>
                          <w:i/>
                          <w:color w:val="000000" w:themeColor="text1"/>
                          <w:lang w:eastAsia="zh-CN"/>
                        </w:rPr>
                        <w:t>frequency bands in FR2.</w:t>
                      </w:r>
                    </w:p>
                    <w:p w14:paraId="79E0FD2D" w14:textId="77777777" w:rsidR="00E757EA" w:rsidRPr="00E757EA" w:rsidRDefault="00E757EA" w:rsidP="00E757EA">
                      <w:pPr>
                        <w:ind w:left="720"/>
                        <w:jc w:val="both"/>
                        <w:rPr>
                          <w:bCs/>
                          <w:i/>
                          <w:color w:val="000000" w:themeColor="text1"/>
                          <w:lang w:eastAsia="zh-CN"/>
                        </w:rPr>
                      </w:pPr>
                      <w:r w:rsidRPr="00E757EA">
                        <w:rPr>
                          <w:bCs/>
                          <w:i/>
                          <w:color w:val="000000" w:themeColor="text1"/>
                          <w:lang w:eastAsia="zh-CN"/>
                        </w:rPr>
                        <w:t>2) uplink CCs of MCG and uplink CCs of SCG are in the same frequency band in FR2.</w:t>
                      </w:r>
                    </w:p>
                    <w:p w14:paraId="475D992A" w14:textId="77777777" w:rsidR="00E757EA" w:rsidRPr="00E757EA" w:rsidRDefault="00E757EA" w:rsidP="00E757EA">
                      <w:pPr>
                        <w:pStyle w:val="Header"/>
                        <w:spacing w:afterLines="50" w:after="120"/>
                        <w:rPr>
                          <w:rFonts w:eastAsiaTheme="minorEastAsia"/>
                          <w:b w:val="0"/>
                          <w:bCs/>
                          <w:i/>
                          <w:color w:val="0070C0"/>
                          <w:lang w:eastAsia="zh-CN"/>
                        </w:rPr>
                      </w:pPr>
                    </w:p>
                    <w:p w14:paraId="6CC9B6CC" w14:textId="77777777" w:rsidR="00E757EA" w:rsidRPr="00E757EA" w:rsidRDefault="00E757EA" w:rsidP="00E757EA">
                      <w:pPr>
                        <w:pStyle w:val="Header"/>
                        <w:spacing w:afterLines="50" w:after="120"/>
                        <w:rPr>
                          <w:rFonts w:eastAsiaTheme="minorEastAsia" w:cs="Arial"/>
                          <w:b w:val="0"/>
                          <w:bCs/>
                          <w:lang w:eastAsia="zh-CN"/>
                        </w:rPr>
                      </w:pPr>
                      <w:r w:rsidRPr="00E757EA">
                        <w:rPr>
                          <w:rFonts w:eastAsiaTheme="minorEastAsia" w:cs="Arial" w:hint="eastAsia"/>
                          <w:b w:val="0"/>
                          <w:bCs/>
                          <w:lang w:eastAsia="zh-CN"/>
                        </w:rPr>
                        <w:t>R</w:t>
                      </w:r>
                      <w:r w:rsidRPr="00E757EA">
                        <w:rPr>
                          <w:rFonts w:eastAsiaTheme="minorEastAsia" w:cs="Arial"/>
                          <w:b w:val="0"/>
                          <w:bCs/>
                          <w:lang w:eastAsia="zh-CN"/>
                        </w:rPr>
                        <w:t xml:space="preserve">AN4 has discussed </w:t>
                      </w:r>
                      <w:r w:rsidRPr="00E757EA">
                        <w:rPr>
                          <w:rFonts w:eastAsiaTheme="minorEastAsia" w:cs="Arial" w:hint="eastAsia"/>
                          <w:b w:val="0"/>
                          <w:bCs/>
                          <w:lang w:eastAsia="zh-CN"/>
                        </w:rPr>
                        <w:t>t</w:t>
                      </w:r>
                      <w:r w:rsidRPr="00E757EA">
                        <w:rPr>
                          <w:rFonts w:eastAsiaTheme="minorEastAsia" w:cs="Arial"/>
                          <w:b w:val="0"/>
                          <w:bCs/>
                          <w:lang w:eastAsia="zh-CN"/>
                        </w:rPr>
                        <w:t>he definition of independent power control, and the understanding is that it means power control is per CG, and there is no total power limitation.</w:t>
                      </w:r>
                    </w:p>
                    <w:p w14:paraId="1176A873" w14:textId="77777777" w:rsidR="00E757EA" w:rsidRPr="00E757EA" w:rsidRDefault="00E757EA" w:rsidP="00E757EA">
                      <w:pPr>
                        <w:pStyle w:val="Header"/>
                        <w:spacing w:afterLines="50" w:after="120"/>
                        <w:rPr>
                          <w:rFonts w:eastAsiaTheme="minorEastAsia" w:cs="Arial"/>
                          <w:b w:val="0"/>
                          <w:bCs/>
                          <w:lang w:eastAsia="zh-CN"/>
                        </w:rPr>
                      </w:pPr>
                      <w:r w:rsidRPr="00E757EA">
                        <w:rPr>
                          <w:rFonts w:eastAsiaTheme="minorEastAsia" w:cs="Arial"/>
                          <w:b w:val="0"/>
                          <w:bCs/>
                          <w:lang w:eastAsia="zh-CN"/>
                        </w:rPr>
                        <w:t>Up to now RAN4 hasn’t introduce NR-DC band combination for FR2, therefore UL CA is referred here and it is RAN4 understanding that same conclusion can be applied to NR-DC.</w:t>
                      </w:r>
                    </w:p>
                    <w:p w14:paraId="1028EC77" w14:textId="77777777" w:rsidR="00E757EA" w:rsidRPr="00E757EA" w:rsidRDefault="00E757EA" w:rsidP="00E757EA">
                      <w:pPr>
                        <w:pStyle w:val="Header"/>
                        <w:spacing w:afterLines="50" w:after="120"/>
                        <w:rPr>
                          <w:rFonts w:eastAsiaTheme="minorEastAsia" w:cs="Arial"/>
                          <w:b w:val="0"/>
                          <w:bCs/>
                          <w:lang w:eastAsia="zh-CN"/>
                        </w:rPr>
                      </w:pPr>
                      <w:r w:rsidRPr="00E757EA">
                        <w:rPr>
                          <w:rFonts w:eastAsiaTheme="minorEastAsia" w:cs="Arial" w:hint="eastAsia"/>
                          <w:b w:val="0"/>
                          <w:bCs/>
                          <w:lang w:eastAsia="zh-CN"/>
                        </w:rPr>
                        <w:t>F</w:t>
                      </w:r>
                      <w:r w:rsidRPr="00E757EA">
                        <w:rPr>
                          <w:rFonts w:eastAsiaTheme="minorEastAsia" w:cs="Arial"/>
                          <w:b w:val="0"/>
                          <w:bCs/>
                          <w:lang w:eastAsia="zh-CN"/>
                        </w:rPr>
                        <w:t>or intra-band UL CA, total max TR</w:t>
                      </w:r>
                      <w:r w:rsidRPr="00E757EA">
                        <w:rPr>
                          <w:rFonts w:eastAsiaTheme="minorEastAsia" w:cs="Arial" w:hint="eastAsia"/>
                          <w:b w:val="0"/>
                          <w:bCs/>
                          <w:lang w:eastAsia="zh-CN"/>
                        </w:rPr>
                        <w:t>P</w:t>
                      </w:r>
                      <w:r w:rsidRPr="00E757EA">
                        <w:rPr>
                          <w:rFonts w:eastAsiaTheme="minorEastAsia" w:cs="Arial"/>
                          <w:b w:val="0"/>
                          <w:bCs/>
                          <w:lang w:eastAsia="zh-CN"/>
                        </w:rPr>
                        <w:t xml:space="preserve"> and max EIRP limitation are defined in section 6.2A.4 of TS 38.101-2, thus power sharing is needed when the maximum power limitation was reached. Therefore, it is not independent power control.</w:t>
                      </w:r>
                    </w:p>
                    <w:p w14:paraId="0D045CE9" w14:textId="77777777" w:rsidR="00E757EA" w:rsidRPr="00E757EA" w:rsidRDefault="00E757EA" w:rsidP="00E757EA">
                      <w:pPr>
                        <w:pStyle w:val="Header"/>
                        <w:spacing w:afterLines="50" w:after="120"/>
                        <w:rPr>
                          <w:rFonts w:eastAsiaTheme="minorEastAsia" w:cs="Arial"/>
                          <w:b w:val="0"/>
                          <w:bCs/>
                          <w:lang w:eastAsia="zh-CN"/>
                        </w:rPr>
                      </w:pPr>
                    </w:p>
                    <w:p w14:paraId="7B6D1BA6" w14:textId="77777777" w:rsidR="00E757EA" w:rsidRPr="00E757EA" w:rsidRDefault="00E757EA" w:rsidP="00E757EA">
                      <w:pPr>
                        <w:pStyle w:val="Header"/>
                        <w:spacing w:afterLines="50" w:after="120"/>
                        <w:rPr>
                          <w:rFonts w:eastAsiaTheme="minorEastAsia" w:cs="Arial"/>
                          <w:b w:val="0"/>
                          <w:bCs/>
                          <w:lang w:eastAsia="zh-CN"/>
                        </w:rPr>
                      </w:pPr>
                      <w:r w:rsidRPr="00E757EA">
                        <w:rPr>
                          <w:rFonts w:eastAsiaTheme="minorEastAsia" w:cs="Arial"/>
                          <w:b w:val="0"/>
                          <w:bCs/>
                          <w:lang w:eastAsia="zh-CN"/>
                        </w:rPr>
                        <w:t>For inter-band UL CA:</w:t>
                      </w:r>
                    </w:p>
                    <w:p w14:paraId="23CABAAC" w14:textId="77777777" w:rsidR="00E757EA" w:rsidRPr="00E757EA" w:rsidRDefault="00E757EA" w:rsidP="00E757EA">
                      <w:pPr>
                        <w:pStyle w:val="Header"/>
                        <w:spacing w:afterLines="50" w:after="120"/>
                        <w:rPr>
                          <w:rFonts w:eastAsiaTheme="minorEastAsia" w:cs="Arial"/>
                          <w:b w:val="0"/>
                          <w:bCs/>
                          <w:lang w:eastAsia="zh-CN"/>
                        </w:rPr>
                      </w:pPr>
                      <w:r w:rsidRPr="00E757EA">
                        <w:rPr>
                          <w:rFonts w:eastAsiaTheme="minorEastAsia" w:cs="Arial" w:hint="eastAsia"/>
                          <w:b w:val="0"/>
                          <w:bCs/>
                          <w:lang w:eastAsia="zh-CN"/>
                        </w:rPr>
                        <w:t>R</w:t>
                      </w:r>
                      <w:r w:rsidRPr="00E757EA">
                        <w:rPr>
                          <w:rFonts w:eastAsiaTheme="minorEastAsia" w:cs="Arial"/>
                          <w:b w:val="0"/>
                          <w:bCs/>
                          <w:lang w:eastAsia="zh-CN"/>
                        </w:rPr>
                        <w:t>AN4 has discussed two kinds of UEs to support inter-band CA, one is called CBM (Common Beam Management), and the other is called IBM (Independent Beam Management), and in Rel-17 RAN4 only defined requirements for IBM in inter-band UL CA. It is agreed that independent power control might be possible in some case for IBM but is not guaranteed UE behavior. RAN4 hasn’t discussed CBM for inter-band UL CA up to Rel-17.</w:t>
                      </w:r>
                    </w:p>
                    <w:p w14:paraId="33682CA1" w14:textId="77777777" w:rsidR="00E757EA" w:rsidRPr="00E757EA" w:rsidRDefault="00E757EA" w:rsidP="00E757EA">
                      <w:pPr>
                        <w:pStyle w:val="Header"/>
                        <w:rPr>
                          <w:rFonts w:eastAsia="DengXian" w:cs="Arial"/>
                          <w:b w:val="0"/>
                          <w:bCs/>
                          <w:lang w:eastAsia="zh-CN"/>
                        </w:rPr>
                      </w:pPr>
                    </w:p>
                    <w:p w14:paraId="3E84F5A7" w14:textId="77777777" w:rsidR="00E757EA" w:rsidRPr="00E757EA" w:rsidRDefault="00E757EA" w:rsidP="00E757EA">
                      <w:pPr>
                        <w:pStyle w:val="Header"/>
                        <w:spacing w:afterLines="50" w:after="120"/>
                        <w:rPr>
                          <w:rFonts w:eastAsia="DengXian" w:cs="Arial"/>
                          <w:b w:val="0"/>
                          <w:bCs/>
                          <w:lang w:eastAsia="zh-CN"/>
                        </w:rPr>
                      </w:pPr>
                      <w:r w:rsidRPr="00E757EA">
                        <w:rPr>
                          <w:rFonts w:eastAsiaTheme="minorEastAsia" w:cs="Arial" w:hint="eastAsia"/>
                          <w:b w:val="0"/>
                          <w:bCs/>
                          <w:lang w:eastAsia="zh-CN"/>
                        </w:rPr>
                        <w:t>I</w:t>
                      </w:r>
                      <w:r w:rsidRPr="00E757EA">
                        <w:rPr>
                          <w:rFonts w:eastAsiaTheme="minorEastAsia" w:cs="Arial"/>
                          <w:b w:val="0"/>
                          <w:bCs/>
                          <w:lang w:eastAsia="zh-CN"/>
                        </w:rPr>
                        <w:t xml:space="preserve">n addition, </w:t>
                      </w:r>
                      <w:r w:rsidRPr="00E757EA">
                        <w:rPr>
                          <w:rFonts w:eastAsia="DengXian" w:cs="Arial"/>
                          <w:b w:val="0"/>
                          <w:bCs/>
                          <w:lang w:eastAsia="zh-CN"/>
                        </w:rPr>
                        <w:t>RAN4 do not plan to discuss p-NR-FR2 or p-UE-FR2 in Rel-17.</w:t>
                      </w:r>
                    </w:p>
                    <w:p w14:paraId="0651DF04" w14:textId="5BD49808" w:rsidR="00E757EA" w:rsidRDefault="00E757EA"/>
                  </w:txbxContent>
                </v:textbox>
                <w10:anchorlock/>
              </v:shape>
            </w:pict>
          </mc:Fallback>
        </mc:AlternateContent>
      </w:r>
    </w:p>
    <w:p w14:paraId="32865850" w14:textId="0E7BB584" w:rsidR="003D1563" w:rsidRPr="00E537D4" w:rsidRDefault="005A521C" w:rsidP="003D1563">
      <w:pPr>
        <w:pStyle w:val="BodyText"/>
      </w:pPr>
      <w:r>
        <w:t xml:space="preserve">In this document, we discuss </w:t>
      </w:r>
      <w:r w:rsidR="00215FD7">
        <w:t>upda</w:t>
      </w:r>
      <w:r w:rsidR="00F7749F">
        <w:t xml:space="preserve">tes to </w:t>
      </w:r>
      <w:r w:rsidR="00215FD7">
        <w:t xml:space="preserve">NR-DC Power sharing UE capabilities </w:t>
      </w:r>
      <w:r w:rsidR="00F7749F">
        <w:t xml:space="preserve">and potential updates to RAN1 specifications </w:t>
      </w:r>
      <w:r w:rsidR="00215FD7">
        <w:t>considering current status.</w:t>
      </w:r>
    </w:p>
    <w:p w14:paraId="2E54E658" w14:textId="73459E4C" w:rsidR="003D1563" w:rsidRDefault="003D1563" w:rsidP="003D1563">
      <w:pPr>
        <w:pStyle w:val="Heading1"/>
        <w:tabs>
          <w:tab w:val="num" w:pos="3544"/>
        </w:tabs>
        <w:spacing w:before="180"/>
        <w:ind w:left="562" w:hanging="562"/>
      </w:pPr>
      <w:r>
        <w:t>Discussion</w:t>
      </w:r>
    </w:p>
    <w:p w14:paraId="3B0A9847" w14:textId="3CF1FDFE" w:rsidR="00FE5AF1" w:rsidRDefault="00FE5AF1" w:rsidP="005A521C">
      <w:pPr>
        <w:pStyle w:val="BodyText"/>
        <w:rPr>
          <w:lang w:eastAsia="ja-JP"/>
        </w:rPr>
      </w:pPr>
      <w:r>
        <w:t>UE capabilities related to NR-DC power control are currently captured in 38.306 as shown below. While the RRC configuration of power sharing made can be differentiated for FR1 and FR2</w:t>
      </w:r>
      <w:r w:rsidR="00412B4D">
        <w:t xml:space="preserve"> (i.e., using </w:t>
      </w:r>
      <w:r w:rsidR="00412B4D">
        <w:rPr>
          <w:i/>
          <w:iCs/>
          <w:lang w:eastAsia="ja-JP"/>
        </w:rPr>
        <w:t>nrdc-PCmode-FR1</w:t>
      </w:r>
      <w:r w:rsidR="00412B4D">
        <w:rPr>
          <w:lang w:eastAsia="ja-JP"/>
        </w:rPr>
        <w:t xml:space="preserve"> or </w:t>
      </w:r>
      <w:r w:rsidR="00412B4D">
        <w:rPr>
          <w:i/>
          <w:iCs/>
          <w:lang w:eastAsia="ja-JP"/>
        </w:rPr>
        <w:t>nrdc-PCmode-FR2</w:t>
      </w:r>
      <w:r w:rsidR="00412B4D">
        <w:rPr>
          <w:lang w:eastAsia="ja-JP"/>
        </w:rPr>
        <w:t>), similar differentiation of UE capability is not present in current specs.</w:t>
      </w:r>
    </w:p>
    <w:p w14:paraId="463A46D6" w14:textId="5F877E40" w:rsidR="00A5345B" w:rsidRPr="00A5345B" w:rsidRDefault="00A5345B" w:rsidP="00A5345B">
      <w:pPr>
        <w:pStyle w:val="BodyText"/>
        <w:jc w:val="center"/>
        <w:rPr>
          <w:b/>
          <w:bCs/>
          <w:u w:val="single"/>
          <w:lang w:eastAsia="ja-JP"/>
        </w:rPr>
      </w:pPr>
      <w:r w:rsidRPr="00A5345B">
        <w:rPr>
          <w:b/>
          <w:bCs/>
          <w:u w:val="single"/>
          <w:lang w:eastAsia="ja-JP"/>
        </w:rPr>
        <w:t>Current capability definitions from 38.306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12B4D" w:rsidRPr="00C811E8" w14:paraId="43554AEC" w14:textId="77777777" w:rsidTr="00412B4D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253903" w14:textId="77777777" w:rsidR="00412B4D" w:rsidRPr="00412B4D" w:rsidRDefault="00412B4D" w:rsidP="00412B4D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lastRenderedPageBreak/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08DC63" w14:textId="77777777" w:rsidR="00412B4D" w:rsidRPr="00412B4D" w:rsidRDefault="00412B4D" w:rsidP="00412B4D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FBB9EC" w14:textId="77777777" w:rsidR="00412B4D" w:rsidRPr="00412B4D" w:rsidRDefault="00412B4D" w:rsidP="00412B4D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88B86" w14:textId="77777777" w:rsidR="00412B4D" w:rsidRPr="00412B4D" w:rsidRDefault="00412B4D" w:rsidP="00412B4D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FDD-TDD</w:t>
            </w:r>
          </w:p>
          <w:p w14:paraId="76AD3FA9" w14:textId="77777777" w:rsidR="00412B4D" w:rsidRPr="00412B4D" w:rsidRDefault="00412B4D" w:rsidP="00412B4D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702822" w14:textId="77777777" w:rsidR="00412B4D" w:rsidRPr="00412B4D" w:rsidRDefault="00412B4D" w:rsidP="00412B4D">
            <w:pPr>
              <w:pStyle w:val="TAL"/>
              <w:rPr>
                <w:sz w:val="20"/>
                <w:szCs w:val="20"/>
                <w:highlight w:val="yellow"/>
              </w:rPr>
            </w:pPr>
            <w:r w:rsidRPr="00412B4D">
              <w:rPr>
                <w:sz w:val="20"/>
                <w:szCs w:val="20"/>
                <w:highlight w:val="yellow"/>
              </w:rPr>
              <w:t>FR1-FR2</w:t>
            </w:r>
          </w:p>
          <w:p w14:paraId="3CC0965D" w14:textId="77777777" w:rsidR="00412B4D" w:rsidRPr="00412B4D" w:rsidRDefault="00412B4D" w:rsidP="00412B4D">
            <w:pPr>
              <w:pStyle w:val="TAL"/>
              <w:rPr>
                <w:sz w:val="20"/>
                <w:szCs w:val="20"/>
                <w:highlight w:val="yellow"/>
              </w:rPr>
            </w:pPr>
            <w:r w:rsidRPr="00412B4D">
              <w:rPr>
                <w:sz w:val="20"/>
                <w:szCs w:val="20"/>
                <w:highlight w:val="yellow"/>
              </w:rPr>
              <w:t>DIFF</w:t>
            </w:r>
          </w:p>
        </w:tc>
      </w:tr>
      <w:tr w:rsidR="00412B4D" w:rsidRPr="00C811E8" w14:paraId="514E85D1" w14:textId="77777777" w:rsidTr="00D61DD2">
        <w:trPr>
          <w:cantSplit/>
          <w:tblHeader/>
        </w:trPr>
        <w:tc>
          <w:tcPr>
            <w:tcW w:w="6917" w:type="dxa"/>
          </w:tcPr>
          <w:p w14:paraId="2F48A551" w14:textId="77777777" w:rsidR="00412B4D" w:rsidRPr="00412B4D" w:rsidRDefault="00412B4D" w:rsidP="00D61DD2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t>intraFR-NR-DC-PwrSharingMode1-r16</w:t>
            </w:r>
          </w:p>
          <w:p w14:paraId="10FAE7F9" w14:textId="77777777" w:rsidR="00412B4D" w:rsidRPr="00412B4D" w:rsidRDefault="00412B4D" w:rsidP="00D61DD2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 xml:space="preserve">Indicates whether the UE supports intra-FR NR DC with semi-static power sharing mode1 between MCG and SCG cells of same frequency range as defined in TS 38.213 [11]. If this field is absent, the UE does not support intra-FR NR DC. </w:t>
            </w:r>
          </w:p>
        </w:tc>
        <w:tc>
          <w:tcPr>
            <w:tcW w:w="709" w:type="dxa"/>
          </w:tcPr>
          <w:p w14:paraId="04A2033E" w14:textId="77777777" w:rsidR="00412B4D" w:rsidRPr="00412B4D" w:rsidRDefault="00412B4D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BC</w:t>
            </w:r>
          </w:p>
        </w:tc>
        <w:tc>
          <w:tcPr>
            <w:tcW w:w="567" w:type="dxa"/>
          </w:tcPr>
          <w:p w14:paraId="56631573" w14:textId="77777777" w:rsidR="00412B4D" w:rsidRPr="00412B4D" w:rsidRDefault="00412B4D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09" w:type="dxa"/>
          </w:tcPr>
          <w:p w14:paraId="323AB1E6" w14:textId="77777777" w:rsidR="00412B4D" w:rsidRPr="00412B4D" w:rsidRDefault="00412B4D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28" w:type="dxa"/>
          </w:tcPr>
          <w:p w14:paraId="10C78539" w14:textId="77777777" w:rsidR="00412B4D" w:rsidRPr="00412B4D" w:rsidRDefault="00412B4D" w:rsidP="00D61DD2">
            <w:pPr>
              <w:pStyle w:val="TAL"/>
              <w:jc w:val="center"/>
              <w:rPr>
                <w:sz w:val="20"/>
                <w:szCs w:val="20"/>
                <w:highlight w:val="yellow"/>
              </w:rPr>
            </w:pPr>
            <w:r w:rsidRPr="00412B4D">
              <w:rPr>
                <w:sz w:val="20"/>
                <w:szCs w:val="20"/>
                <w:highlight w:val="yellow"/>
              </w:rPr>
              <w:t>No</w:t>
            </w:r>
          </w:p>
        </w:tc>
      </w:tr>
      <w:tr w:rsidR="00412B4D" w:rsidRPr="00C811E8" w14:paraId="3B69FDE0" w14:textId="77777777" w:rsidTr="00D61DD2">
        <w:trPr>
          <w:cantSplit/>
          <w:tblHeader/>
        </w:trPr>
        <w:tc>
          <w:tcPr>
            <w:tcW w:w="6917" w:type="dxa"/>
          </w:tcPr>
          <w:p w14:paraId="4C707FE9" w14:textId="77777777" w:rsidR="00412B4D" w:rsidRPr="00412B4D" w:rsidRDefault="00412B4D" w:rsidP="00D61DD2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t>intraFR-NR-DC-PwrSharingMode2-r16</w:t>
            </w:r>
          </w:p>
          <w:p w14:paraId="12E7F772" w14:textId="77777777" w:rsidR="00412B4D" w:rsidRPr="00412B4D" w:rsidRDefault="00412B4D" w:rsidP="00D61DD2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 xml:space="preserve">Indicates whether the UE supports semi-static power sharing mode2 between MCG and SCG cells of same frequency range for synchronous intra-FR NR DC as defined in TS 38.213 [11]. The UE indicating the support of this also indicates the support of </w:t>
            </w:r>
            <w:r w:rsidRPr="00412B4D">
              <w:rPr>
                <w:i/>
                <w:iCs/>
                <w:sz w:val="20"/>
                <w:szCs w:val="20"/>
              </w:rPr>
              <w:t>intraFR-NR-DC-PwrSharingMode1-r16.</w:t>
            </w:r>
          </w:p>
        </w:tc>
        <w:tc>
          <w:tcPr>
            <w:tcW w:w="709" w:type="dxa"/>
          </w:tcPr>
          <w:p w14:paraId="680C962C" w14:textId="77777777" w:rsidR="00412B4D" w:rsidRPr="00412B4D" w:rsidRDefault="00412B4D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BC</w:t>
            </w:r>
          </w:p>
        </w:tc>
        <w:tc>
          <w:tcPr>
            <w:tcW w:w="567" w:type="dxa"/>
          </w:tcPr>
          <w:p w14:paraId="45E9F3F2" w14:textId="77777777" w:rsidR="00412B4D" w:rsidRPr="00412B4D" w:rsidRDefault="00412B4D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09" w:type="dxa"/>
          </w:tcPr>
          <w:p w14:paraId="3B405C36" w14:textId="77777777" w:rsidR="00412B4D" w:rsidRPr="00412B4D" w:rsidRDefault="00412B4D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28" w:type="dxa"/>
          </w:tcPr>
          <w:p w14:paraId="2F1E6088" w14:textId="77777777" w:rsidR="00412B4D" w:rsidRPr="00412B4D" w:rsidRDefault="00412B4D" w:rsidP="00D61DD2">
            <w:pPr>
              <w:pStyle w:val="TAL"/>
              <w:jc w:val="center"/>
              <w:rPr>
                <w:sz w:val="20"/>
                <w:szCs w:val="20"/>
                <w:highlight w:val="yellow"/>
              </w:rPr>
            </w:pPr>
            <w:r w:rsidRPr="00412B4D">
              <w:rPr>
                <w:sz w:val="20"/>
                <w:szCs w:val="20"/>
                <w:highlight w:val="yellow"/>
              </w:rPr>
              <w:t>No</w:t>
            </w:r>
          </w:p>
        </w:tc>
      </w:tr>
      <w:tr w:rsidR="00412B4D" w:rsidRPr="00C811E8" w14:paraId="452CE816" w14:textId="77777777" w:rsidTr="00D61DD2">
        <w:trPr>
          <w:cantSplit/>
          <w:tblHeader/>
        </w:trPr>
        <w:tc>
          <w:tcPr>
            <w:tcW w:w="6917" w:type="dxa"/>
          </w:tcPr>
          <w:p w14:paraId="6C3D4440" w14:textId="77777777" w:rsidR="00412B4D" w:rsidRPr="00412B4D" w:rsidRDefault="00412B4D" w:rsidP="00D61DD2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t>intraFR-NR-DC-DynamicPwrSharing-r16</w:t>
            </w:r>
          </w:p>
          <w:p w14:paraId="05704F34" w14:textId="77777777" w:rsidR="00412B4D" w:rsidRPr="00412B4D" w:rsidRDefault="00412B4D" w:rsidP="00D61DD2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 xml:space="preserve">Indicates the UE support of dynamic power sharing for intra-FR NR DC between MCG and SCG cells of same frequency range with long or short offset as specified in TS 38.213 [11]. The UE indicating the support of this also indicates the support of </w:t>
            </w:r>
            <w:r w:rsidRPr="00412B4D">
              <w:rPr>
                <w:i/>
                <w:iCs/>
                <w:sz w:val="20"/>
                <w:szCs w:val="20"/>
              </w:rPr>
              <w:t>intraFR-NR-DC-PwrSharingMode1-r16.</w:t>
            </w:r>
          </w:p>
        </w:tc>
        <w:tc>
          <w:tcPr>
            <w:tcW w:w="709" w:type="dxa"/>
          </w:tcPr>
          <w:p w14:paraId="409B2C6C" w14:textId="77777777" w:rsidR="00412B4D" w:rsidRPr="00412B4D" w:rsidRDefault="00412B4D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BC</w:t>
            </w:r>
          </w:p>
        </w:tc>
        <w:tc>
          <w:tcPr>
            <w:tcW w:w="567" w:type="dxa"/>
          </w:tcPr>
          <w:p w14:paraId="1C03FD5C" w14:textId="77777777" w:rsidR="00412B4D" w:rsidRPr="00412B4D" w:rsidRDefault="00412B4D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09" w:type="dxa"/>
          </w:tcPr>
          <w:p w14:paraId="601B68E5" w14:textId="77777777" w:rsidR="00412B4D" w:rsidRPr="00412B4D" w:rsidRDefault="00412B4D" w:rsidP="00D61DD2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28" w:type="dxa"/>
          </w:tcPr>
          <w:p w14:paraId="1693F50E" w14:textId="77777777" w:rsidR="00412B4D" w:rsidRPr="00412B4D" w:rsidRDefault="00412B4D" w:rsidP="00D61DD2">
            <w:pPr>
              <w:pStyle w:val="TAL"/>
              <w:jc w:val="center"/>
              <w:rPr>
                <w:sz w:val="20"/>
                <w:szCs w:val="20"/>
                <w:highlight w:val="yellow"/>
              </w:rPr>
            </w:pPr>
            <w:r w:rsidRPr="00412B4D">
              <w:rPr>
                <w:sz w:val="20"/>
                <w:szCs w:val="20"/>
                <w:highlight w:val="yellow"/>
              </w:rPr>
              <w:t>No</w:t>
            </w:r>
          </w:p>
        </w:tc>
      </w:tr>
    </w:tbl>
    <w:p w14:paraId="4F349518" w14:textId="77777777" w:rsidR="00412B4D" w:rsidRPr="00412B4D" w:rsidRDefault="00412B4D" w:rsidP="005A521C">
      <w:pPr>
        <w:pStyle w:val="BodyText"/>
      </w:pPr>
    </w:p>
    <w:p w14:paraId="3A8822F5" w14:textId="6C033DFB" w:rsidR="004A6DA5" w:rsidRPr="004A6DA5" w:rsidRDefault="004A6DA5" w:rsidP="004A6DA5">
      <w:pPr>
        <w:pStyle w:val="BodyText"/>
      </w:pPr>
      <w:r>
        <w:t xml:space="preserve">RAN1 discussed possible updates to UE capabilities in </w:t>
      </w:r>
      <w:r w:rsidRPr="004A6DA5">
        <w:t>[105-e-NR-UEFeature-MRDCCA-01]</w:t>
      </w:r>
      <w:r>
        <w:t xml:space="preserve"> thread but the discussion could not conclude as RAN1 was waiting for RAN4 input. It was also discussed whether RAN1 could let RAN2 handle the UE capability aspect.</w:t>
      </w:r>
      <w:r>
        <w:rPr>
          <w:lang w:eastAsia="x-none"/>
        </w:rPr>
        <w:t xml:space="preserve"> </w:t>
      </w:r>
    </w:p>
    <w:p w14:paraId="3C2F491E" w14:textId="79E30749" w:rsidR="00215FD7" w:rsidRDefault="00C47093" w:rsidP="00215FD7">
      <w:pPr>
        <w:rPr>
          <w:szCs w:val="22"/>
          <w:lang w:val="en-GB"/>
        </w:rPr>
      </w:pPr>
      <w:r>
        <w:rPr>
          <w:iCs/>
          <w:lang w:val="en-GB"/>
        </w:rPr>
        <w:t>In RAN2</w:t>
      </w:r>
      <w:r w:rsidR="003530BC">
        <w:rPr>
          <w:iCs/>
          <w:lang w:val="en-GB"/>
        </w:rPr>
        <w:t>,</w:t>
      </w:r>
      <w:r w:rsidR="00215FD7">
        <w:rPr>
          <w:lang w:val="en-GB"/>
        </w:rPr>
        <w:t xml:space="preserve"> </w:t>
      </w:r>
      <w:r>
        <w:rPr>
          <w:lang w:val="en-GB"/>
        </w:rPr>
        <w:t xml:space="preserve">it was </w:t>
      </w:r>
      <w:r w:rsidR="00215FD7">
        <w:rPr>
          <w:lang w:val="en-GB"/>
        </w:rPr>
        <w:t xml:space="preserve">decided in </w:t>
      </w:r>
      <w:r w:rsidR="00D61DD2">
        <w:rPr>
          <w:lang w:val="en-GB"/>
        </w:rPr>
        <w:t>RAN2#113b-e</w:t>
      </w:r>
      <w:r w:rsidR="003530BC">
        <w:rPr>
          <w:lang w:val="en-GB"/>
        </w:rPr>
        <w:t xml:space="preserve"> </w:t>
      </w:r>
      <w:r w:rsidR="00215FD7">
        <w:rPr>
          <w:lang w:val="en-GB"/>
        </w:rPr>
        <w:t xml:space="preserve">meeting to wait for RAN1 input </w:t>
      </w:r>
      <w:r w:rsidR="004A6DA5">
        <w:rPr>
          <w:lang w:val="en-GB"/>
        </w:rPr>
        <w:t>on this topic including any changes to UE</w:t>
      </w:r>
      <w:r w:rsidR="00215FD7">
        <w:rPr>
          <w:lang w:val="en-GB"/>
        </w:rPr>
        <w:t xml:space="preserve"> capabilities</w:t>
      </w:r>
      <w:r w:rsidR="007B6601">
        <w:rPr>
          <w:lang w:val="en-GB"/>
        </w:rPr>
        <w:t xml:space="preserve"> and so RAN1 should provide input to RAN2</w:t>
      </w:r>
      <w:r w:rsidR="00215FD7">
        <w:rPr>
          <w:lang w:val="en-GB"/>
        </w:rPr>
        <w:t xml:space="preserve">. </w:t>
      </w:r>
    </w:p>
    <w:p w14:paraId="54D599CB" w14:textId="59FCC839" w:rsidR="00215FD7" w:rsidRDefault="00D61DD2" w:rsidP="00D61DD2">
      <w:pPr>
        <w:pStyle w:val="BodyText"/>
        <w:jc w:val="center"/>
      </w:pPr>
      <w:r>
        <w:rPr>
          <w:noProof/>
        </w:rPr>
        <w:drawing>
          <wp:inline distT="0" distB="0" distL="0" distR="0" wp14:anchorId="519A2712" wp14:editId="3D39D1E3">
            <wp:extent cx="4928870" cy="1818988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42250" cy="1823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7315E" w14:textId="316DD15F" w:rsidR="00C47093" w:rsidRDefault="00C47093" w:rsidP="00215FD7">
      <w:pPr>
        <w:pStyle w:val="BodyText"/>
      </w:pPr>
      <w:r>
        <w:t xml:space="preserve">RAN1 again discussed possible updates to UE capabilities in </w:t>
      </w:r>
      <w:r w:rsidRPr="00C47093">
        <w:t xml:space="preserve">[106-e-NR-UEFeature-MRDCCA-01] </w:t>
      </w:r>
      <w:r>
        <w:t>thread but consensus could not be achieved. Following was the last discussed FL proposal</w:t>
      </w:r>
    </w:p>
    <w:p w14:paraId="5BCB7AD5" w14:textId="4E6523DC" w:rsidR="00C47093" w:rsidRDefault="00C47093" w:rsidP="00215FD7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191DA131" wp14:editId="1345C957">
                <wp:extent cx="5704450" cy="1547446"/>
                <wp:effectExtent l="0" t="0" r="10795" b="1524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4450" cy="15474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456A3D" w14:textId="671DC71C" w:rsidR="00C47093" w:rsidRDefault="00C47093" w:rsidP="00C47093">
                            <w:pPr>
                              <w:ind w:left="720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lang w:eastAsia="ja-JP"/>
                              </w:rPr>
                              <w:t>Updated FL proposal #1</w:t>
                            </w:r>
                          </w:p>
                          <w:p w14:paraId="1F09761C" w14:textId="77777777" w:rsidR="00C47093" w:rsidRDefault="00C47093" w:rsidP="00C47093">
                            <w:pPr>
                              <w:ind w:left="720" w:hanging="420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ascii="Wingdings" w:hAnsi="Wingdings"/>
                                <w:sz w:val="22"/>
                                <w:szCs w:val="22"/>
                                <w:lang w:val="en-GB" w:eastAsia="ja-JP"/>
                              </w:rPr>
                              <w:t></w:t>
                            </w:r>
                            <w:r>
                              <w:rPr>
                                <w:sz w:val="14"/>
                                <w:szCs w:val="14"/>
                                <w:lang w:val="en-GB" w:eastAsia="ja-JP"/>
                              </w:rPr>
                              <w:t>  </w:t>
                            </w:r>
                            <w:r>
                              <w:rPr>
                                <w:rStyle w:val="apple-converted-space"/>
                                <w:rFonts w:eastAsia="MS Mincho"/>
                                <w:sz w:val="14"/>
                                <w:szCs w:val="14"/>
                                <w:lang w:val="en-GB" w:eastAsia="ja-JP"/>
                              </w:rPr>
                              <w:t> </w:t>
                            </w:r>
                            <w:bookmarkStart w:id="3" w:name="_Hlk101728538"/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lang w:val="en-GB" w:eastAsia="ja-JP"/>
                              </w:rPr>
                              <w:t>For FG18-1/1a/1b, add following note and ask RAN2 to modify the descriptions in TS38.306 accordingly</w:t>
                            </w:r>
                          </w:p>
                          <w:p w14:paraId="4904E2BE" w14:textId="77777777" w:rsidR="00C47093" w:rsidRDefault="00C47093" w:rsidP="00C47093">
                            <w:pPr>
                              <w:ind w:left="720" w:hanging="420"/>
                              <w:rPr>
                                <w:lang w:eastAsia="ja-JP"/>
                              </w:rPr>
                            </w:pPr>
                            <w:proofErr w:type="gramStart"/>
                            <w:r>
                              <w:rPr>
                                <w:rFonts w:ascii="Wingdings" w:hAnsi="Wingdings"/>
                                <w:sz w:val="23"/>
                                <w:szCs w:val="23"/>
                                <w:lang w:val="en-GB" w:eastAsia="ja-JP"/>
                              </w:rPr>
                              <w:t>Ø</w:t>
                            </w:r>
                            <w:r>
                              <w:rPr>
                                <w:sz w:val="14"/>
                                <w:szCs w:val="14"/>
                                <w:lang w:val="en-GB" w:eastAsia="ja-JP"/>
                              </w:rPr>
                              <w:t> </w:t>
                            </w:r>
                            <w:r>
                              <w:rPr>
                                <w:rStyle w:val="apple-converted-space"/>
                                <w:rFonts w:eastAsia="MS Mincho"/>
                                <w:sz w:val="14"/>
                                <w:szCs w:val="14"/>
                                <w:lang w:val="en-GB" w:eastAsia="ja-JP"/>
                              </w:rPr>
                              <w:t> 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lang w:val="en-GB" w:eastAsia="ja-JP"/>
                              </w:rPr>
                              <w:t>In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lang w:val="en-GB" w:eastAsia="ja-JP"/>
                              </w:rPr>
                              <w:t xml:space="preserve"> case MCG and/or SCG have cells in different frequency ranges, this FG indicates the capability of the power sharing only between those MCG and SCG cells with UL in FR1.</w:t>
                            </w:r>
                          </w:p>
                          <w:bookmarkEnd w:id="3"/>
                          <w:p w14:paraId="5B7B734E" w14:textId="77777777" w:rsidR="00C47093" w:rsidRDefault="00C47093" w:rsidP="00C47093">
                            <w:pPr>
                              <w:ind w:left="720" w:hanging="420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ascii="Wingdings" w:hAnsi="Wingdings"/>
                                <w:color w:val="FF0000"/>
                                <w:sz w:val="23"/>
                                <w:szCs w:val="23"/>
                                <w:lang w:val="en-GB" w:eastAsia="ja-JP"/>
                              </w:rPr>
                              <w:t></w:t>
                            </w:r>
                            <w:r>
                              <w:rPr>
                                <w:color w:val="FF0000"/>
                                <w:sz w:val="14"/>
                                <w:szCs w:val="14"/>
                                <w:lang w:val="en-GB" w:eastAsia="ja-JP"/>
                              </w:rPr>
                              <w:t>  </w:t>
                            </w:r>
                            <w:r>
                              <w:rPr>
                                <w:rStyle w:val="apple-converted-space"/>
                                <w:rFonts w:eastAsia="MS Mincho"/>
                                <w:color w:val="FF0000"/>
                                <w:sz w:val="14"/>
                                <w:szCs w:val="14"/>
                                <w:lang w:val="en-GB" w:eastAsia="ja-JP"/>
                              </w:rPr>
                              <w:t> </w:t>
                            </w:r>
                            <w:bookmarkStart w:id="4" w:name="_Hlk101728679"/>
                            <w:r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lang w:val="en-GB" w:eastAsia="ja-JP"/>
                              </w:rPr>
                              <w:t>Note: above clarification for FG18-1/1a/1b does not mean that Rel-16 UEs are mandated to support power sharing mechanisms like FG18-1/1a/1b for FR2-FR2 DC.</w:t>
                            </w:r>
                          </w:p>
                          <w:bookmarkEnd w:id="4"/>
                          <w:p w14:paraId="2A0360D6" w14:textId="77777777" w:rsidR="00C47093" w:rsidRDefault="00C47093" w:rsidP="00C47093">
                            <w:pPr>
                              <w:pStyle w:val="BodyText"/>
                            </w:pPr>
                          </w:p>
                          <w:p w14:paraId="542C7843" w14:textId="2022838F" w:rsidR="00C47093" w:rsidRDefault="00C470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91DA131" id="_x0000_s1027" type="#_x0000_t202" style="width:449.15pt;height:121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">
                <v:textbox>
                  <w:txbxContent>
                    <w:p w14:paraId="41456A3D" w14:textId="671DC71C" w:rsidR="00C47093" w:rsidRDefault="00C47093" w:rsidP="00C47093">
                      <w:pPr>
                        <w:ind w:left="720"/>
                        <w:rPr>
                          <w:lang w:eastAsia="ja-JP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lang w:eastAsia="ja-JP"/>
                        </w:rPr>
                        <w:t>Updated FL proposal #1</w:t>
                      </w:r>
                    </w:p>
                    <w:p w14:paraId="1F09761C" w14:textId="77777777" w:rsidR="00C47093" w:rsidRDefault="00C47093" w:rsidP="00C47093">
                      <w:pPr>
                        <w:ind w:left="720" w:hanging="420"/>
                        <w:rPr>
                          <w:lang w:eastAsia="ja-JP"/>
                        </w:rPr>
                      </w:pPr>
                      <w:r>
                        <w:rPr>
                          <w:rFonts w:ascii="Wingdings" w:hAnsi="Wingdings"/>
                          <w:sz w:val="22"/>
                          <w:szCs w:val="22"/>
                          <w:lang w:val="en-GB" w:eastAsia="ja-JP"/>
                        </w:rPr>
                        <w:t></w:t>
                      </w:r>
                      <w:r>
                        <w:rPr>
                          <w:sz w:val="14"/>
                          <w:szCs w:val="14"/>
                          <w:lang w:val="en-GB" w:eastAsia="ja-JP"/>
                        </w:rPr>
                        <w:t>  </w:t>
                      </w:r>
                      <w:r>
                        <w:rPr>
                          <w:rStyle w:val="apple-converted-space"/>
                          <w:rFonts w:eastAsia="MS Mincho"/>
                          <w:sz w:val="14"/>
                          <w:szCs w:val="14"/>
                          <w:lang w:val="en-GB" w:eastAsia="ja-JP"/>
                        </w:rPr>
                        <w:t> </w:t>
                      </w:r>
                      <w:bookmarkStart w:id="5" w:name="_Hlk101728538"/>
                      <w:r>
                        <w:rPr>
                          <w:b/>
                          <w:bCs/>
                          <w:sz w:val="22"/>
                          <w:szCs w:val="22"/>
                          <w:lang w:val="en-GB" w:eastAsia="ja-JP"/>
                        </w:rPr>
                        <w:t>For FG18-1/1a/1b, add following note and ask RAN2 to modify the descriptions in TS38.306 accordingly</w:t>
                      </w:r>
                    </w:p>
                    <w:p w14:paraId="4904E2BE" w14:textId="77777777" w:rsidR="00C47093" w:rsidRDefault="00C47093" w:rsidP="00C47093">
                      <w:pPr>
                        <w:ind w:left="720" w:hanging="420"/>
                        <w:rPr>
                          <w:lang w:eastAsia="ja-JP"/>
                        </w:rPr>
                      </w:pPr>
                      <w:proofErr w:type="gramStart"/>
                      <w:r>
                        <w:rPr>
                          <w:rFonts w:ascii="Wingdings" w:hAnsi="Wingdings"/>
                          <w:sz w:val="23"/>
                          <w:szCs w:val="23"/>
                          <w:lang w:val="en-GB" w:eastAsia="ja-JP"/>
                        </w:rPr>
                        <w:t>Ø</w:t>
                      </w:r>
                      <w:r>
                        <w:rPr>
                          <w:sz w:val="14"/>
                          <w:szCs w:val="14"/>
                          <w:lang w:val="en-GB" w:eastAsia="ja-JP"/>
                        </w:rPr>
                        <w:t> </w:t>
                      </w:r>
                      <w:r>
                        <w:rPr>
                          <w:rStyle w:val="apple-converted-space"/>
                          <w:rFonts w:eastAsia="MS Mincho"/>
                          <w:sz w:val="14"/>
                          <w:szCs w:val="14"/>
                          <w:lang w:val="en-GB" w:eastAsia="ja-JP"/>
                        </w:rPr>
                        <w:t> 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  <w:lang w:val="en-GB" w:eastAsia="ja-JP"/>
                        </w:rPr>
                        <w:t>In</w:t>
                      </w:r>
                      <w:proofErr w:type="gramEnd"/>
                      <w:r>
                        <w:rPr>
                          <w:b/>
                          <w:bCs/>
                          <w:sz w:val="22"/>
                          <w:szCs w:val="22"/>
                          <w:lang w:val="en-GB" w:eastAsia="ja-JP"/>
                        </w:rPr>
                        <w:t xml:space="preserve"> case MCG and/or SCG have cells in different frequency ranges, this FG indicates the capability of the power sharing only between those MCG and SCG cells with UL in FR1.</w:t>
                      </w:r>
                    </w:p>
                    <w:bookmarkEnd w:id="5"/>
                    <w:p w14:paraId="5B7B734E" w14:textId="77777777" w:rsidR="00C47093" w:rsidRDefault="00C47093" w:rsidP="00C47093">
                      <w:pPr>
                        <w:ind w:left="720" w:hanging="420"/>
                        <w:rPr>
                          <w:lang w:eastAsia="ja-JP"/>
                        </w:rPr>
                      </w:pPr>
                      <w:r>
                        <w:rPr>
                          <w:rFonts w:ascii="Wingdings" w:hAnsi="Wingdings"/>
                          <w:color w:val="FF0000"/>
                          <w:sz w:val="23"/>
                          <w:szCs w:val="23"/>
                          <w:lang w:val="en-GB" w:eastAsia="ja-JP"/>
                        </w:rPr>
                        <w:t></w:t>
                      </w:r>
                      <w:r>
                        <w:rPr>
                          <w:color w:val="FF0000"/>
                          <w:sz w:val="14"/>
                          <w:szCs w:val="14"/>
                          <w:lang w:val="en-GB" w:eastAsia="ja-JP"/>
                        </w:rPr>
                        <w:t>  </w:t>
                      </w:r>
                      <w:r>
                        <w:rPr>
                          <w:rStyle w:val="apple-converted-space"/>
                          <w:rFonts w:eastAsia="MS Mincho"/>
                          <w:color w:val="FF0000"/>
                          <w:sz w:val="14"/>
                          <w:szCs w:val="14"/>
                          <w:lang w:val="en-GB" w:eastAsia="ja-JP"/>
                        </w:rPr>
                        <w:t> </w:t>
                      </w:r>
                      <w:bookmarkStart w:id="6" w:name="_Hlk101728679"/>
                      <w:r>
                        <w:rPr>
                          <w:b/>
                          <w:bCs/>
                          <w:color w:val="FF0000"/>
                          <w:sz w:val="22"/>
                          <w:szCs w:val="22"/>
                          <w:lang w:val="en-GB" w:eastAsia="ja-JP"/>
                        </w:rPr>
                        <w:t>Note: above clarification for FG18-1/1a/1b does not mean that Rel-16 UEs are mandated to support power sharing mechanisms like FG18-1/1a/1b for FR2-FR2 DC.</w:t>
                      </w:r>
                    </w:p>
                    <w:bookmarkEnd w:id="6"/>
                    <w:p w14:paraId="2A0360D6" w14:textId="77777777" w:rsidR="00C47093" w:rsidRDefault="00C47093" w:rsidP="00C47093">
                      <w:pPr>
                        <w:pStyle w:val="BodyText"/>
                      </w:pPr>
                    </w:p>
                    <w:p w14:paraId="542C7843" w14:textId="2022838F" w:rsidR="00C47093" w:rsidRDefault="00C47093"/>
                  </w:txbxContent>
                </v:textbox>
                <w10:anchorlock/>
              </v:shape>
            </w:pict>
          </mc:Fallback>
        </mc:AlternateContent>
      </w:r>
    </w:p>
    <w:p w14:paraId="715F0B52" w14:textId="4BC1705D" w:rsidR="00C47093" w:rsidRDefault="00C47093" w:rsidP="00C47093">
      <w:pPr>
        <w:pStyle w:val="BodyText"/>
      </w:pPr>
      <w:r>
        <w:t xml:space="preserve">As discussed </w:t>
      </w:r>
      <w:r w:rsidR="00E345FB">
        <w:t xml:space="preserve">in our </w:t>
      </w:r>
      <w:r>
        <w:t>previous</w:t>
      </w:r>
      <w:r w:rsidR="00E345FB">
        <w:t xml:space="preserve"> contribution</w:t>
      </w:r>
      <w:r>
        <w:t xml:space="preserve"> [4], given current status with p-NR-FR2 decision by RAN4, the Rel16 UE capability definitions should be modified such that UEs can at least indicate support for power sharing mode</w:t>
      </w:r>
      <w:r w:rsidR="00E345FB">
        <w:t>s</w:t>
      </w:r>
      <w:r>
        <w:t xml:space="preserve"> for FR1 only (i.e., applicable only to cells with FR1 UL in MCG and SCG) without indicating it as supported for FR2</w:t>
      </w:r>
      <w:r w:rsidR="00E345FB">
        <w:t xml:space="preserve"> (which is current status).</w:t>
      </w:r>
    </w:p>
    <w:p w14:paraId="014298EE" w14:textId="48A96410" w:rsidR="00C47093" w:rsidRDefault="00C47093" w:rsidP="00C47093">
      <w:pPr>
        <w:pStyle w:val="BodyText"/>
      </w:pPr>
      <w:r>
        <w:t>Considering th</w:t>
      </w:r>
      <w:r w:rsidR="00E345FB">
        <w:t>e above</w:t>
      </w:r>
      <w:r>
        <w:t xml:space="preserve"> we support the FL proposal discussed in RAN1#106-e</w:t>
      </w:r>
    </w:p>
    <w:p w14:paraId="653582B5" w14:textId="48868CF4" w:rsidR="00C47093" w:rsidRDefault="00C47093" w:rsidP="00C47093">
      <w:pPr>
        <w:pStyle w:val="BodyText"/>
        <w:rPr>
          <w:b/>
          <w:bCs/>
          <w:u w:val="single"/>
        </w:rPr>
      </w:pPr>
      <w:r w:rsidRPr="00C47093">
        <w:rPr>
          <w:b/>
          <w:bCs/>
          <w:u w:val="single"/>
        </w:rPr>
        <w:t>Proposal 1</w:t>
      </w:r>
    </w:p>
    <w:p w14:paraId="0FA7D7D9" w14:textId="7DD2B077" w:rsidR="00C47093" w:rsidRPr="00C47093" w:rsidRDefault="00C47093" w:rsidP="00C47093">
      <w:pPr>
        <w:pStyle w:val="BodyText"/>
        <w:numPr>
          <w:ilvl w:val="0"/>
          <w:numId w:val="16"/>
        </w:numPr>
        <w:rPr>
          <w:b/>
          <w:bCs/>
          <w:u w:val="single"/>
        </w:rPr>
      </w:pPr>
      <w:r>
        <w:lastRenderedPageBreak/>
        <w:t>Agree to the following to avoid the RAN4 decision on p-NR-FR2 from impacting NR-DC for FR1 cells</w:t>
      </w:r>
    </w:p>
    <w:p w14:paraId="066AEE3C" w14:textId="4A427C08" w:rsidR="00C47093" w:rsidRDefault="00C47093" w:rsidP="00C47093">
      <w:pPr>
        <w:pStyle w:val="BodyText"/>
        <w:numPr>
          <w:ilvl w:val="1"/>
          <w:numId w:val="16"/>
        </w:numPr>
      </w:pPr>
      <w:r>
        <w:t xml:space="preserve"> For FG18-1/1a/1b, ask RAN2 to modify the descriptions in TS38.306 accordingly</w:t>
      </w:r>
    </w:p>
    <w:p w14:paraId="6CDA3A57" w14:textId="739D0E7A" w:rsidR="00C47093" w:rsidRPr="007D12D3" w:rsidRDefault="00C47093" w:rsidP="00C47093">
      <w:pPr>
        <w:pStyle w:val="BodyText"/>
        <w:numPr>
          <w:ilvl w:val="2"/>
          <w:numId w:val="16"/>
        </w:numPr>
        <w:rPr>
          <w:b/>
          <w:bCs/>
          <w:u w:val="single"/>
        </w:rPr>
      </w:pPr>
      <w:r>
        <w:t>In case MCG and/or SCG have cells in different frequency ranges, this FG indicates the capability of the power sharing only between those MCG and SCG cells with UL in FR1.</w:t>
      </w:r>
    </w:p>
    <w:p w14:paraId="6B415AC6" w14:textId="17688C06" w:rsidR="007D12D3" w:rsidRPr="007D12D3" w:rsidRDefault="007D12D3" w:rsidP="007D12D3">
      <w:pPr>
        <w:pStyle w:val="BodyText"/>
        <w:numPr>
          <w:ilvl w:val="1"/>
          <w:numId w:val="16"/>
        </w:numPr>
      </w:pPr>
      <w:r w:rsidRPr="007D12D3">
        <w:t>Note: above clarification for FG18-1/1a/1b does not mean that Rel-16 UEs are mandated to support power sharing mechanisms like FG18-1/1a/1b for FR2-FR2 DC.</w:t>
      </w:r>
    </w:p>
    <w:p w14:paraId="01D63360" w14:textId="77777777" w:rsidR="007D12D3" w:rsidRDefault="007D12D3" w:rsidP="00C47093">
      <w:pPr>
        <w:pStyle w:val="BodyText"/>
      </w:pPr>
    </w:p>
    <w:p w14:paraId="0E42AEF7" w14:textId="4CBD2B0F" w:rsidR="00A179F8" w:rsidRDefault="007D12D3" w:rsidP="00C47093">
      <w:pPr>
        <w:pStyle w:val="BodyText"/>
      </w:pPr>
      <w:r w:rsidRPr="007D12D3">
        <w:t xml:space="preserve">Then </w:t>
      </w:r>
      <w:r>
        <w:t xml:space="preserve">on how to handle the case of NR-DC with FR2 cells in MCG and SCG, the LS </w:t>
      </w:r>
      <w:r w:rsidR="00AB5810">
        <w:t xml:space="preserve">reply </w:t>
      </w:r>
      <w:r>
        <w:t xml:space="preserve">from RAN4 [3] does not </w:t>
      </w:r>
      <w:r w:rsidR="00647F0E">
        <w:t xml:space="preserve">appear to </w:t>
      </w:r>
      <w:r>
        <w:t xml:space="preserve">justify introduction of a new power sharing mechanism </w:t>
      </w:r>
      <w:r w:rsidR="00C1410C">
        <w:t xml:space="preserve">for FR2 NR-DC </w:t>
      </w:r>
      <w:r>
        <w:t xml:space="preserve">(e.g., </w:t>
      </w:r>
      <w:r w:rsidR="00C1410C">
        <w:t xml:space="preserve">mechanism such as </w:t>
      </w:r>
      <w:r>
        <w:t xml:space="preserve">the TP to 38.213 in RAN1 LS R1-2104018 [2]). </w:t>
      </w:r>
      <w:r w:rsidR="00A179F8">
        <w:t>The</w:t>
      </w:r>
      <w:r>
        <w:t xml:space="preserve"> LS does not indicate any </w:t>
      </w:r>
      <w:r w:rsidR="007D7F1B">
        <w:t xml:space="preserve">RAN4 </w:t>
      </w:r>
      <w:r>
        <w:t xml:space="preserve">agreements made for NR-DC. It </w:t>
      </w:r>
      <w:r w:rsidR="00E345FB">
        <w:t>is mentioned that</w:t>
      </w:r>
      <w:r>
        <w:t xml:space="preserve"> certain conclusions for UL CA can be applied for NR-DC. </w:t>
      </w:r>
      <w:r w:rsidR="00A179F8">
        <w:t>However,</w:t>
      </w:r>
      <w:r>
        <w:t xml:space="preserve"> </w:t>
      </w:r>
      <w:r w:rsidR="00A179F8">
        <w:t xml:space="preserve">it is difficult to specify concrete UE </w:t>
      </w:r>
      <w:r w:rsidR="00C1410C">
        <w:t>behavior</w:t>
      </w:r>
      <w:r w:rsidR="00A179F8">
        <w:t xml:space="preserve"> based on the input received </w:t>
      </w:r>
      <w:r w:rsidR="00515229">
        <w:t xml:space="preserve">for </w:t>
      </w:r>
      <w:r>
        <w:t xml:space="preserve">CA, e.g., </w:t>
      </w:r>
      <w:proofErr w:type="gramStart"/>
      <w:r>
        <w:t>“..</w:t>
      </w:r>
      <w:proofErr w:type="gramEnd"/>
      <w:r w:rsidRPr="00A179F8">
        <w:rPr>
          <w:i/>
          <w:iCs/>
        </w:rPr>
        <w:t>independent power control might be possible in some case for IBM but is not guaranteed UE behavior…</w:t>
      </w:r>
      <w:r>
        <w:t>”</w:t>
      </w:r>
      <w:r w:rsidR="00A179F8">
        <w:t>.</w:t>
      </w:r>
      <w:r w:rsidR="00C1410C">
        <w:t xml:space="preserve"> </w:t>
      </w:r>
    </w:p>
    <w:p w14:paraId="1FB0F2CD" w14:textId="71C39CFE" w:rsidR="00A179F8" w:rsidRDefault="00A179F8" w:rsidP="00C47093">
      <w:pPr>
        <w:pStyle w:val="BodyText"/>
      </w:pPr>
      <w:r>
        <w:t xml:space="preserve">RAN4 </w:t>
      </w:r>
      <w:r w:rsidR="00515229">
        <w:t xml:space="preserve">input is </w:t>
      </w:r>
      <w:r>
        <w:t xml:space="preserve">however </w:t>
      </w:r>
      <w:r w:rsidR="00515229">
        <w:t>clear</w:t>
      </w:r>
      <w:r>
        <w:t xml:space="preserve"> that “</w:t>
      </w:r>
      <w:r w:rsidRPr="00A179F8">
        <w:t>RAN4 do not plan to discuss p-NR-FR2 or p-UE-FR2 in Rel-17</w:t>
      </w:r>
      <w:r>
        <w:t xml:space="preserve">”. </w:t>
      </w:r>
    </w:p>
    <w:p w14:paraId="5A8A209B" w14:textId="3C56AA2B" w:rsidR="00445F89" w:rsidRDefault="00A179F8" w:rsidP="00215FD7">
      <w:pPr>
        <w:pStyle w:val="BodyText"/>
      </w:pPr>
      <w:r>
        <w:t>Considering current status, we propose to update the RAN1 specs by adding following sentence</w:t>
      </w:r>
      <w:r w:rsidR="00445F89">
        <w:t xml:space="preserve"> (proposed in [5])</w:t>
      </w:r>
      <w:r>
        <w:t xml:space="preserve"> to sub-clause 7.6.2 of 38.213 (both Rel16 and Rel17 versions) – “</w:t>
      </w:r>
      <w:r w:rsidRPr="00A179F8">
        <w:rPr>
          <w:i/>
          <w:iCs/>
        </w:rPr>
        <w:t xml:space="preserve">Note: </w:t>
      </w:r>
      <w:r w:rsidR="00445F89" w:rsidRPr="00445F89">
        <w:rPr>
          <w:i/>
          <w:iCs/>
        </w:rPr>
        <w:t>UE does not expect to be configured with p-NR-FR2 in this release of the specification.</w:t>
      </w:r>
      <w:r>
        <w:t>”</w:t>
      </w:r>
      <w:r w:rsidR="00445F89">
        <w:t>. This update accurately reflects the current status of power control from FR2 DC case (i.e., previous RAN1 agreements on NR-DC power control have not been reverted; RAN4 input is reflected)</w:t>
      </w:r>
      <w:r w:rsidR="00515229">
        <w:t xml:space="preserve"> and should address any concerns regarding updating the description of 18-1/1a/1b to apply only for FR1.</w:t>
      </w:r>
    </w:p>
    <w:p w14:paraId="6379457A" w14:textId="476D73AC" w:rsidR="00445F89" w:rsidRDefault="00445F89" w:rsidP="00445F89">
      <w:pPr>
        <w:pStyle w:val="BodyText"/>
        <w:rPr>
          <w:b/>
          <w:bCs/>
          <w:u w:val="single"/>
        </w:rPr>
      </w:pPr>
      <w:r w:rsidRPr="00C47093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</w:p>
    <w:p w14:paraId="42D9E03C" w14:textId="7CB7FEF9" w:rsidR="00445F89" w:rsidRPr="00445F89" w:rsidRDefault="00445F89" w:rsidP="00B22304">
      <w:pPr>
        <w:pStyle w:val="BodyText"/>
        <w:numPr>
          <w:ilvl w:val="0"/>
          <w:numId w:val="16"/>
        </w:numPr>
      </w:pPr>
      <w:r>
        <w:t>Add following sentence to sub-clause 7.6.2 of 38.213 (both Rel16 and Rel17 versions) – “</w:t>
      </w:r>
      <w:r w:rsidRPr="00A179F8">
        <w:rPr>
          <w:i/>
          <w:iCs/>
        </w:rPr>
        <w:t xml:space="preserve">Note: </w:t>
      </w:r>
      <w:r w:rsidRPr="00445F89">
        <w:rPr>
          <w:i/>
          <w:iCs/>
        </w:rPr>
        <w:t>UE does not expect to be configured with p-NR-FR2 in this release of the specification.</w:t>
      </w:r>
      <w:r>
        <w:t>”.</w:t>
      </w:r>
    </w:p>
    <w:p w14:paraId="118FD867" w14:textId="4CBE76E0" w:rsidR="00F02FDB" w:rsidRDefault="00F02FDB" w:rsidP="00F02FDB">
      <w:pPr>
        <w:pStyle w:val="Heading1"/>
        <w:tabs>
          <w:tab w:val="num" w:pos="3544"/>
        </w:tabs>
        <w:spacing w:before="180"/>
        <w:ind w:left="562" w:hanging="562"/>
      </w:pPr>
      <w:r>
        <w:t>Conclusion</w:t>
      </w:r>
    </w:p>
    <w:p w14:paraId="1E2BC72D" w14:textId="5A7DAA1B" w:rsidR="00D1649B" w:rsidRDefault="00F02FDB" w:rsidP="00F02FDB">
      <w:pPr>
        <w:pStyle w:val="BodyText"/>
      </w:pPr>
      <w:r>
        <w:t>In this document</w:t>
      </w:r>
      <w:r w:rsidR="00930BF1">
        <w:t>,</w:t>
      </w:r>
      <w:r>
        <w:t xml:space="preserve"> we discuss </w:t>
      </w:r>
      <w:r w:rsidR="00B22077">
        <w:t>UE capability signaling impact</w:t>
      </w:r>
      <w:r>
        <w:t xml:space="preserve"> </w:t>
      </w:r>
      <w:r w:rsidR="00B22077">
        <w:t xml:space="preserve">due to the </w:t>
      </w:r>
      <w:r>
        <w:t xml:space="preserve">RAN4 LS [1] </w:t>
      </w:r>
      <w:r w:rsidR="006807E6">
        <w:t>on</w:t>
      </w:r>
      <w:r>
        <w:t xml:space="preserve"> p-</w:t>
      </w:r>
      <w:r w:rsidR="005E4A1D">
        <w:t>N</w:t>
      </w:r>
      <w:r>
        <w:t>R-FR2</w:t>
      </w:r>
      <w:r w:rsidR="00836B13">
        <w:t xml:space="preserve">. Given current status that RAN4 </w:t>
      </w:r>
      <w:r w:rsidR="00836B13" w:rsidRPr="00FE5AF1">
        <w:t xml:space="preserve">does not introduce </w:t>
      </w:r>
      <w:r w:rsidR="00836B13">
        <w:t xml:space="preserve">the parameter </w:t>
      </w:r>
      <w:r w:rsidR="00B22304">
        <w:t>p</w:t>
      </w:r>
      <w:r w:rsidR="00836B13" w:rsidRPr="00FE5AF1">
        <w:t>-NR-FR2</w:t>
      </w:r>
      <w:r w:rsidR="00836B13">
        <w:t>, an update to NR-DC UL power sharing capabilities is needed so that UEs can at least indicate support for power sharing mode</w:t>
      </w:r>
      <w:r w:rsidR="00B22304">
        <w:t>s</w:t>
      </w:r>
      <w:r w:rsidR="00836B13">
        <w:t xml:space="preserve"> for FR1 only without indicating it as supported for FR2.</w:t>
      </w:r>
      <w:r w:rsidR="00B22304">
        <w:t xml:space="preserve"> </w:t>
      </w:r>
      <w:r w:rsidR="00D1649B">
        <w:t>We propose the following</w:t>
      </w:r>
    </w:p>
    <w:p w14:paraId="34BE1CB9" w14:textId="77777777" w:rsidR="00D1649B" w:rsidRDefault="00D1649B" w:rsidP="00D1649B">
      <w:pPr>
        <w:pStyle w:val="BodyText"/>
        <w:rPr>
          <w:b/>
          <w:bCs/>
          <w:u w:val="single"/>
        </w:rPr>
      </w:pPr>
      <w:r>
        <w:t xml:space="preserve"> </w:t>
      </w:r>
      <w:r w:rsidRPr="00C47093">
        <w:rPr>
          <w:b/>
          <w:bCs/>
          <w:u w:val="single"/>
        </w:rPr>
        <w:t>Proposal 1</w:t>
      </w:r>
    </w:p>
    <w:p w14:paraId="7C60BC92" w14:textId="77777777" w:rsidR="00D1649B" w:rsidRPr="00C47093" w:rsidRDefault="00D1649B" w:rsidP="00D1649B">
      <w:pPr>
        <w:pStyle w:val="BodyText"/>
        <w:numPr>
          <w:ilvl w:val="0"/>
          <w:numId w:val="16"/>
        </w:numPr>
        <w:rPr>
          <w:b/>
          <w:bCs/>
          <w:u w:val="single"/>
        </w:rPr>
      </w:pPr>
      <w:r>
        <w:t>Agree to the following to avoid the RAN4 decision on p-NR-FR2 from impacting NR-DC for FR1 cells</w:t>
      </w:r>
    </w:p>
    <w:p w14:paraId="262F254D" w14:textId="77777777" w:rsidR="00D1649B" w:rsidRDefault="00D1649B" w:rsidP="00D1649B">
      <w:pPr>
        <w:pStyle w:val="BodyText"/>
        <w:numPr>
          <w:ilvl w:val="1"/>
          <w:numId w:val="16"/>
        </w:numPr>
      </w:pPr>
      <w:r>
        <w:t xml:space="preserve"> For FG18-1/1a/1b, ask RAN2 to modify the descriptions in TS38.306 accordingly</w:t>
      </w:r>
    </w:p>
    <w:p w14:paraId="79B6C2FA" w14:textId="77777777" w:rsidR="00D1649B" w:rsidRPr="007D12D3" w:rsidRDefault="00D1649B" w:rsidP="00D1649B">
      <w:pPr>
        <w:pStyle w:val="BodyText"/>
        <w:numPr>
          <w:ilvl w:val="2"/>
          <w:numId w:val="16"/>
        </w:numPr>
        <w:rPr>
          <w:b/>
          <w:bCs/>
          <w:u w:val="single"/>
        </w:rPr>
      </w:pPr>
      <w:r>
        <w:t>In case MCG and/or SCG have cells in different frequency ranges, this FG indicates the capability of the power sharing only between those MCG and SCG cells with UL in FR1.</w:t>
      </w:r>
    </w:p>
    <w:p w14:paraId="7362E003" w14:textId="77777777" w:rsidR="00D1649B" w:rsidRPr="007D12D3" w:rsidRDefault="00D1649B" w:rsidP="00D1649B">
      <w:pPr>
        <w:pStyle w:val="BodyText"/>
        <w:numPr>
          <w:ilvl w:val="1"/>
          <w:numId w:val="16"/>
        </w:numPr>
      </w:pPr>
      <w:r w:rsidRPr="007D12D3">
        <w:t>Note: above clarification for FG18-1/1a/1b does not mean that Rel-16 UEs are mandated to support power sharing mechanisms like FG18-1/1a/1b for FR2-FR2 DC.</w:t>
      </w:r>
    </w:p>
    <w:p w14:paraId="3338C236" w14:textId="77777777" w:rsidR="00D1649B" w:rsidRDefault="00D1649B" w:rsidP="00D1649B">
      <w:pPr>
        <w:pStyle w:val="BodyText"/>
      </w:pPr>
    </w:p>
    <w:p w14:paraId="01A87C01" w14:textId="77777777" w:rsidR="00D1649B" w:rsidRDefault="00D1649B" w:rsidP="00D1649B">
      <w:pPr>
        <w:pStyle w:val="BodyText"/>
        <w:rPr>
          <w:b/>
          <w:bCs/>
          <w:u w:val="single"/>
        </w:rPr>
      </w:pPr>
      <w:r w:rsidRPr="00C47093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</w:p>
    <w:p w14:paraId="37A9E624" w14:textId="77777777" w:rsidR="00D1649B" w:rsidRDefault="00D1649B" w:rsidP="00D1649B">
      <w:pPr>
        <w:pStyle w:val="BodyText"/>
        <w:numPr>
          <w:ilvl w:val="0"/>
          <w:numId w:val="16"/>
        </w:numPr>
      </w:pPr>
      <w:r>
        <w:t>Add following sentence to sub-clause 7.6.2 of 38.213 (both Rel16 and Rel17 versions) – “</w:t>
      </w:r>
      <w:r w:rsidRPr="00A179F8">
        <w:rPr>
          <w:i/>
          <w:iCs/>
        </w:rPr>
        <w:t xml:space="preserve">Note: </w:t>
      </w:r>
      <w:r w:rsidRPr="00445F89">
        <w:rPr>
          <w:i/>
          <w:iCs/>
        </w:rPr>
        <w:t>UE does not expect to be configured with p-NR-FR2 in this release of the specification.</w:t>
      </w:r>
      <w:r>
        <w:t>”.</w:t>
      </w:r>
    </w:p>
    <w:p w14:paraId="4128C87A" w14:textId="77777777" w:rsidR="006807E6" w:rsidRDefault="006807E6" w:rsidP="00F02FDB">
      <w:pPr>
        <w:pStyle w:val="BodyText"/>
      </w:pPr>
    </w:p>
    <w:p w14:paraId="00AC74B7" w14:textId="77777777" w:rsidR="003D1563" w:rsidRDefault="003D1563" w:rsidP="003D1563">
      <w:pPr>
        <w:pStyle w:val="Heading1"/>
      </w:pPr>
      <w:r>
        <w:t>References</w:t>
      </w:r>
    </w:p>
    <w:p w14:paraId="08E061B0" w14:textId="0E4595B0" w:rsidR="008D3352" w:rsidRDefault="008D3352" w:rsidP="008D3352">
      <w:r>
        <w:t xml:space="preserve">[1] </w:t>
      </w:r>
      <w:r w:rsidR="00930BF1" w:rsidRPr="00930BF1">
        <w:t>R1-2102303</w:t>
      </w:r>
      <w:r>
        <w:t>,</w:t>
      </w:r>
      <w:r w:rsidR="00930BF1">
        <w:t xml:space="preserve"> “</w:t>
      </w:r>
      <w:r w:rsidR="00930BF1" w:rsidRPr="00930BF1">
        <w:t>Further Reply LS on power control for NR-DC</w:t>
      </w:r>
      <w:r>
        <w:t xml:space="preserve">”, </w:t>
      </w:r>
      <w:r w:rsidR="00930BF1">
        <w:t>RAN4 to RAN</w:t>
      </w:r>
      <w:proofErr w:type="gramStart"/>
      <w:r w:rsidR="00930BF1">
        <w:t>1,RAN</w:t>
      </w:r>
      <w:proofErr w:type="gramEnd"/>
      <w:r w:rsidR="00930BF1">
        <w:t>2 LS, RAN1#104b-e</w:t>
      </w:r>
      <w:r>
        <w:t xml:space="preserve">, </w:t>
      </w:r>
      <w:r w:rsidR="00930BF1">
        <w:t>April 2021.</w:t>
      </w:r>
    </w:p>
    <w:p w14:paraId="10853DCF" w14:textId="5F102E5A" w:rsidR="003D1563" w:rsidRDefault="008D3352">
      <w:r>
        <w:t>[2] R</w:t>
      </w:r>
      <w:r w:rsidR="00E757EA">
        <w:t>1</w:t>
      </w:r>
      <w:r>
        <w:t>-2</w:t>
      </w:r>
      <w:r w:rsidR="00930BF1">
        <w:t>1</w:t>
      </w:r>
      <w:r w:rsidR="006807E6">
        <w:t>04018</w:t>
      </w:r>
      <w:r w:rsidR="00930BF1">
        <w:t>, “</w:t>
      </w:r>
      <w:r w:rsidR="006807E6" w:rsidRPr="006807E6">
        <w:t>Further Reply LS on power control for NR-DC</w:t>
      </w:r>
      <w:r w:rsidR="00930BF1">
        <w:t xml:space="preserve">”, </w:t>
      </w:r>
      <w:r w:rsidR="006807E6">
        <w:t>RAN1 to RAN4 LS</w:t>
      </w:r>
      <w:r w:rsidR="00930BF1">
        <w:t>, RAN</w:t>
      </w:r>
      <w:r w:rsidR="006807E6">
        <w:t>1</w:t>
      </w:r>
      <w:r w:rsidR="00930BF1">
        <w:t>#1</w:t>
      </w:r>
      <w:r w:rsidR="006807E6">
        <w:t>04b</w:t>
      </w:r>
      <w:r w:rsidR="00930BF1">
        <w:t>-e, April 2021.</w:t>
      </w:r>
    </w:p>
    <w:p w14:paraId="659FD353" w14:textId="0BEEBA44" w:rsidR="00E757EA" w:rsidRDefault="00E757EA">
      <w:r>
        <w:t xml:space="preserve">[3] </w:t>
      </w:r>
      <w:r w:rsidRPr="00E757EA">
        <w:t>R1-2203030</w:t>
      </w:r>
      <w:r>
        <w:t>, “</w:t>
      </w:r>
      <w:r w:rsidRPr="00E757EA">
        <w:t>Reply LS on power control for NR-DC</w:t>
      </w:r>
      <w:r>
        <w:t>”, RAN4 to RAN1 LS, RAN1#109-e, May 2022.</w:t>
      </w:r>
    </w:p>
    <w:p w14:paraId="606C70B5" w14:textId="2242D947" w:rsidR="00D1649B" w:rsidRDefault="00D1649B">
      <w:r>
        <w:lastRenderedPageBreak/>
        <w:t>[4] R1-2107997, “</w:t>
      </w:r>
      <w:r w:rsidRPr="00D1649B">
        <w:t>Update to NR-DC Power sharing UE capabilities</w:t>
      </w:r>
      <w:r>
        <w:t>”, Ericsson, RAN1#106-e, August 2021.</w:t>
      </w:r>
    </w:p>
    <w:p w14:paraId="2B6B2777" w14:textId="3BA3C50B" w:rsidR="00D1649B" w:rsidRDefault="00D1649B">
      <w:r>
        <w:t xml:space="preserve">[5] </w:t>
      </w:r>
      <w:r w:rsidRPr="00D1649B">
        <w:t>R1-2103641</w:t>
      </w:r>
      <w:r>
        <w:t>, “</w:t>
      </w:r>
      <w:r w:rsidRPr="00D1649B">
        <w:t>Maintenance for Rel-16 MR-DC and CA enhancements</w:t>
      </w:r>
      <w:r>
        <w:t xml:space="preserve">”, </w:t>
      </w:r>
      <w:r w:rsidRPr="00D1649B">
        <w:t>Ericsson</w:t>
      </w:r>
      <w:r>
        <w:t>. RAN1#104b-e, April 2021.</w:t>
      </w:r>
    </w:p>
    <w:sectPr w:rsidR="00D1649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41F66" w14:textId="77777777" w:rsidR="009243F9" w:rsidRDefault="009243F9">
      <w:r>
        <w:separator/>
      </w:r>
    </w:p>
  </w:endnote>
  <w:endnote w:type="continuationSeparator" w:id="0">
    <w:p w14:paraId="252899C2" w14:textId="77777777" w:rsidR="009243F9" w:rsidRDefault="009243F9">
      <w:r>
        <w:continuationSeparator/>
      </w:r>
    </w:p>
  </w:endnote>
  <w:endnote w:type="continuationNotice" w:id="1">
    <w:p w14:paraId="7C1A55A9" w14:textId="77777777" w:rsidR="009243F9" w:rsidRDefault="009243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FB14F8" w14:textId="77777777" w:rsidR="00D61DD2" w:rsidRDefault="00D61DD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601A87" w14:textId="77777777" w:rsidR="00D61DD2" w:rsidRDefault="00D61D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18E9A" w14:textId="77777777" w:rsidR="009243F9" w:rsidRDefault="009243F9">
      <w:r>
        <w:separator/>
      </w:r>
    </w:p>
  </w:footnote>
  <w:footnote w:type="continuationSeparator" w:id="0">
    <w:p w14:paraId="6371E222" w14:textId="77777777" w:rsidR="009243F9" w:rsidRDefault="009243F9">
      <w:r>
        <w:continuationSeparator/>
      </w:r>
    </w:p>
  </w:footnote>
  <w:footnote w:type="continuationNotice" w:id="1">
    <w:p w14:paraId="63618799" w14:textId="77777777" w:rsidR="009243F9" w:rsidRDefault="009243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A3C0B" w14:textId="77777777" w:rsidR="00D61DD2" w:rsidRDefault="00D61DD2" w:rsidP="00D61DD2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3CB"/>
    <w:multiLevelType w:val="multilevel"/>
    <w:tmpl w:val="1FF20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FC2774"/>
    <w:multiLevelType w:val="hybridMultilevel"/>
    <w:tmpl w:val="8F4E1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70354"/>
    <w:multiLevelType w:val="hybridMultilevel"/>
    <w:tmpl w:val="41249230"/>
    <w:lvl w:ilvl="0" w:tplc="D45C8D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E362BC"/>
    <w:multiLevelType w:val="multilevel"/>
    <w:tmpl w:val="1B2EF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426FD1"/>
    <w:multiLevelType w:val="hybridMultilevel"/>
    <w:tmpl w:val="DBAE1C1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B735D6"/>
    <w:multiLevelType w:val="hybridMultilevel"/>
    <w:tmpl w:val="AEC8BF2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A3AF9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1A0EEC"/>
    <w:multiLevelType w:val="hybridMultilevel"/>
    <w:tmpl w:val="3836E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E362F9"/>
    <w:multiLevelType w:val="hybridMultilevel"/>
    <w:tmpl w:val="61F20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FD6C1A"/>
    <w:multiLevelType w:val="multilevel"/>
    <w:tmpl w:val="E34C8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C7D37C2"/>
    <w:multiLevelType w:val="hybridMultilevel"/>
    <w:tmpl w:val="C312FC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882811"/>
    <w:multiLevelType w:val="hybridMultilevel"/>
    <w:tmpl w:val="952C56B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5" w15:restartNumberingAfterBreak="0">
    <w:nsid w:val="7EC468FC"/>
    <w:multiLevelType w:val="hybridMultilevel"/>
    <w:tmpl w:val="B76E6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0"/>
  </w:num>
  <w:num w:numId="4">
    <w:abstractNumId w:val="10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5"/>
  </w:num>
  <w:num w:numId="10">
    <w:abstractNumId w:val="11"/>
  </w:num>
  <w:num w:numId="11">
    <w:abstractNumId w:val="4"/>
  </w:num>
  <w:num w:numId="12">
    <w:abstractNumId w:val="12"/>
  </w:num>
  <w:num w:numId="13">
    <w:abstractNumId w:val="13"/>
  </w:num>
  <w:num w:numId="14">
    <w:abstractNumId w:val="15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563"/>
    <w:rsid w:val="0000017E"/>
    <w:rsid w:val="000957F3"/>
    <w:rsid w:val="000F09C1"/>
    <w:rsid w:val="00131F16"/>
    <w:rsid w:val="001413FD"/>
    <w:rsid w:val="00163567"/>
    <w:rsid w:val="0017270D"/>
    <w:rsid w:val="00215FD7"/>
    <w:rsid w:val="0022115B"/>
    <w:rsid w:val="00293391"/>
    <w:rsid w:val="002B03FB"/>
    <w:rsid w:val="002E07E4"/>
    <w:rsid w:val="003530BC"/>
    <w:rsid w:val="003604C3"/>
    <w:rsid w:val="003726E3"/>
    <w:rsid w:val="003C1E87"/>
    <w:rsid w:val="003D1563"/>
    <w:rsid w:val="003E0123"/>
    <w:rsid w:val="00412B4D"/>
    <w:rsid w:val="004172BE"/>
    <w:rsid w:val="00436101"/>
    <w:rsid w:val="00445F89"/>
    <w:rsid w:val="004512A8"/>
    <w:rsid w:val="004A6DA5"/>
    <w:rsid w:val="004D0C4F"/>
    <w:rsid w:val="00515229"/>
    <w:rsid w:val="00516B10"/>
    <w:rsid w:val="005A521C"/>
    <w:rsid w:val="005E3133"/>
    <w:rsid w:val="005E4A1D"/>
    <w:rsid w:val="00647F0E"/>
    <w:rsid w:val="0067360B"/>
    <w:rsid w:val="006807E6"/>
    <w:rsid w:val="00681470"/>
    <w:rsid w:val="006907C7"/>
    <w:rsid w:val="006E2612"/>
    <w:rsid w:val="00741F9C"/>
    <w:rsid w:val="0074341D"/>
    <w:rsid w:val="007B6601"/>
    <w:rsid w:val="007D12D3"/>
    <w:rsid w:val="007D1EEC"/>
    <w:rsid w:val="007D7F1B"/>
    <w:rsid w:val="007E153C"/>
    <w:rsid w:val="00836B13"/>
    <w:rsid w:val="00863259"/>
    <w:rsid w:val="0088163F"/>
    <w:rsid w:val="008D3352"/>
    <w:rsid w:val="009243F9"/>
    <w:rsid w:val="00930428"/>
    <w:rsid w:val="00930BF1"/>
    <w:rsid w:val="00946E4E"/>
    <w:rsid w:val="009A3F8A"/>
    <w:rsid w:val="009B4018"/>
    <w:rsid w:val="00A179F8"/>
    <w:rsid w:val="00A5345B"/>
    <w:rsid w:val="00A822EE"/>
    <w:rsid w:val="00A94431"/>
    <w:rsid w:val="00AB5810"/>
    <w:rsid w:val="00AE09E1"/>
    <w:rsid w:val="00B22077"/>
    <w:rsid w:val="00B22304"/>
    <w:rsid w:val="00B2780C"/>
    <w:rsid w:val="00B325A7"/>
    <w:rsid w:val="00B52D11"/>
    <w:rsid w:val="00B773B8"/>
    <w:rsid w:val="00C1410C"/>
    <w:rsid w:val="00C47093"/>
    <w:rsid w:val="00C65D0D"/>
    <w:rsid w:val="00D1649B"/>
    <w:rsid w:val="00D61DD2"/>
    <w:rsid w:val="00D81D6C"/>
    <w:rsid w:val="00D96732"/>
    <w:rsid w:val="00E345FB"/>
    <w:rsid w:val="00E757EA"/>
    <w:rsid w:val="00E85978"/>
    <w:rsid w:val="00EB7444"/>
    <w:rsid w:val="00EB7730"/>
    <w:rsid w:val="00F02FDB"/>
    <w:rsid w:val="00F7749F"/>
    <w:rsid w:val="00FA3462"/>
    <w:rsid w:val="00FB171E"/>
    <w:rsid w:val="00FC7618"/>
    <w:rsid w:val="00FE5AF1"/>
    <w:rsid w:val="00FE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DA0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56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3D1563"/>
    <w:pPr>
      <w:keepNext/>
      <w:numPr>
        <w:numId w:val="1"/>
      </w:numPr>
      <w:tabs>
        <w:tab w:val="left" w:pos="1134"/>
      </w:tabs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3D1563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D1563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3D1563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3D1563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D1563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D1563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D1563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3D1563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3D1563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3D1563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D1563"/>
    <w:rPr>
      <w:rFonts w:ascii="Arial" w:eastAsia="MS Mincho" w:hAnsi="Arial" w:cs="Times New Roman"/>
      <w:b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3D15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1563"/>
    <w:rPr>
      <w:rFonts w:ascii="Times New Roman" w:eastAsia="Times New Roman" w:hAnsi="Times New Roman" w:cs="Times New Roman"/>
      <w:sz w:val="20"/>
      <w:szCs w:val="24"/>
    </w:rPr>
  </w:style>
  <w:style w:type="paragraph" w:customStyle="1" w:styleId="Reference">
    <w:name w:val="Reference"/>
    <w:basedOn w:val="BodyText"/>
    <w:rsid w:val="003D156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5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563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aliases w:val="- Bullets,목록 단락,列出段落,?? ??,?????,????,Lista1,中等深浅网格 1 - 着色 21,列出段落1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D1563"/>
    <w:pPr>
      <w:ind w:left="720"/>
    </w:pPr>
    <w:rPr>
      <w:rFonts w:eastAsiaTheme="minorHAnsi"/>
      <w:sz w:val="24"/>
    </w:rPr>
  </w:style>
  <w:style w:type="character" w:customStyle="1" w:styleId="PLChar">
    <w:name w:val="PL Char"/>
    <w:basedOn w:val="DefaultParagraphFont"/>
    <w:link w:val="PL"/>
    <w:locked/>
    <w:rsid w:val="003D1563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rsid w:val="003D1563"/>
    <w:pPr>
      <w:shd w:val="clear" w:color="auto" w:fill="E6E6E6"/>
      <w:overflowPunct w:val="0"/>
      <w:autoSpaceDE w:val="0"/>
      <w:autoSpaceDN w:val="0"/>
    </w:pPr>
    <w:rPr>
      <w:rFonts w:ascii="Courier New" w:eastAsiaTheme="minorHAnsi" w:hAnsi="Courier New" w:cs="Courier New"/>
      <w:sz w:val="22"/>
      <w:szCs w:val="22"/>
      <w:lang w:eastAsia="en-GB"/>
    </w:rPr>
  </w:style>
  <w:style w:type="character" w:customStyle="1" w:styleId="TALCar">
    <w:name w:val="TAL Car"/>
    <w:basedOn w:val="DefaultParagraphFont"/>
    <w:link w:val="TAL"/>
    <w:qFormat/>
    <w:locked/>
    <w:rsid w:val="003D1563"/>
    <w:rPr>
      <w:rFonts w:ascii="Arial" w:hAnsi="Arial" w:cs="Arial"/>
      <w:lang w:eastAsia="ja-JP"/>
    </w:rPr>
  </w:style>
  <w:style w:type="paragraph" w:customStyle="1" w:styleId="TAL">
    <w:name w:val="TAL"/>
    <w:basedOn w:val="Normal"/>
    <w:link w:val="TALCar"/>
    <w:qFormat/>
    <w:rsid w:val="003D1563"/>
    <w:pPr>
      <w:keepNext/>
      <w:overflowPunct w:val="0"/>
      <w:autoSpaceDE w:val="0"/>
      <w:autoSpaceDN w:val="0"/>
    </w:pPr>
    <w:rPr>
      <w:rFonts w:ascii="Arial" w:eastAsiaTheme="minorHAnsi" w:hAnsi="Arial" w:cs="Arial"/>
      <w:sz w:val="22"/>
      <w:szCs w:val="22"/>
      <w:lang w:eastAsia="ja-JP"/>
    </w:rPr>
  </w:style>
  <w:style w:type="character" w:customStyle="1" w:styleId="TAHCar">
    <w:name w:val="TAH Car"/>
    <w:basedOn w:val="DefaultParagraphFont"/>
    <w:link w:val="TAH"/>
    <w:qFormat/>
    <w:locked/>
    <w:rsid w:val="003D1563"/>
    <w:rPr>
      <w:rFonts w:ascii="Arial" w:hAnsi="Arial" w:cs="Arial"/>
      <w:b/>
      <w:bCs/>
      <w:lang w:eastAsia="ja-JP"/>
    </w:rPr>
  </w:style>
  <w:style w:type="paragraph" w:customStyle="1" w:styleId="TAH">
    <w:name w:val="TAH"/>
    <w:basedOn w:val="Normal"/>
    <w:link w:val="TAHCar"/>
    <w:qFormat/>
    <w:rsid w:val="003D1563"/>
    <w:pPr>
      <w:keepNext/>
      <w:overflowPunct w:val="0"/>
      <w:autoSpaceDE w:val="0"/>
      <w:autoSpaceDN w:val="0"/>
      <w:jc w:val="center"/>
    </w:pPr>
    <w:rPr>
      <w:rFonts w:ascii="Arial" w:eastAsiaTheme="minorHAnsi" w:hAnsi="Arial" w:cs="Arial"/>
      <w:b/>
      <w:bCs/>
      <w:sz w:val="22"/>
      <w:szCs w:val="22"/>
      <w:lang w:eastAsia="ja-JP"/>
    </w:rPr>
  </w:style>
  <w:style w:type="paragraph" w:customStyle="1" w:styleId="textintend1">
    <w:name w:val="text intend 1"/>
    <w:basedOn w:val="Normal"/>
    <w:rsid w:val="005A521C"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出段落1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81D6C"/>
    <w:rPr>
      <w:rFonts w:ascii="Times New Roman" w:hAnsi="Times New Roman" w:cs="Times New Roman"/>
      <w:sz w:val="24"/>
      <w:szCs w:val="24"/>
    </w:rPr>
  </w:style>
  <w:style w:type="paragraph" w:customStyle="1" w:styleId="Agreement">
    <w:name w:val="Agreement"/>
    <w:basedOn w:val="Normal"/>
    <w:rsid w:val="00B22077"/>
    <w:pPr>
      <w:numPr>
        <w:numId w:val="12"/>
      </w:numPr>
      <w:spacing w:before="60"/>
    </w:pPr>
    <w:rPr>
      <w:rFonts w:ascii="Arial" w:eastAsiaTheme="minorHAnsi" w:hAnsi="Arial" w:cs="Arial"/>
      <w:b/>
      <w:bCs/>
      <w:szCs w:val="20"/>
    </w:rPr>
  </w:style>
  <w:style w:type="character" w:customStyle="1" w:styleId="apple-converted-space">
    <w:name w:val="apple-converted-space"/>
    <w:basedOn w:val="DefaultParagraphFont"/>
    <w:rsid w:val="00C47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FA9E-6EFB-413D-A6F7-5CC45D819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2022-04-25T12:30:00Z</dcterms:created>
  <dcterms:modified xsi:type="dcterms:W3CDTF">2022-04-25T12:30:00Z</dcterms:modified>
</cp:coreProperties>
</file>