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F1DB3" w14:textId="2257A6B8" w:rsidR="00A53433" w:rsidRPr="00A35CDF" w:rsidRDefault="00A53433" w:rsidP="00A35CDF">
      <w:pPr>
        <w:spacing w:after="0"/>
      </w:pPr>
      <w:bookmarkStart w:id="0" w:name="_Hlk83920479"/>
      <w:bookmarkStart w:id="1" w:name="OLE_LINK2"/>
      <w:bookmarkStart w:id="2" w:name="OLE_LINK1"/>
      <w:bookmarkEnd w:id="0"/>
      <w:r w:rsidRPr="254DF14E">
        <w:rPr>
          <w:b/>
          <w:bCs/>
        </w:rPr>
        <w:t>3GPP TSG RAN WG1 #10</w:t>
      </w:r>
      <w:r w:rsidR="009F137E" w:rsidRPr="254DF14E">
        <w:rPr>
          <w:b/>
          <w:bCs/>
        </w:rPr>
        <w:t>9</w:t>
      </w:r>
      <w:r w:rsidRPr="254DF14E">
        <w:rPr>
          <w:b/>
          <w:bCs/>
        </w:rPr>
        <w:t>-e</w:t>
      </w:r>
      <w:r>
        <w:tab/>
      </w:r>
      <w:r>
        <w:tab/>
      </w:r>
      <w:r>
        <w:tab/>
      </w:r>
      <w:r w:rsidRPr="254DF14E">
        <w:rPr>
          <w:b/>
          <w:bCs/>
        </w:rPr>
        <w:t xml:space="preserve">                                                         </w:t>
      </w:r>
      <w:r w:rsidR="006C2573" w:rsidRPr="254DF14E">
        <w:rPr>
          <w:b/>
          <w:bCs/>
        </w:rPr>
        <w:t xml:space="preserve">             </w:t>
      </w:r>
      <w:r w:rsidR="00D211AC" w:rsidRPr="254DF14E">
        <w:rPr>
          <w:b/>
          <w:bCs/>
        </w:rPr>
        <w:t>R1-220</w:t>
      </w:r>
      <w:r w:rsidR="009F137E" w:rsidRPr="254DF14E">
        <w:rPr>
          <w:b/>
          <w:bCs/>
        </w:rPr>
        <w:t>4935</w:t>
      </w:r>
    </w:p>
    <w:p w14:paraId="43430D7B" w14:textId="12CA19F7" w:rsidR="00A53433" w:rsidRPr="00A35CDF" w:rsidRDefault="00A53433">
      <w:pPr>
        <w:spacing w:after="0"/>
        <w:rPr>
          <w:b/>
          <w:bCs/>
        </w:rPr>
      </w:pPr>
      <w:r w:rsidRPr="7DD2A584">
        <w:rPr>
          <w:b/>
          <w:bCs/>
        </w:rPr>
        <w:t xml:space="preserve">e-Meeting, </w:t>
      </w:r>
      <w:r w:rsidR="009F137E" w:rsidRPr="7DD2A584">
        <w:rPr>
          <w:b/>
          <w:bCs/>
        </w:rPr>
        <w:t>May</w:t>
      </w:r>
      <w:r w:rsidRPr="7DD2A584">
        <w:rPr>
          <w:b/>
          <w:bCs/>
        </w:rPr>
        <w:t xml:space="preserve"> </w:t>
      </w:r>
      <w:r w:rsidR="009F137E" w:rsidRPr="7DD2A584">
        <w:rPr>
          <w:b/>
          <w:bCs/>
        </w:rPr>
        <w:t>9</w:t>
      </w:r>
      <w:r w:rsidR="009F137E" w:rsidRPr="7DD2A584">
        <w:rPr>
          <w:b/>
          <w:bCs/>
          <w:vertAlign w:val="superscript"/>
        </w:rPr>
        <w:t>th</w:t>
      </w:r>
      <w:r w:rsidRPr="7DD2A584">
        <w:rPr>
          <w:b/>
          <w:bCs/>
        </w:rPr>
        <w:t xml:space="preserve"> –</w:t>
      </w:r>
      <w:r w:rsidR="006D5493">
        <w:rPr>
          <w:b/>
          <w:bCs/>
        </w:rPr>
        <w:t>20</w:t>
      </w:r>
      <w:r w:rsidRPr="7DD2A584">
        <w:rPr>
          <w:b/>
          <w:bCs/>
          <w:vertAlign w:val="superscript"/>
        </w:rPr>
        <w:t>th</w:t>
      </w:r>
      <w:r w:rsidRPr="7DD2A584">
        <w:rPr>
          <w:b/>
          <w:bCs/>
        </w:rPr>
        <w:t>, 202</w:t>
      </w:r>
      <w:r w:rsidR="003A14E2" w:rsidRPr="7DD2A584">
        <w:rPr>
          <w:b/>
          <w:bCs/>
        </w:rPr>
        <w:t>2</w:t>
      </w:r>
    </w:p>
    <w:p w14:paraId="7E68FD06" w14:textId="77777777" w:rsidR="00A53433" w:rsidRPr="00A35CDF" w:rsidRDefault="00A53433">
      <w:pPr>
        <w:spacing w:after="0"/>
        <w:rPr>
          <w:b/>
          <w:bCs/>
        </w:rPr>
      </w:pPr>
    </w:p>
    <w:p w14:paraId="1CBFCB1D" w14:textId="7BECA6A3" w:rsidR="00A53433" w:rsidRPr="00A35CDF" w:rsidRDefault="00A53433">
      <w:pPr>
        <w:spacing w:after="0"/>
        <w:rPr>
          <w:b/>
          <w:bCs/>
        </w:rPr>
      </w:pPr>
      <w:r w:rsidRPr="7DD2A584">
        <w:rPr>
          <w:b/>
          <w:bCs/>
        </w:rPr>
        <w:t>Source:</w:t>
      </w:r>
      <w:r>
        <w:tab/>
      </w:r>
      <w:r>
        <w:tab/>
      </w:r>
      <w:r w:rsidRPr="7DD2A584">
        <w:rPr>
          <w:b/>
          <w:bCs/>
        </w:rPr>
        <w:t>Mavenir</w:t>
      </w:r>
    </w:p>
    <w:p w14:paraId="04DFDBCC" w14:textId="70CD16A9" w:rsidR="00A53433" w:rsidRPr="00A35CDF" w:rsidRDefault="00A53433">
      <w:pPr>
        <w:spacing w:after="0"/>
        <w:rPr>
          <w:b/>
          <w:bCs/>
        </w:rPr>
      </w:pPr>
      <w:r w:rsidRPr="00A35CDF">
        <w:rPr>
          <w:b/>
          <w:bCs/>
        </w:rPr>
        <w:t>Title:</w:t>
      </w:r>
      <w:r w:rsidRPr="00A35CDF">
        <w:rPr>
          <w:b/>
          <w:bCs/>
        </w:rPr>
        <w:tab/>
      </w:r>
      <w:r w:rsidR="00112FCD">
        <w:rPr>
          <w:b/>
          <w:bCs/>
        </w:rPr>
        <w:tab/>
      </w:r>
      <w:r w:rsidR="00112FCD">
        <w:rPr>
          <w:b/>
          <w:bCs/>
        </w:rPr>
        <w:tab/>
      </w:r>
      <w:r w:rsidR="009F137E" w:rsidRPr="009F137E">
        <w:rPr>
          <w:b/>
          <w:bCs/>
          <w:color w:val="242424"/>
          <w:sz w:val="24"/>
          <w:szCs w:val="24"/>
          <w:shd w:val="clear" w:color="auto" w:fill="FFFFFF"/>
        </w:rPr>
        <w:t>On disabling HARQ feedback for IOT-NTN</w:t>
      </w:r>
    </w:p>
    <w:p w14:paraId="1AFFE6CC" w14:textId="71C991A4" w:rsidR="00A53433" w:rsidRPr="00A35CDF" w:rsidRDefault="00A53433">
      <w:pPr>
        <w:spacing w:after="0"/>
        <w:rPr>
          <w:b/>
          <w:bCs/>
        </w:rPr>
      </w:pPr>
      <w:r w:rsidRPr="00A35CDF">
        <w:rPr>
          <w:b/>
          <w:bCs/>
        </w:rPr>
        <w:t>Agenda Item:</w:t>
      </w:r>
      <w:r w:rsidRPr="00A35CDF">
        <w:rPr>
          <w:b/>
          <w:bCs/>
        </w:rPr>
        <w:tab/>
      </w:r>
      <w:r w:rsidR="00112FCD">
        <w:rPr>
          <w:b/>
          <w:bCs/>
        </w:rPr>
        <w:tab/>
      </w:r>
      <w:r w:rsidR="009F137E">
        <w:rPr>
          <w:b/>
          <w:bCs/>
        </w:rPr>
        <w:t>9</w:t>
      </w:r>
      <w:r w:rsidRPr="00A35CDF">
        <w:rPr>
          <w:b/>
          <w:bCs/>
        </w:rPr>
        <w:t>.1</w:t>
      </w:r>
      <w:r w:rsidR="009F137E">
        <w:rPr>
          <w:b/>
          <w:bCs/>
        </w:rPr>
        <w:t>2</w:t>
      </w:r>
      <w:r w:rsidRPr="00A35CDF">
        <w:rPr>
          <w:b/>
          <w:bCs/>
        </w:rPr>
        <w:t>.</w:t>
      </w:r>
      <w:r w:rsidR="00D14E6F" w:rsidRPr="00A35CDF">
        <w:rPr>
          <w:b/>
          <w:bCs/>
        </w:rPr>
        <w:t>2</w:t>
      </w:r>
    </w:p>
    <w:bookmarkEnd w:id="1"/>
    <w:bookmarkEnd w:id="2"/>
    <w:p w14:paraId="6F9502D8" w14:textId="0DD47273" w:rsidR="00A53433" w:rsidRPr="00A35CDF" w:rsidRDefault="00A53433">
      <w:pPr>
        <w:spacing w:after="0"/>
        <w:rPr>
          <w:b/>
          <w:bCs/>
        </w:rPr>
      </w:pPr>
      <w:r w:rsidRPr="00A35CDF">
        <w:rPr>
          <w:b/>
          <w:bCs/>
        </w:rPr>
        <w:t>Document for:</w:t>
      </w:r>
      <w:r w:rsidRPr="00A35CDF">
        <w:rPr>
          <w:b/>
          <w:bCs/>
        </w:rPr>
        <w:tab/>
      </w:r>
      <w:r w:rsidR="00112FCD">
        <w:rPr>
          <w:b/>
          <w:bCs/>
        </w:rPr>
        <w:tab/>
      </w:r>
      <w:r w:rsidRPr="00A35CDF">
        <w:rPr>
          <w:b/>
          <w:bCs/>
        </w:rPr>
        <w:t>Discussion</w:t>
      </w:r>
    </w:p>
    <w:p w14:paraId="30EA5EB5" w14:textId="41F73312" w:rsidR="00BE26AD" w:rsidRPr="00F87C99" w:rsidRDefault="00BE50CF" w:rsidP="00A35CDF">
      <w:pPr>
        <w:pStyle w:val="3GPPHeader"/>
      </w:pPr>
      <w:r>
        <w:pict w14:anchorId="34596A64">
          <v:rect id="_x0000_i1025" style="width:468pt;height:1pt" o:hralign="center" o:hrstd="t" o:hrnoshade="t" o:hr="t" fillcolor="black [3213]" stroked="f"/>
        </w:pict>
      </w:r>
    </w:p>
    <w:p w14:paraId="2A7D0535" w14:textId="4C8E376F" w:rsidR="00167826" w:rsidRDefault="00A53433" w:rsidP="00167826">
      <w:pPr>
        <w:pStyle w:val="Heading1"/>
      </w:pPr>
      <w:bookmarkStart w:id="3" w:name="_Ref18181"/>
      <w:r>
        <w:t>Introduction</w:t>
      </w:r>
      <w:bookmarkEnd w:id="3"/>
    </w:p>
    <w:p w14:paraId="06F16B2E" w14:textId="192DCE3C" w:rsidR="009E06B8" w:rsidRDefault="009E06B8" w:rsidP="00A35CDF">
      <w:pPr>
        <w:rPr>
          <w:lang w:eastAsia="ja-JP"/>
        </w:rPr>
      </w:pPr>
      <w:r w:rsidRPr="7DD2A584">
        <w:rPr>
          <w:lang w:eastAsia="ja-JP"/>
        </w:rPr>
        <w:t xml:space="preserve">In </w:t>
      </w:r>
      <w:r w:rsidR="000F7589" w:rsidRPr="7DD2A584">
        <w:rPr>
          <w:lang w:eastAsia="ja-JP"/>
        </w:rPr>
        <w:t>previous RAN1 meetings</w:t>
      </w:r>
      <w:r w:rsidRPr="7DD2A584">
        <w:rPr>
          <w:lang w:eastAsia="ja-JP"/>
        </w:rPr>
        <w:t>, the following</w:t>
      </w:r>
      <w:r w:rsidR="0032553A" w:rsidRPr="7DD2A584">
        <w:rPr>
          <w:lang w:eastAsia="ja-JP"/>
        </w:rPr>
        <w:t xml:space="preserve"> agreements were reached</w:t>
      </w:r>
      <w:r w:rsidRPr="7DD2A584">
        <w:rPr>
          <w:lang w:eastAsia="ja-JP"/>
        </w:rPr>
        <w:t xml:space="preserve"> on </w:t>
      </w:r>
      <w:r w:rsidR="007E6CFD" w:rsidRPr="7DD2A584">
        <w:rPr>
          <w:lang w:eastAsia="ja-JP"/>
        </w:rPr>
        <w:t>E</w:t>
      </w:r>
      <w:r w:rsidRPr="7DD2A584">
        <w:rPr>
          <w:lang w:eastAsia="ja-JP"/>
        </w:rPr>
        <w:t xml:space="preserve">nhancements </w:t>
      </w:r>
      <w:r w:rsidR="007E6CFD" w:rsidRPr="7DD2A584">
        <w:rPr>
          <w:lang w:eastAsia="ja-JP"/>
        </w:rPr>
        <w:t xml:space="preserve">on HARQ </w:t>
      </w:r>
      <w:r w:rsidRPr="7DD2A584">
        <w:rPr>
          <w:lang w:eastAsia="ja-JP"/>
        </w:rPr>
        <w:t>f</w:t>
      </w:r>
      <w:r w:rsidR="007E6CFD" w:rsidRPr="7DD2A584">
        <w:rPr>
          <w:lang w:eastAsia="ja-JP"/>
        </w:rPr>
        <w:t>or</w:t>
      </w:r>
      <w:r w:rsidRPr="7DD2A584">
        <w:rPr>
          <w:lang w:eastAsia="ja-JP"/>
        </w:rPr>
        <w:t xml:space="preserve"> </w:t>
      </w:r>
      <w:r w:rsidR="0032553A" w:rsidRPr="7DD2A584">
        <w:rPr>
          <w:lang w:eastAsia="ja-JP"/>
        </w:rPr>
        <w:t>IOT-</w:t>
      </w:r>
      <w:r w:rsidRPr="7DD2A584">
        <w:rPr>
          <w:lang w:eastAsia="ja-JP"/>
        </w:rPr>
        <w:t>NTN</w:t>
      </w:r>
      <w:r w:rsidR="00CB385A" w:rsidRPr="7DD2A584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31F1" w14:paraId="4B7100BB" w14:textId="77777777" w:rsidTr="007431F1">
        <w:tc>
          <w:tcPr>
            <w:tcW w:w="9350" w:type="dxa"/>
          </w:tcPr>
          <w:p w14:paraId="27B770D4" w14:textId="77777777" w:rsidR="007431F1" w:rsidRDefault="007431F1" w:rsidP="007431F1">
            <w:pPr>
              <w:rPr>
                <w:rFonts w:eastAsia="Batang"/>
                <w:lang w:eastAsia="x-none"/>
              </w:rPr>
            </w:pPr>
            <w:r>
              <w:rPr>
                <w:b/>
                <w:bCs/>
                <w:lang w:eastAsia="x-none"/>
              </w:rPr>
              <w:t>Agreement:[1]</w:t>
            </w:r>
          </w:p>
          <w:p w14:paraId="43703C33" w14:textId="77777777" w:rsidR="007431F1" w:rsidRDefault="007431F1" w:rsidP="007431F1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Increasing the number of HARQ processes for NB-IoT and for </w:t>
            </w:r>
            <w:proofErr w:type="spellStart"/>
            <w:r>
              <w:rPr>
                <w:lang w:eastAsia="x-none"/>
              </w:rPr>
              <w:t>eMTC</w:t>
            </w:r>
            <w:proofErr w:type="spellEnd"/>
            <w:r>
              <w:rPr>
                <w:lang w:eastAsia="x-none"/>
              </w:rPr>
              <w:t xml:space="preserve"> in NTN is recommended not to be supported in Rel-17.</w:t>
            </w:r>
          </w:p>
          <w:p w14:paraId="43C2396F" w14:textId="77777777" w:rsidR="007431F1" w:rsidRDefault="007431F1" w:rsidP="007431F1">
            <w:pPr>
              <w:rPr>
                <w:rFonts w:eastAsia="Batang"/>
                <w:lang w:eastAsia="x-none"/>
              </w:rPr>
            </w:pPr>
            <w:bookmarkStart w:id="4" w:name="OLE_LINK3"/>
            <w:r>
              <w:rPr>
                <w:b/>
                <w:bCs/>
                <w:lang w:eastAsia="x-none"/>
              </w:rPr>
              <w:t>Agreement:[2]</w:t>
            </w:r>
          </w:p>
          <w:p w14:paraId="0D22270D" w14:textId="77777777" w:rsidR="007431F1" w:rsidRDefault="007431F1" w:rsidP="007431F1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Capture the following in the TR:</w:t>
            </w:r>
          </w:p>
          <w:p w14:paraId="7240DB63" w14:textId="77777777" w:rsidR="007431F1" w:rsidRDefault="007431F1" w:rsidP="007431F1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RAN1 discussed reporting of additional information by a UE (such as timing information to inform the network that </w:t>
            </w:r>
            <w:proofErr w:type="gramStart"/>
            <w:r>
              <w:rPr>
                <w:bCs/>
                <w:lang w:eastAsia="x-none"/>
              </w:rPr>
              <w:t>a sufficient number of</w:t>
            </w:r>
            <w:proofErr w:type="gramEnd"/>
            <w:r>
              <w:rPr>
                <w:bCs/>
                <w:lang w:eastAsia="x-none"/>
              </w:rPr>
              <w:t xml:space="preserve"> repetitions has been transmitted, requested number of repetition, BLER-based triggering or bundling of feedback, buffer status, enabling/disabling HARQ feedback, etc.)</w:t>
            </w:r>
            <w:bookmarkEnd w:id="4"/>
          </w:p>
          <w:p w14:paraId="3D2D519D" w14:textId="77777777" w:rsidR="007431F1" w:rsidRDefault="007431F1" w:rsidP="007431F1">
            <w:pPr>
              <w:rPr>
                <w:rFonts w:eastAsia="Batang"/>
                <w:bCs/>
                <w:lang w:eastAsia="x-none"/>
              </w:rPr>
            </w:pPr>
            <w:r>
              <w:rPr>
                <w:b/>
                <w:lang w:eastAsia="x-none"/>
              </w:rPr>
              <w:t>Conclusion:[2]</w:t>
            </w:r>
          </w:p>
          <w:p w14:paraId="422974C2" w14:textId="6F7076F1" w:rsidR="007431F1" w:rsidRDefault="007431F1" w:rsidP="007431F1">
            <w:pPr>
              <w:rPr>
                <w:lang w:eastAsia="ja-JP"/>
              </w:rPr>
            </w:pPr>
            <w:r>
              <w:rPr>
                <w:bCs/>
                <w:lang w:eastAsia="x-none"/>
              </w:rPr>
              <w:t>RAN1 concluded that reporting of additional feedback is not an essential feature for NTN IoT in Rel-17.</w:t>
            </w:r>
          </w:p>
        </w:tc>
      </w:tr>
    </w:tbl>
    <w:p w14:paraId="290CFE60" w14:textId="38D7F0D2" w:rsidR="00A53433" w:rsidRDefault="00F91D09" w:rsidP="00167826">
      <w:pPr>
        <w:pStyle w:val="Heading1"/>
      </w:pPr>
      <w:r>
        <w:t>Discussions</w:t>
      </w:r>
    </w:p>
    <w:p w14:paraId="2D08BE9B" w14:textId="31036745" w:rsidR="00860F47" w:rsidRDefault="00C84D30" w:rsidP="00F91D09">
      <w:bookmarkStart w:id="5" w:name="OLE_LINK6"/>
      <w:bookmarkStart w:id="6" w:name="OLE_LINK5"/>
      <w:r>
        <w:t>During Rel-</w:t>
      </w:r>
      <w:proofErr w:type="gramStart"/>
      <w:r>
        <w:t>17 time</w:t>
      </w:r>
      <w:proofErr w:type="gramEnd"/>
      <w:r>
        <w:t xml:space="preserve"> frame, there </w:t>
      </w:r>
      <w:r w:rsidR="00D12061">
        <w:t xml:space="preserve">were </w:t>
      </w:r>
      <w:r>
        <w:t xml:space="preserve">discussions on </w:t>
      </w:r>
      <w:r w:rsidR="00860F47">
        <w:t xml:space="preserve">the </w:t>
      </w:r>
      <w:r w:rsidR="00860F47" w:rsidRPr="00377E4C">
        <w:rPr>
          <w:i/>
          <w:iCs/>
        </w:rPr>
        <w:t xml:space="preserve">potentially large </w:t>
      </w:r>
      <w:r w:rsidR="0001735E">
        <w:rPr>
          <w:i/>
          <w:iCs/>
        </w:rPr>
        <w:t xml:space="preserve">throughput </w:t>
      </w:r>
      <w:r w:rsidR="00860F47" w:rsidRPr="00377E4C">
        <w:rPr>
          <w:i/>
          <w:iCs/>
        </w:rPr>
        <w:t xml:space="preserve">impact of </w:t>
      </w:r>
      <w:r w:rsidRPr="00377E4C">
        <w:rPr>
          <w:i/>
          <w:iCs/>
        </w:rPr>
        <w:t>HARQ stalling</w:t>
      </w:r>
      <w:r>
        <w:t xml:space="preserve">, originating from </w:t>
      </w:r>
      <w:r w:rsidR="00760FD3">
        <w:t xml:space="preserve">the large RTT delay. </w:t>
      </w:r>
      <w:r w:rsidR="00377E4C">
        <w:t xml:space="preserve">Arguably, this was the reason to introduce </w:t>
      </w:r>
      <w:proofErr w:type="gramStart"/>
      <w:r w:rsidR="00377E4C">
        <w:t>specification-based</w:t>
      </w:r>
      <w:proofErr w:type="gramEnd"/>
      <w:r w:rsidR="00377E4C">
        <w:t xml:space="preserve"> HARQ disabling. </w:t>
      </w:r>
    </w:p>
    <w:p w14:paraId="366D74C4" w14:textId="1C9AA8D3" w:rsidR="00AB7B53" w:rsidRDefault="00D12061" w:rsidP="00F91D09">
      <w:r>
        <w:t xml:space="preserve">However, there was a view that </w:t>
      </w:r>
      <w:r w:rsidRPr="00377E4C">
        <w:rPr>
          <w:i/>
          <w:iCs/>
        </w:rPr>
        <w:t xml:space="preserve">the impact of </w:t>
      </w:r>
      <w:r w:rsidR="00395905" w:rsidRPr="00377E4C">
        <w:rPr>
          <w:i/>
          <w:iCs/>
        </w:rPr>
        <w:t>HARQ stalling is minor</w:t>
      </w:r>
      <w:r w:rsidR="00395905">
        <w:t xml:space="preserve">. </w:t>
      </w:r>
      <w:r w:rsidR="00FB47DF">
        <w:t xml:space="preserve">According to [4], the RAN1 specifications </w:t>
      </w:r>
      <w:r w:rsidR="00C07BDD">
        <w:t xml:space="preserve">allows </w:t>
      </w:r>
      <w:proofErr w:type="spellStart"/>
      <w:r w:rsidR="00C07BDD">
        <w:t>eNB</w:t>
      </w:r>
      <w:proofErr w:type="spellEnd"/>
      <w:r w:rsidR="00C07BDD">
        <w:t xml:space="preserve"> to send a next PDSCH transmission </w:t>
      </w:r>
      <w:r w:rsidR="00B72641">
        <w:t xml:space="preserve">on a same HARQ process </w:t>
      </w:r>
      <w:r w:rsidR="00C07BDD">
        <w:t xml:space="preserve">(either initial or re-transmission) after UE completes the </w:t>
      </w:r>
      <w:r w:rsidR="00B72641">
        <w:t xml:space="preserve">PDSCH </w:t>
      </w:r>
      <w:r w:rsidR="00C07BDD">
        <w:t>processing</w:t>
      </w:r>
      <w:r w:rsidR="00B72641">
        <w:t xml:space="preserve">. </w:t>
      </w:r>
      <w:r w:rsidR="00A9255B">
        <w:t>Here, t</w:t>
      </w:r>
      <w:r w:rsidR="00B72641">
        <w:t xml:space="preserve">he PDSCH processing time is specified as </w:t>
      </w:r>
      <w:r w:rsidR="00B72641" w:rsidRPr="00B72641">
        <w:rPr>
          <w:i/>
          <w:iCs/>
        </w:rPr>
        <w:t>k</w:t>
      </w:r>
      <w:r w:rsidR="00B72641">
        <w:t xml:space="preserve">0 </w:t>
      </w:r>
      <w:r w:rsidR="00A9255B">
        <w:t xml:space="preserve">msec </w:t>
      </w:r>
      <w:r w:rsidR="00B72641">
        <w:t xml:space="preserve">(or 4 msec for LTE FDD), </w:t>
      </w:r>
      <w:r w:rsidR="00A9255B">
        <w:t xml:space="preserve">after which UE transmits HARQ-ACK feedback. </w:t>
      </w:r>
      <w:r w:rsidR="00E44BD3">
        <w:t xml:space="preserve">This implies that </w:t>
      </w:r>
      <w:r w:rsidR="00A913ED">
        <w:t xml:space="preserve">network </w:t>
      </w:r>
      <w:r w:rsidR="008464FD">
        <w:t xml:space="preserve">does not need to wait until UE to receive </w:t>
      </w:r>
      <w:r w:rsidR="00E44BD3">
        <w:t>PDSCH before sending the next PDSCH on a same HARQ processed</w:t>
      </w:r>
      <w:r w:rsidR="00405255">
        <w:t xml:space="preserve">, even when we have a large propagation delay from </w:t>
      </w:r>
      <w:proofErr w:type="spellStart"/>
      <w:r w:rsidR="00405255">
        <w:t>eNB</w:t>
      </w:r>
      <w:proofErr w:type="spellEnd"/>
      <w:r w:rsidR="00405255">
        <w:t xml:space="preserve"> to UE. </w:t>
      </w:r>
      <w:r w:rsidR="001E05E0">
        <w:t xml:space="preserve">In this case, </w:t>
      </w:r>
      <w:proofErr w:type="spellStart"/>
      <w:r w:rsidR="001E05E0">
        <w:t>eNB</w:t>
      </w:r>
      <w:proofErr w:type="spellEnd"/>
      <w:r w:rsidR="001E05E0">
        <w:t xml:space="preserve"> can schedule next PDSCH in only </w:t>
      </w:r>
      <w:r w:rsidR="001E05E0" w:rsidRPr="001E05E0">
        <w:rPr>
          <w:i/>
          <w:iCs/>
        </w:rPr>
        <w:t>k0</w:t>
      </w:r>
      <w:r w:rsidR="001E05E0">
        <w:t xml:space="preserve"> msec after sending </w:t>
      </w:r>
      <w:r w:rsidR="00311CBC">
        <w:t xml:space="preserve">a PDSCH. </w:t>
      </w:r>
      <w:r w:rsidR="00AE0E3F">
        <w:t xml:space="preserve">It should be noted that this “next” PDSCH needs to be scheduled as </w:t>
      </w:r>
      <w:r w:rsidR="00D5724E">
        <w:t xml:space="preserve">a </w:t>
      </w:r>
      <w:r w:rsidR="00AE0E3F">
        <w:t>new transmission only</w:t>
      </w:r>
      <w:r w:rsidR="00AB7B53">
        <w:t xml:space="preserve"> (with NDI bit toggling)</w:t>
      </w:r>
      <w:r w:rsidR="00AE0E3F">
        <w:t xml:space="preserve">, as HARQ-ACK has not been received at the </w:t>
      </w:r>
      <w:proofErr w:type="spellStart"/>
      <w:r w:rsidR="00AE0E3F">
        <w:t>eNB</w:t>
      </w:r>
      <w:proofErr w:type="spellEnd"/>
      <w:r w:rsidR="00AE0E3F">
        <w:t xml:space="preserve"> yet. </w:t>
      </w:r>
    </w:p>
    <w:p w14:paraId="0209180F" w14:textId="222BFCA9" w:rsidR="00A21B7D" w:rsidRDefault="00DC28AD" w:rsidP="00F91D09">
      <w:r w:rsidRPr="00DC28AD">
        <w:t>The PDSCH throughput reduction owing to the PDSCH stalling is 1/k0</w:t>
      </w:r>
      <w:r>
        <w:t>.</w:t>
      </w:r>
      <w:r w:rsidRPr="00DC28AD">
        <w:t xml:space="preserve"> </w:t>
      </w:r>
      <w:r>
        <w:t xml:space="preserve">The </w:t>
      </w:r>
      <w:r w:rsidR="00AB7B53">
        <w:t xml:space="preserve">amount of </w:t>
      </w:r>
      <w:r>
        <w:t xml:space="preserve">impact </w:t>
      </w:r>
      <w:r w:rsidR="00AB7B53">
        <w:t xml:space="preserve">seems to </w:t>
      </w:r>
      <w:r w:rsidRPr="00DC28AD">
        <w:t>be minor, given the typical use cases of NTN IOT.</w:t>
      </w:r>
      <w:r w:rsidR="001B3EB4">
        <w:t xml:space="preserve"> </w:t>
      </w:r>
    </w:p>
    <w:p w14:paraId="2F1C9094" w14:textId="5023CBA1" w:rsidR="00732403" w:rsidRDefault="00321F16" w:rsidP="00F91D09">
      <w:bookmarkStart w:id="7" w:name="OLE_LINK13"/>
      <w:r>
        <w:t xml:space="preserve">Subsequently transmitting PDSCH after </w:t>
      </w:r>
      <w:r w:rsidRPr="000501E3">
        <w:rPr>
          <w:i/>
          <w:iCs/>
        </w:rPr>
        <w:t>k0</w:t>
      </w:r>
      <w:r>
        <w:t xml:space="preserve"> msec with NDI toggling can be regarded as “standard transparent” </w:t>
      </w:r>
      <w:r w:rsidR="006C14B0">
        <w:t xml:space="preserve">HARQ </w:t>
      </w:r>
      <w:proofErr w:type="gramStart"/>
      <w:r w:rsidR="006C14B0">
        <w:t>disabling, and</w:t>
      </w:r>
      <w:proofErr w:type="gramEnd"/>
      <w:r w:rsidR="006C14B0">
        <w:t xml:space="preserve"> allows the network to </w:t>
      </w:r>
      <w:r w:rsidR="001B3EB4">
        <w:t>achieve reasonable DL throughput.</w:t>
      </w:r>
      <w:bookmarkEnd w:id="7"/>
      <w:r w:rsidR="001414FC">
        <w:t xml:space="preserve"> </w:t>
      </w:r>
    </w:p>
    <w:p w14:paraId="485BC63C" w14:textId="4CF45A5A" w:rsidR="00C07031" w:rsidRDefault="001414FC" w:rsidP="00F91D09">
      <w:r>
        <w:t xml:space="preserve">One drawback of this standard transparent implementation is that </w:t>
      </w:r>
      <w:r w:rsidR="00C07031">
        <w:t xml:space="preserve">the HARQ feedback UE transmits </w:t>
      </w:r>
      <w:r w:rsidR="005B5ACD">
        <w:t>are not going to be used for determining HARQ retransmissions</w:t>
      </w:r>
      <w:r>
        <w:t xml:space="preserve">. </w:t>
      </w:r>
      <w:r w:rsidR="005B5ACD">
        <w:t xml:space="preserve">However, the </w:t>
      </w:r>
      <w:r w:rsidR="00DC4452">
        <w:t xml:space="preserve">HARQ feedback is still useful for the network for link adaptation perspective. </w:t>
      </w:r>
    </w:p>
    <w:p w14:paraId="01AE815C" w14:textId="093AAADB" w:rsidR="00586682" w:rsidRDefault="00586682" w:rsidP="00F91D09">
      <w:r>
        <w:lastRenderedPageBreak/>
        <w:t>Given this standards</w:t>
      </w:r>
      <w:r w:rsidR="00193F4F">
        <w:t>-</w:t>
      </w:r>
      <w:r>
        <w:t>transparent method</w:t>
      </w:r>
      <w:r w:rsidR="00DC4452">
        <w:t xml:space="preserve"> is available</w:t>
      </w:r>
      <w:r>
        <w:t xml:space="preserve">, </w:t>
      </w:r>
      <w:bookmarkStart w:id="8" w:name="OLE_LINK14"/>
      <w:r w:rsidR="007E1D31">
        <w:t xml:space="preserve">further studies are needed </w:t>
      </w:r>
      <w:r>
        <w:t xml:space="preserve">if any extra specification is necessary </w:t>
      </w:r>
      <w:r w:rsidR="007E1D31">
        <w:t>for HARQ disabling.</w:t>
      </w:r>
      <w:bookmarkEnd w:id="8"/>
      <w:r w:rsidR="007E1D31">
        <w:t xml:space="preserve"> </w:t>
      </w:r>
    </w:p>
    <w:bookmarkEnd w:id="5"/>
    <w:bookmarkEnd w:id="6"/>
    <w:p w14:paraId="73B39B9D" w14:textId="77777777" w:rsidR="004D7F8C" w:rsidRDefault="004D7F8C" w:rsidP="004D7F8C">
      <w:pPr>
        <w:pStyle w:val="Heading1"/>
      </w:pPr>
      <w:r>
        <w:t>Conclusions</w:t>
      </w:r>
    </w:p>
    <w:p w14:paraId="4C65C3BB" w14:textId="5393F634" w:rsidR="004D7F8C" w:rsidRDefault="004D7F8C" w:rsidP="004D7F8C">
      <w:r>
        <w:t xml:space="preserve">In this contribution, we discussed the impact of disabling HARQ feedback for IoT-NTN. Our </w:t>
      </w:r>
      <w:r w:rsidR="0055099C">
        <w:t xml:space="preserve">observations </w:t>
      </w:r>
      <w:r>
        <w:t>are summarized as follows:</w:t>
      </w:r>
    </w:p>
    <w:p w14:paraId="0D9FB9E5" w14:textId="6B9A87CA" w:rsidR="0055099C" w:rsidRDefault="0055099C" w:rsidP="0055099C">
      <w:pPr>
        <w:rPr>
          <w:b/>
          <w:szCs w:val="18"/>
        </w:rPr>
      </w:pPr>
      <w:r>
        <w:rPr>
          <w:b/>
          <w:i/>
          <w:iCs/>
          <w:szCs w:val="18"/>
        </w:rPr>
        <w:t>Observation</w:t>
      </w:r>
      <w:r w:rsidR="005A7E02">
        <w:rPr>
          <w:b/>
          <w:i/>
          <w:iCs/>
          <w:szCs w:val="18"/>
        </w:rPr>
        <w:t>s</w:t>
      </w:r>
      <w:r>
        <w:rPr>
          <w:b/>
          <w:szCs w:val="18"/>
        </w:rPr>
        <w:t xml:space="preserve">: </w:t>
      </w:r>
    </w:p>
    <w:p w14:paraId="43AB2C68" w14:textId="77777777" w:rsidR="0055099C" w:rsidRDefault="0055099C" w:rsidP="0055099C">
      <w:pPr>
        <w:pStyle w:val="ListParagraph"/>
        <w:numPr>
          <w:ilvl w:val="0"/>
          <w:numId w:val="29"/>
        </w:numPr>
        <w:ind w:firstLineChars="0"/>
        <w:rPr>
          <w:b/>
          <w:i/>
          <w:iCs/>
          <w:szCs w:val="18"/>
        </w:rPr>
      </w:pPr>
      <w:r>
        <w:rPr>
          <w:i/>
          <w:iCs/>
        </w:rPr>
        <w:t xml:space="preserve">Subsequently transmitting PDSCH after k0 msec with NDI toggling can be regarded as “standard transparent” HARQ </w:t>
      </w:r>
      <w:proofErr w:type="gramStart"/>
      <w:r>
        <w:rPr>
          <w:i/>
          <w:iCs/>
        </w:rPr>
        <w:t>disabling, and</w:t>
      </w:r>
      <w:proofErr w:type="gramEnd"/>
      <w:r>
        <w:rPr>
          <w:i/>
          <w:iCs/>
        </w:rPr>
        <w:t xml:space="preserve"> allows the network to achieve reasonable DL throughput.</w:t>
      </w:r>
    </w:p>
    <w:p w14:paraId="14CF623D" w14:textId="74C4C3AC" w:rsidR="00DC4452" w:rsidRPr="00DC4452" w:rsidRDefault="00DC4452" w:rsidP="00732D5D">
      <w:pPr>
        <w:pStyle w:val="ListParagraph"/>
        <w:numPr>
          <w:ilvl w:val="1"/>
          <w:numId w:val="29"/>
        </w:numPr>
        <w:ind w:firstLineChars="0"/>
        <w:rPr>
          <w:bCs/>
          <w:i/>
          <w:iCs/>
          <w:szCs w:val="18"/>
        </w:rPr>
      </w:pPr>
      <w:r w:rsidRPr="00DC4452">
        <w:rPr>
          <w:bCs/>
          <w:i/>
          <w:iCs/>
          <w:szCs w:val="18"/>
        </w:rPr>
        <w:t>Although</w:t>
      </w:r>
      <w:r>
        <w:rPr>
          <w:bCs/>
          <w:i/>
          <w:iCs/>
          <w:szCs w:val="18"/>
        </w:rPr>
        <w:t xml:space="preserve"> HARQ feedback is not used for determining </w:t>
      </w:r>
      <w:r w:rsidR="00732D5D">
        <w:rPr>
          <w:bCs/>
          <w:i/>
          <w:iCs/>
          <w:szCs w:val="18"/>
        </w:rPr>
        <w:t>HARQ retransmission decision, the ACK/NACK is still useful for network’s link adaptation.</w:t>
      </w:r>
    </w:p>
    <w:p w14:paraId="18D35DB0" w14:textId="315B40BD" w:rsidR="0055099C" w:rsidRDefault="0055099C" w:rsidP="0055099C">
      <w:pPr>
        <w:pStyle w:val="ListParagraph"/>
        <w:numPr>
          <w:ilvl w:val="0"/>
          <w:numId w:val="29"/>
        </w:numPr>
        <w:ind w:firstLineChars="0"/>
        <w:rPr>
          <w:b/>
          <w:i/>
          <w:iCs/>
          <w:szCs w:val="18"/>
        </w:rPr>
      </w:pPr>
      <w:r>
        <w:rPr>
          <w:i/>
          <w:iCs/>
        </w:rPr>
        <w:t>Further studies are needed if any extra specification is necessary for HARQ disabling.</w:t>
      </w:r>
    </w:p>
    <w:p w14:paraId="31A0B519" w14:textId="77777777" w:rsidR="004D7F8C" w:rsidRDefault="004D7F8C" w:rsidP="004D7F8C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7D505D5D" w14:textId="77777777" w:rsidR="004D7F8C" w:rsidRDefault="004D7F8C" w:rsidP="004D7F8C">
      <w:pPr>
        <w:pStyle w:val="References"/>
        <w:numPr>
          <w:ilvl w:val="0"/>
          <w:numId w:val="27"/>
        </w:numPr>
      </w:pPr>
      <w:proofErr w:type="spellStart"/>
      <w:r>
        <w:t>Chairmain’s</w:t>
      </w:r>
      <w:proofErr w:type="spellEnd"/>
      <w:r>
        <w:t xml:space="preserve"> Notes, 3GPP </w:t>
      </w:r>
      <w:bookmarkStart w:id="9" w:name="OLE_LINK9"/>
      <w:r>
        <w:t>RAN1 #104b-e</w:t>
      </w:r>
      <w:bookmarkEnd w:id="9"/>
      <w:r>
        <w:t>, 2021</w:t>
      </w:r>
    </w:p>
    <w:p w14:paraId="0F1ABE76" w14:textId="77777777" w:rsidR="004D7F8C" w:rsidRDefault="004D7F8C" w:rsidP="004D7F8C">
      <w:pPr>
        <w:pStyle w:val="References"/>
        <w:numPr>
          <w:ilvl w:val="0"/>
          <w:numId w:val="27"/>
        </w:numPr>
      </w:pPr>
      <w:proofErr w:type="spellStart"/>
      <w:r>
        <w:t>Chairmain’s</w:t>
      </w:r>
      <w:proofErr w:type="spellEnd"/>
      <w:r>
        <w:t xml:space="preserve"> Notes, 3GPP RAN1 #105-e, 2021</w:t>
      </w:r>
    </w:p>
    <w:p w14:paraId="5AF2229C" w14:textId="7A9DF7CB" w:rsidR="00C95503" w:rsidRDefault="00C95503" w:rsidP="00C95503">
      <w:pPr>
        <w:pStyle w:val="References"/>
        <w:numPr>
          <w:ilvl w:val="0"/>
          <w:numId w:val="27"/>
        </w:numPr>
      </w:pPr>
      <w:r>
        <w:t>TS 36.213, version 17.1.0 Release 17 - section 16: UE Procedures related to narrow band IoT</w:t>
      </w:r>
    </w:p>
    <w:p w14:paraId="19380E86" w14:textId="21ABE611" w:rsidR="00880C0C" w:rsidRDefault="00880C0C" w:rsidP="00C95503">
      <w:pPr>
        <w:pStyle w:val="References"/>
        <w:numPr>
          <w:ilvl w:val="0"/>
          <w:numId w:val="27"/>
        </w:numPr>
      </w:pPr>
      <w:r>
        <w:t>R1-</w:t>
      </w:r>
      <w:r w:rsidR="00B77AAA">
        <w:t>21048</w:t>
      </w:r>
      <w:r w:rsidR="00D12061">
        <w:t xml:space="preserve">17, </w:t>
      </w:r>
      <w:r w:rsidR="00D12061" w:rsidRPr="00C07031">
        <w:rPr>
          <w:szCs w:val="14"/>
        </w:rPr>
        <w:t>On HARQ enhancements for IoT NTN, Ericsson</w:t>
      </w:r>
    </w:p>
    <w:p w14:paraId="10096A25" w14:textId="16269C28" w:rsidR="004D7F8C" w:rsidRDefault="004D7F8C" w:rsidP="00C95503">
      <w:pPr>
        <w:pStyle w:val="References"/>
        <w:numPr>
          <w:ilvl w:val="0"/>
          <w:numId w:val="0"/>
        </w:numPr>
      </w:pPr>
    </w:p>
    <w:p w14:paraId="5439C689" w14:textId="77777777" w:rsidR="004D7F8C" w:rsidRDefault="004D7F8C" w:rsidP="004D7F8C"/>
    <w:sectPr w:rsidR="004D7F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FF7AA" w14:textId="77777777" w:rsidR="00BE50CF" w:rsidRDefault="00BE50CF">
      <w:pPr>
        <w:spacing w:after="0" w:line="240" w:lineRule="auto"/>
      </w:pPr>
      <w:r>
        <w:separator/>
      </w:r>
    </w:p>
  </w:endnote>
  <w:endnote w:type="continuationSeparator" w:id="0">
    <w:p w14:paraId="301E1999" w14:textId="77777777" w:rsidR="00BE50CF" w:rsidRDefault="00BE50CF">
      <w:pPr>
        <w:spacing w:after="0" w:line="240" w:lineRule="auto"/>
      </w:pPr>
      <w:r>
        <w:continuationSeparator/>
      </w:r>
    </w:p>
  </w:endnote>
  <w:endnote w:type="continuationNotice" w:id="1">
    <w:p w14:paraId="68FD039C" w14:textId="77777777" w:rsidR="00BE50CF" w:rsidRDefault="00BE50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E58B5" w14:textId="77777777" w:rsidR="00BE50CF" w:rsidRDefault="00BE50CF">
      <w:pPr>
        <w:spacing w:after="0" w:line="240" w:lineRule="auto"/>
      </w:pPr>
      <w:r>
        <w:separator/>
      </w:r>
    </w:p>
  </w:footnote>
  <w:footnote w:type="continuationSeparator" w:id="0">
    <w:p w14:paraId="45399D49" w14:textId="77777777" w:rsidR="00BE50CF" w:rsidRDefault="00BE50CF">
      <w:pPr>
        <w:spacing w:after="0" w:line="240" w:lineRule="auto"/>
      </w:pPr>
      <w:r>
        <w:continuationSeparator/>
      </w:r>
    </w:p>
  </w:footnote>
  <w:footnote w:type="continuationNotice" w:id="1">
    <w:p w14:paraId="7FB82F69" w14:textId="77777777" w:rsidR="00BE50CF" w:rsidRDefault="00BE50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93646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7795810"/>
    <w:multiLevelType w:val="hybridMultilevel"/>
    <w:tmpl w:val="5C883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960CF"/>
    <w:multiLevelType w:val="hybridMultilevel"/>
    <w:tmpl w:val="8E282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17654"/>
    <w:multiLevelType w:val="hybridMultilevel"/>
    <w:tmpl w:val="0E900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42288"/>
    <w:multiLevelType w:val="hybridMultilevel"/>
    <w:tmpl w:val="9B70A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B68FA"/>
    <w:multiLevelType w:val="hybridMultilevel"/>
    <w:tmpl w:val="02CA4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62776"/>
    <w:multiLevelType w:val="hybridMultilevel"/>
    <w:tmpl w:val="FFFFFFFF"/>
    <w:lvl w:ilvl="0" w:tplc="49A2455E">
      <w:start w:val="1"/>
      <w:numFmt w:val="bullet"/>
      <w:lvlText w:val=""/>
      <w:lvlJc w:val="left"/>
      <w:pPr>
        <w:ind w:left="720" w:hanging="360"/>
      </w:pPr>
    </w:lvl>
    <w:lvl w:ilvl="1" w:tplc="9BE676A0">
      <w:start w:val="1"/>
      <w:numFmt w:val="lowerLetter"/>
      <w:lvlText w:val="%2."/>
      <w:lvlJc w:val="left"/>
      <w:pPr>
        <w:ind w:left="1440" w:hanging="360"/>
      </w:pPr>
    </w:lvl>
    <w:lvl w:ilvl="2" w:tplc="46D010F4">
      <w:start w:val="1"/>
      <w:numFmt w:val="lowerRoman"/>
      <w:lvlText w:val="%3."/>
      <w:lvlJc w:val="right"/>
      <w:pPr>
        <w:ind w:left="2160" w:hanging="180"/>
      </w:pPr>
    </w:lvl>
    <w:lvl w:ilvl="3" w:tplc="A11AD112">
      <w:start w:val="1"/>
      <w:numFmt w:val="decimal"/>
      <w:lvlText w:val="%4."/>
      <w:lvlJc w:val="left"/>
      <w:pPr>
        <w:ind w:left="2880" w:hanging="360"/>
      </w:pPr>
    </w:lvl>
    <w:lvl w:ilvl="4" w:tplc="5F747644">
      <w:start w:val="1"/>
      <w:numFmt w:val="lowerLetter"/>
      <w:lvlText w:val="%5."/>
      <w:lvlJc w:val="left"/>
      <w:pPr>
        <w:ind w:left="3600" w:hanging="360"/>
      </w:pPr>
    </w:lvl>
    <w:lvl w:ilvl="5" w:tplc="8886273C">
      <w:start w:val="1"/>
      <w:numFmt w:val="lowerRoman"/>
      <w:lvlText w:val="%6."/>
      <w:lvlJc w:val="right"/>
      <w:pPr>
        <w:ind w:left="4320" w:hanging="180"/>
      </w:pPr>
    </w:lvl>
    <w:lvl w:ilvl="6" w:tplc="93E2ED18">
      <w:start w:val="1"/>
      <w:numFmt w:val="decimal"/>
      <w:lvlText w:val="%7."/>
      <w:lvlJc w:val="left"/>
      <w:pPr>
        <w:ind w:left="5040" w:hanging="360"/>
      </w:pPr>
    </w:lvl>
    <w:lvl w:ilvl="7" w:tplc="6C321C66">
      <w:start w:val="1"/>
      <w:numFmt w:val="lowerLetter"/>
      <w:lvlText w:val="%8."/>
      <w:lvlJc w:val="left"/>
      <w:pPr>
        <w:ind w:left="5760" w:hanging="360"/>
      </w:pPr>
    </w:lvl>
    <w:lvl w:ilvl="8" w:tplc="D00C0FE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216EF"/>
    <w:multiLevelType w:val="hybridMultilevel"/>
    <w:tmpl w:val="53E04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D6B63"/>
    <w:multiLevelType w:val="hybridMultilevel"/>
    <w:tmpl w:val="FFFFFFFF"/>
    <w:lvl w:ilvl="0" w:tplc="E154F9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7A98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0C36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425E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E47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F6B0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F6F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D20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8E4D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C3D0C"/>
    <w:multiLevelType w:val="hybridMultilevel"/>
    <w:tmpl w:val="4B0A4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304B5"/>
    <w:multiLevelType w:val="hybridMultilevel"/>
    <w:tmpl w:val="E43EACB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E90568E"/>
    <w:multiLevelType w:val="multilevel"/>
    <w:tmpl w:val="3E9056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74F40"/>
    <w:multiLevelType w:val="hybridMultilevel"/>
    <w:tmpl w:val="3614E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20AAF"/>
    <w:multiLevelType w:val="hybridMultilevel"/>
    <w:tmpl w:val="35A686B2"/>
    <w:lvl w:ilvl="0" w:tplc="6DE2F0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923E5"/>
    <w:multiLevelType w:val="hybridMultilevel"/>
    <w:tmpl w:val="9A9CB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722CF2"/>
    <w:multiLevelType w:val="hybridMultilevel"/>
    <w:tmpl w:val="3F340CA4"/>
    <w:lvl w:ilvl="0" w:tplc="AFB8C8D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8676B"/>
    <w:multiLevelType w:val="hybridMultilevel"/>
    <w:tmpl w:val="790E7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E4196"/>
    <w:multiLevelType w:val="hybridMultilevel"/>
    <w:tmpl w:val="FFFFFFFF"/>
    <w:lvl w:ilvl="0" w:tplc="9326A0A4">
      <w:start w:val="1"/>
      <w:numFmt w:val="decimal"/>
      <w:lvlText w:val="%1."/>
      <w:lvlJc w:val="left"/>
      <w:pPr>
        <w:ind w:left="720" w:hanging="360"/>
      </w:pPr>
    </w:lvl>
    <w:lvl w:ilvl="1" w:tplc="44422B12">
      <w:start w:val="1"/>
      <w:numFmt w:val="lowerLetter"/>
      <w:lvlText w:val="%2."/>
      <w:lvlJc w:val="left"/>
      <w:pPr>
        <w:ind w:left="1440" w:hanging="360"/>
      </w:pPr>
    </w:lvl>
    <w:lvl w:ilvl="2" w:tplc="D0FE31B4">
      <w:start w:val="1"/>
      <w:numFmt w:val="lowerRoman"/>
      <w:lvlText w:val="%3."/>
      <w:lvlJc w:val="right"/>
      <w:pPr>
        <w:ind w:left="2160" w:hanging="180"/>
      </w:pPr>
    </w:lvl>
    <w:lvl w:ilvl="3" w:tplc="27B6BACE">
      <w:start w:val="1"/>
      <w:numFmt w:val="decimal"/>
      <w:lvlText w:val="%4."/>
      <w:lvlJc w:val="left"/>
      <w:pPr>
        <w:ind w:left="2880" w:hanging="360"/>
      </w:pPr>
    </w:lvl>
    <w:lvl w:ilvl="4" w:tplc="FAA2E174">
      <w:start w:val="1"/>
      <w:numFmt w:val="lowerLetter"/>
      <w:lvlText w:val="%5."/>
      <w:lvlJc w:val="left"/>
      <w:pPr>
        <w:ind w:left="3600" w:hanging="360"/>
      </w:pPr>
    </w:lvl>
    <w:lvl w:ilvl="5" w:tplc="D0525B16">
      <w:start w:val="1"/>
      <w:numFmt w:val="lowerRoman"/>
      <w:lvlText w:val="%6."/>
      <w:lvlJc w:val="right"/>
      <w:pPr>
        <w:ind w:left="4320" w:hanging="180"/>
      </w:pPr>
    </w:lvl>
    <w:lvl w:ilvl="6" w:tplc="E4D08444">
      <w:start w:val="1"/>
      <w:numFmt w:val="decimal"/>
      <w:lvlText w:val="%7."/>
      <w:lvlJc w:val="left"/>
      <w:pPr>
        <w:ind w:left="5040" w:hanging="360"/>
      </w:pPr>
    </w:lvl>
    <w:lvl w:ilvl="7" w:tplc="90CC5DFE">
      <w:start w:val="1"/>
      <w:numFmt w:val="lowerLetter"/>
      <w:lvlText w:val="%8."/>
      <w:lvlJc w:val="left"/>
      <w:pPr>
        <w:ind w:left="5760" w:hanging="360"/>
      </w:pPr>
    </w:lvl>
    <w:lvl w:ilvl="8" w:tplc="5770FBB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80FF5"/>
    <w:multiLevelType w:val="hybridMultilevel"/>
    <w:tmpl w:val="C99AA9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4D212C"/>
    <w:multiLevelType w:val="hybridMultilevel"/>
    <w:tmpl w:val="B6C430FC"/>
    <w:lvl w:ilvl="0" w:tplc="89867DC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70A8671A" w:tentative="1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A67434AC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378E8CF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5CE605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C5865B4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644EA13A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A002008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9FB2163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22" w15:restartNumberingAfterBreak="0">
    <w:nsid w:val="77DC0FA7"/>
    <w:multiLevelType w:val="hybridMultilevel"/>
    <w:tmpl w:val="55087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D027A"/>
    <w:multiLevelType w:val="hybridMultilevel"/>
    <w:tmpl w:val="66A67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C77D5"/>
    <w:multiLevelType w:val="hybridMultilevel"/>
    <w:tmpl w:val="E424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7801A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6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1"/>
  </w:num>
  <w:num w:numId="10">
    <w:abstractNumId w:val="7"/>
  </w:num>
  <w:num w:numId="11">
    <w:abstractNumId w:val="23"/>
  </w:num>
  <w:num w:numId="12">
    <w:abstractNumId w:val="2"/>
  </w:num>
  <w:num w:numId="13">
    <w:abstractNumId w:val="14"/>
  </w:num>
  <w:num w:numId="14">
    <w:abstractNumId w:val="9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2"/>
  </w:num>
  <w:num w:numId="19">
    <w:abstractNumId w:val="18"/>
  </w:num>
  <w:num w:numId="20">
    <w:abstractNumId w:val="21"/>
  </w:num>
  <w:num w:numId="21">
    <w:abstractNumId w:val="20"/>
  </w:num>
  <w:num w:numId="22">
    <w:abstractNumId w:val="13"/>
  </w:num>
  <w:num w:numId="23">
    <w:abstractNumId w:val="24"/>
  </w:num>
  <w:num w:numId="24">
    <w:abstractNumId w:val="10"/>
  </w:num>
  <w:num w:numId="25">
    <w:abstractNumId w:val="15"/>
  </w:num>
  <w:num w:numId="26">
    <w:abstractNumId w:val="16"/>
  </w:num>
  <w:num w:numId="27">
    <w:abstractNumId w:val="11"/>
    <w:lvlOverride w:ilvl="0">
      <w:startOverride w:val="1"/>
    </w:lvlOverride>
  </w:num>
  <w:num w:numId="28">
    <w:abstractNumId w:val="17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433"/>
    <w:rsid w:val="000069EA"/>
    <w:rsid w:val="00011989"/>
    <w:rsid w:val="0001735E"/>
    <w:rsid w:val="00020C50"/>
    <w:rsid w:val="0002128A"/>
    <w:rsid w:val="0003133E"/>
    <w:rsid w:val="00034A1A"/>
    <w:rsid w:val="000361EF"/>
    <w:rsid w:val="000374B7"/>
    <w:rsid w:val="00042A6D"/>
    <w:rsid w:val="000501E3"/>
    <w:rsid w:val="000506B2"/>
    <w:rsid w:val="00053DEC"/>
    <w:rsid w:val="000569EA"/>
    <w:rsid w:val="000635AC"/>
    <w:rsid w:val="000643F4"/>
    <w:rsid w:val="00077810"/>
    <w:rsid w:val="000B7796"/>
    <w:rsid w:val="000C1C1D"/>
    <w:rsid w:val="000C54A1"/>
    <w:rsid w:val="000C6F48"/>
    <w:rsid w:val="000D0448"/>
    <w:rsid w:val="000D6DCC"/>
    <w:rsid w:val="000E1FE9"/>
    <w:rsid w:val="000E200B"/>
    <w:rsid w:val="000E2D14"/>
    <w:rsid w:val="000F4C39"/>
    <w:rsid w:val="000F7589"/>
    <w:rsid w:val="000F7ECD"/>
    <w:rsid w:val="000F7FBD"/>
    <w:rsid w:val="0010112D"/>
    <w:rsid w:val="00105CF5"/>
    <w:rsid w:val="001110E3"/>
    <w:rsid w:val="00112F1D"/>
    <w:rsid w:val="00112FCD"/>
    <w:rsid w:val="0012044A"/>
    <w:rsid w:val="00132660"/>
    <w:rsid w:val="001379A3"/>
    <w:rsid w:val="001414FC"/>
    <w:rsid w:val="001430C6"/>
    <w:rsid w:val="0015485D"/>
    <w:rsid w:val="00157A4E"/>
    <w:rsid w:val="00167826"/>
    <w:rsid w:val="00172EC5"/>
    <w:rsid w:val="0018080B"/>
    <w:rsid w:val="00193F4F"/>
    <w:rsid w:val="00195A52"/>
    <w:rsid w:val="00197338"/>
    <w:rsid w:val="001A4EF4"/>
    <w:rsid w:val="001B3EB4"/>
    <w:rsid w:val="001C2E11"/>
    <w:rsid w:val="001C401E"/>
    <w:rsid w:val="001C4A70"/>
    <w:rsid w:val="001C6010"/>
    <w:rsid w:val="001D2BE9"/>
    <w:rsid w:val="001E05E0"/>
    <w:rsid w:val="001F51A9"/>
    <w:rsid w:val="00212A72"/>
    <w:rsid w:val="00220ECB"/>
    <w:rsid w:val="00221222"/>
    <w:rsid w:val="00241344"/>
    <w:rsid w:val="00242616"/>
    <w:rsid w:val="00246EE2"/>
    <w:rsid w:val="00251763"/>
    <w:rsid w:val="002613A7"/>
    <w:rsid w:val="00274022"/>
    <w:rsid w:val="002740B5"/>
    <w:rsid w:val="00286996"/>
    <w:rsid w:val="002966D2"/>
    <w:rsid w:val="00297878"/>
    <w:rsid w:val="002A3EF8"/>
    <w:rsid w:val="002B6366"/>
    <w:rsid w:val="002B7621"/>
    <w:rsid w:val="002D2060"/>
    <w:rsid w:val="002D6D10"/>
    <w:rsid w:val="002E426D"/>
    <w:rsid w:val="002F2322"/>
    <w:rsid w:val="002F7F4A"/>
    <w:rsid w:val="00305955"/>
    <w:rsid w:val="00311CBC"/>
    <w:rsid w:val="00313FA4"/>
    <w:rsid w:val="00321F16"/>
    <w:rsid w:val="003235DE"/>
    <w:rsid w:val="003248F4"/>
    <w:rsid w:val="0032553A"/>
    <w:rsid w:val="003325B1"/>
    <w:rsid w:val="00333822"/>
    <w:rsid w:val="00336127"/>
    <w:rsid w:val="003464C8"/>
    <w:rsid w:val="003519B1"/>
    <w:rsid w:val="00361A4C"/>
    <w:rsid w:val="003652C4"/>
    <w:rsid w:val="00370FF4"/>
    <w:rsid w:val="00377E4C"/>
    <w:rsid w:val="00386015"/>
    <w:rsid w:val="00392320"/>
    <w:rsid w:val="00393441"/>
    <w:rsid w:val="00395905"/>
    <w:rsid w:val="00397B1F"/>
    <w:rsid w:val="003A14E2"/>
    <w:rsid w:val="003C4A0F"/>
    <w:rsid w:val="003D6A10"/>
    <w:rsid w:val="003F342B"/>
    <w:rsid w:val="003F7001"/>
    <w:rsid w:val="004002C0"/>
    <w:rsid w:val="00405255"/>
    <w:rsid w:val="0040579E"/>
    <w:rsid w:val="00405C35"/>
    <w:rsid w:val="00415CC5"/>
    <w:rsid w:val="0042214A"/>
    <w:rsid w:val="00445C87"/>
    <w:rsid w:val="00451FE1"/>
    <w:rsid w:val="0046641B"/>
    <w:rsid w:val="004724BF"/>
    <w:rsid w:val="00480F88"/>
    <w:rsid w:val="00483756"/>
    <w:rsid w:val="004953CF"/>
    <w:rsid w:val="004A2766"/>
    <w:rsid w:val="004A2F0F"/>
    <w:rsid w:val="004B4DBA"/>
    <w:rsid w:val="004B5CD3"/>
    <w:rsid w:val="004C16FA"/>
    <w:rsid w:val="004C7333"/>
    <w:rsid w:val="004D7F8C"/>
    <w:rsid w:val="004E76D9"/>
    <w:rsid w:val="005025F0"/>
    <w:rsid w:val="00504139"/>
    <w:rsid w:val="005234B3"/>
    <w:rsid w:val="00526128"/>
    <w:rsid w:val="00526581"/>
    <w:rsid w:val="00532BB9"/>
    <w:rsid w:val="0055099C"/>
    <w:rsid w:val="0055117B"/>
    <w:rsid w:val="005538D5"/>
    <w:rsid w:val="00555847"/>
    <w:rsid w:val="00560538"/>
    <w:rsid w:val="00566A43"/>
    <w:rsid w:val="005739A6"/>
    <w:rsid w:val="00575703"/>
    <w:rsid w:val="00586682"/>
    <w:rsid w:val="005A0365"/>
    <w:rsid w:val="005A1689"/>
    <w:rsid w:val="005A214D"/>
    <w:rsid w:val="005A6494"/>
    <w:rsid w:val="005A7B73"/>
    <w:rsid w:val="005A7E02"/>
    <w:rsid w:val="005B0153"/>
    <w:rsid w:val="005B5ACD"/>
    <w:rsid w:val="005B6B7A"/>
    <w:rsid w:val="005D0FC6"/>
    <w:rsid w:val="00600078"/>
    <w:rsid w:val="00600A9C"/>
    <w:rsid w:val="00610C94"/>
    <w:rsid w:val="006136F4"/>
    <w:rsid w:val="006179F9"/>
    <w:rsid w:val="00624347"/>
    <w:rsid w:val="0062488A"/>
    <w:rsid w:val="00631509"/>
    <w:rsid w:val="006327C3"/>
    <w:rsid w:val="00632A64"/>
    <w:rsid w:val="00640D9E"/>
    <w:rsid w:val="00646695"/>
    <w:rsid w:val="006555B8"/>
    <w:rsid w:val="0066092C"/>
    <w:rsid w:val="00664015"/>
    <w:rsid w:val="00664336"/>
    <w:rsid w:val="00665C18"/>
    <w:rsid w:val="0069171E"/>
    <w:rsid w:val="006B1D8D"/>
    <w:rsid w:val="006B48E8"/>
    <w:rsid w:val="006B6E2C"/>
    <w:rsid w:val="006C065D"/>
    <w:rsid w:val="006C14B0"/>
    <w:rsid w:val="006C2573"/>
    <w:rsid w:val="006C6E1E"/>
    <w:rsid w:val="006D5493"/>
    <w:rsid w:val="006E19D4"/>
    <w:rsid w:val="006F43E6"/>
    <w:rsid w:val="006F74B9"/>
    <w:rsid w:val="00702B97"/>
    <w:rsid w:val="00704E18"/>
    <w:rsid w:val="00720494"/>
    <w:rsid w:val="00722DE6"/>
    <w:rsid w:val="00732403"/>
    <w:rsid w:val="00732D5D"/>
    <w:rsid w:val="0073526C"/>
    <w:rsid w:val="00736492"/>
    <w:rsid w:val="0073651F"/>
    <w:rsid w:val="007366D4"/>
    <w:rsid w:val="00743090"/>
    <w:rsid w:val="007431F1"/>
    <w:rsid w:val="0074738A"/>
    <w:rsid w:val="00747414"/>
    <w:rsid w:val="00751DE2"/>
    <w:rsid w:val="007568AC"/>
    <w:rsid w:val="00757713"/>
    <w:rsid w:val="00760FD3"/>
    <w:rsid w:val="00786589"/>
    <w:rsid w:val="007A2573"/>
    <w:rsid w:val="007B2A23"/>
    <w:rsid w:val="007B631C"/>
    <w:rsid w:val="007C10B1"/>
    <w:rsid w:val="007D6ADB"/>
    <w:rsid w:val="007D7D93"/>
    <w:rsid w:val="007E1D31"/>
    <w:rsid w:val="007E6CFD"/>
    <w:rsid w:val="007F26AC"/>
    <w:rsid w:val="007F3319"/>
    <w:rsid w:val="007F4519"/>
    <w:rsid w:val="007F5C0A"/>
    <w:rsid w:val="007F6844"/>
    <w:rsid w:val="00802929"/>
    <w:rsid w:val="00806780"/>
    <w:rsid w:val="00807B5E"/>
    <w:rsid w:val="00811415"/>
    <w:rsid w:val="00814B85"/>
    <w:rsid w:val="00823836"/>
    <w:rsid w:val="00826F2F"/>
    <w:rsid w:val="00827423"/>
    <w:rsid w:val="00836116"/>
    <w:rsid w:val="00836956"/>
    <w:rsid w:val="00845954"/>
    <w:rsid w:val="00845C6F"/>
    <w:rsid w:val="008464FD"/>
    <w:rsid w:val="008474BD"/>
    <w:rsid w:val="00853651"/>
    <w:rsid w:val="00853FA0"/>
    <w:rsid w:val="008570F8"/>
    <w:rsid w:val="00860F47"/>
    <w:rsid w:val="008610E7"/>
    <w:rsid w:val="00863572"/>
    <w:rsid w:val="00865B48"/>
    <w:rsid w:val="008671B1"/>
    <w:rsid w:val="00875105"/>
    <w:rsid w:val="00880C0C"/>
    <w:rsid w:val="00892DFD"/>
    <w:rsid w:val="00895526"/>
    <w:rsid w:val="00896AEB"/>
    <w:rsid w:val="008A502E"/>
    <w:rsid w:val="008B6658"/>
    <w:rsid w:val="008B70A4"/>
    <w:rsid w:val="008B7977"/>
    <w:rsid w:val="008C2E5A"/>
    <w:rsid w:val="008C2F07"/>
    <w:rsid w:val="008C5B7C"/>
    <w:rsid w:val="008E3D45"/>
    <w:rsid w:val="008E4B9B"/>
    <w:rsid w:val="008E51A3"/>
    <w:rsid w:val="008F0BE8"/>
    <w:rsid w:val="00901025"/>
    <w:rsid w:val="0091192A"/>
    <w:rsid w:val="0091364D"/>
    <w:rsid w:val="00921F02"/>
    <w:rsid w:val="009265C6"/>
    <w:rsid w:val="00937455"/>
    <w:rsid w:val="00940526"/>
    <w:rsid w:val="009437C9"/>
    <w:rsid w:val="00950DF0"/>
    <w:rsid w:val="009557BE"/>
    <w:rsid w:val="00967D6B"/>
    <w:rsid w:val="00970C78"/>
    <w:rsid w:val="00976DBA"/>
    <w:rsid w:val="009869E7"/>
    <w:rsid w:val="009915DC"/>
    <w:rsid w:val="00991F05"/>
    <w:rsid w:val="009B2EC8"/>
    <w:rsid w:val="009B3347"/>
    <w:rsid w:val="009B522B"/>
    <w:rsid w:val="009B6F95"/>
    <w:rsid w:val="009B7FFD"/>
    <w:rsid w:val="009D023E"/>
    <w:rsid w:val="009D3369"/>
    <w:rsid w:val="009D7A60"/>
    <w:rsid w:val="009E06B8"/>
    <w:rsid w:val="009E7F3D"/>
    <w:rsid w:val="009F137E"/>
    <w:rsid w:val="009F7270"/>
    <w:rsid w:val="00A0218D"/>
    <w:rsid w:val="00A029F6"/>
    <w:rsid w:val="00A05936"/>
    <w:rsid w:val="00A05DB9"/>
    <w:rsid w:val="00A1025E"/>
    <w:rsid w:val="00A21B7D"/>
    <w:rsid w:val="00A22307"/>
    <w:rsid w:val="00A257CE"/>
    <w:rsid w:val="00A2744D"/>
    <w:rsid w:val="00A35CDF"/>
    <w:rsid w:val="00A4050F"/>
    <w:rsid w:val="00A53433"/>
    <w:rsid w:val="00A54EBE"/>
    <w:rsid w:val="00A6479A"/>
    <w:rsid w:val="00A70A0B"/>
    <w:rsid w:val="00A70A69"/>
    <w:rsid w:val="00A70D8C"/>
    <w:rsid w:val="00A76696"/>
    <w:rsid w:val="00A840C1"/>
    <w:rsid w:val="00A904D1"/>
    <w:rsid w:val="00A913ED"/>
    <w:rsid w:val="00A9255B"/>
    <w:rsid w:val="00A95844"/>
    <w:rsid w:val="00A96E01"/>
    <w:rsid w:val="00A970C5"/>
    <w:rsid w:val="00A979A6"/>
    <w:rsid w:val="00AA070E"/>
    <w:rsid w:val="00AB7B53"/>
    <w:rsid w:val="00AB7BCF"/>
    <w:rsid w:val="00AC035D"/>
    <w:rsid w:val="00AC5BF2"/>
    <w:rsid w:val="00AC706F"/>
    <w:rsid w:val="00AD4A61"/>
    <w:rsid w:val="00AD5683"/>
    <w:rsid w:val="00AE0E3F"/>
    <w:rsid w:val="00AE6848"/>
    <w:rsid w:val="00AF3316"/>
    <w:rsid w:val="00AF78B0"/>
    <w:rsid w:val="00AF7E32"/>
    <w:rsid w:val="00B01CE1"/>
    <w:rsid w:val="00B04C2E"/>
    <w:rsid w:val="00B13A22"/>
    <w:rsid w:val="00B335A0"/>
    <w:rsid w:val="00B477F3"/>
    <w:rsid w:val="00B55986"/>
    <w:rsid w:val="00B60764"/>
    <w:rsid w:val="00B72641"/>
    <w:rsid w:val="00B77AAA"/>
    <w:rsid w:val="00B87DBC"/>
    <w:rsid w:val="00BA3848"/>
    <w:rsid w:val="00BA497C"/>
    <w:rsid w:val="00BA6B1F"/>
    <w:rsid w:val="00BC38AD"/>
    <w:rsid w:val="00BC7C42"/>
    <w:rsid w:val="00BD43AB"/>
    <w:rsid w:val="00BE26AD"/>
    <w:rsid w:val="00BE50CF"/>
    <w:rsid w:val="00BF4E86"/>
    <w:rsid w:val="00C04D1F"/>
    <w:rsid w:val="00C07031"/>
    <w:rsid w:val="00C07BDD"/>
    <w:rsid w:val="00C11DDA"/>
    <w:rsid w:val="00C21B36"/>
    <w:rsid w:val="00C25090"/>
    <w:rsid w:val="00C31A16"/>
    <w:rsid w:val="00C337A2"/>
    <w:rsid w:val="00C35828"/>
    <w:rsid w:val="00C431D2"/>
    <w:rsid w:val="00C449AC"/>
    <w:rsid w:val="00C45031"/>
    <w:rsid w:val="00C53FD3"/>
    <w:rsid w:val="00C655D7"/>
    <w:rsid w:val="00C70D4B"/>
    <w:rsid w:val="00C71C72"/>
    <w:rsid w:val="00C77C45"/>
    <w:rsid w:val="00C80E8A"/>
    <w:rsid w:val="00C80F4D"/>
    <w:rsid w:val="00C8345D"/>
    <w:rsid w:val="00C84D30"/>
    <w:rsid w:val="00C95503"/>
    <w:rsid w:val="00C962A9"/>
    <w:rsid w:val="00CB385A"/>
    <w:rsid w:val="00CB5FF0"/>
    <w:rsid w:val="00CC056E"/>
    <w:rsid w:val="00CC138E"/>
    <w:rsid w:val="00CD4F2A"/>
    <w:rsid w:val="00CE4434"/>
    <w:rsid w:val="00CE6F43"/>
    <w:rsid w:val="00D12061"/>
    <w:rsid w:val="00D148DD"/>
    <w:rsid w:val="00D14E6F"/>
    <w:rsid w:val="00D2033A"/>
    <w:rsid w:val="00D211AC"/>
    <w:rsid w:val="00D31B42"/>
    <w:rsid w:val="00D34431"/>
    <w:rsid w:val="00D45AD6"/>
    <w:rsid w:val="00D5724E"/>
    <w:rsid w:val="00D7037D"/>
    <w:rsid w:val="00D826E5"/>
    <w:rsid w:val="00D82B0F"/>
    <w:rsid w:val="00DB4F7D"/>
    <w:rsid w:val="00DC28AD"/>
    <w:rsid w:val="00DC4452"/>
    <w:rsid w:val="00DD38C4"/>
    <w:rsid w:val="00DD7002"/>
    <w:rsid w:val="00DE400C"/>
    <w:rsid w:val="00DE47CD"/>
    <w:rsid w:val="00DE484D"/>
    <w:rsid w:val="00DE550B"/>
    <w:rsid w:val="00DF4A0F"/>
    <w:rsid w:val="00E037F3"/>
    <w:rsid w:val="00E0514E"/>
    <w:rsid w:val="00E22430"/>
    <w:rsid w:val="00E268D0"/>
    <w:rsid w:val="00E26E19"/>
    <w:rsid w:val="00E32ED8"/>
    <w:rsid w:val="00E33682"/>
    <w:rsid w:val="00E33971"/>
    <w:rsid w:val="00E36781"/>
    <w:rsid w:val="00E44BD3"/>
    <w:rsid w:val="00E44DEF"/>
    <w:rsid w:val="00E461BF"/>
    <w:rsid w:val="00E46B7D"/>
    <w:rsid w:val="00E54CE7"/>
    <w:rsid w:val="00E60CB3"/>
    <w:rsid w:val="00E61C87"/>
    <w:rsid w:val="00E633CD"/>
    <w:rsid w:val="00E73B6F"/>
    <w:rsid w:val="00E77B14"/>
    <w:rsid w:val="00E77C7F"/>
    <w:rsid w:val="00E96CAD"/>
    <w:rsid w:val="00EA506E"/>
    <w:rsid w:val="00EB7BC8"/>
    <w:rsid w:val="00EC1492"/>
    <w:rsid w:val="00EC1950"/>
    <w:rsid w:val="00EC2A3E"/>
    <w:rsid w:val="00EC6942"/>
    <w:rsid w:val="00EC7447"/>
    <w:rsid w:val="00EF000D"/>
    <w:rsid w:val="00EF2F95"/>
    <w:rsid w:val="00F02C98"/>
    <w:rsid w:val="00F10B6D"/>
    <w:rsid w:val="00F126FD"/>
    <w:rsid w:val="00F17258"/>
    <w:rsid w:val="00F214DA"/>
    <w:rsid w:val="00F33E46"/>
    <w:rsid w:val="00F502F3"/>
    <w:rsid w:val="00F538AC"/>
    <w:rsid w:val="00F56915"/>
    <w:rsid w:val="00F618B2"/>
    <w:rsid w:val="00F65216"/>
    <w:rsid w:val="00F73AC5"/>
    <w:rsid w:val="00F7431C"/>
    <w:rsid w:val="00F777F6"/>
    <w:rsid w:val="00F77C77"/>
    <w:rsid w:val="00F81648"/>
    <w:rsid w:val="00F855F6"/>
    <w:rsid w:val="00F8687B"/>
    <w:rsid w:val="00F87C99"/>
    <w:rsid w:val="00F91D09"/>
    <w:rsid w:val="00F93610"/>
    <w:rsid w:val="00F9730F"/>
    <w:rsid w:val="00FA57B2"/>
    <w:rsid w:val="00FB0544"/>
    <w:rsid w:val="00FB47DF"/>
    <w:rsid w:val="00FC451B"/>
    <w:rsid w:val="00FC7502"/>
    <w:rsid w:val="00FD5876"/>
    <w:rsid w:val="00FD720D"/>
    <w:rsid w:val="00FE2300"/>
    <w:rsid w:val="02C08D93"/>
    <w:rsid w:val="059CED83"/>
    <w:rsid w:val="1113AE37"/>
    <w:rsid w:val="164DF714"/>
    <w:rsid w:val="1A04A072"/>
    <w:rsid w:val="1F472EB1"/>
    <w:rsid w:val="2047E3F2"/>
    <w:rsid w:val="24E1A2DB"/>
    <w:rsid w:val="254DF14E"/>
    <w:rsid w:val="28EF038A"/>
    <w:rsid w:val="424BEF2C"/>
    <w:rsid w:val="446DF478"/>
    <w:rsid w:val="4B84C044"/>
    <w:rsid w:val="4D2090A5"/>
    <w:rsid w:val="558B229C"/>
    <w:rsid w:val="55D5C3E6"/>
    <w:rsid w:val="6119188C"/>
    <w:rsid w:val="6BE0BDC3"/>
    <w:rsid w:val="79E0AC78"/>
    <w:rsid w:val="7DD2A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7BD2"/>
  <w15:chartTrackingRefBased/>
  <w15:docId w15:val="{4F50E6B9-5A8E-45A1-83F0-B015CB3E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320"/>
    <w:pPr>
      <w:jc w:val="both"/>
    </w:pPr>
    <w:rPr>
      <w:rFonts w:ascii="Times New Roman" w:eastAsiaTheme="minorEastAsia" w:hAnsi="Times New Roman" w:cs="Times New Roman"/>
      <w:lang w:eastAsia="zh-CN"/>
    </w:rPr>
  </w:style>
  <w:style w:type="paragraph" w:styleId="Heading1">
    <w:name w:val="heading 1"/>
    <w:next w:val="Normal"/>
    <w:link w:val="Heading1Char"/>
    <w:qFormat/>
    <w:rsid w:val="00167826"/>
    <w:pPr>
      <w:widowControl w:val="0"/>
      <w:numPr>
        <w:numId w:val="4"/>
      </w:numPr>
      <w:tabs>
        <w:tab w:val="left" w:pos="432"/>
      </w:tabs>
      <w:autoSpaceDE w:val="0"/>
      <w:autoSpaceDN w:val="0"/>
      <w:adjustRightInd w:val="0"/>
      <w:snapToGrid w:val="0"/>
      <w:spacing w:beforeLines="100" w:before="240" w:afterLines="100" w:after="240" w:line="240" w:lineRule="auto"/>
      <w:outlineLvl w:val="0"/>
    </w:pPr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167826"/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paragraph" w:customStyle="1" w:styleId="Proposal">
    <w:name w:val="Proposal"/>
    <w:basedOn w:val="Normal"/>
    <w:rsid w:val="00A53433"/>
    <w:pPr>
      <w:widowControl w:val="0"/>
      <w:numPr>
        <w:numId w:val="5"/>
      </w:numPr>
      <w:tabs>
        <w:tab w:val="clear" w:pos="1304"/>
        <w:tab w:val="num" w:pos="360"/>
        <w:tab w:val="left" w:pos="1701"/>
      </w:tabs>
      <w:spacing w:after="0" w:line="240" w:lineRule="auto"/>
      <w:ind w:left="0" w:firstLine="0"/>
    </w:pPr>
    <w:rPr>
      <w:rFonts w:eastAsia="SimSun"/>
      <w:b/>
      <w:bCs/>
      <w:kern w:val="2"/>
      <w:sz w:val="21"/>
    </w:rPr>
  </w:style>
  <w:style w:type="paragraph" w:customStyle="1" w:styleId="3GPPHeader">
    <w:name w:val="3GPP_Header"/>
    <w:basedOn w:val="Normal"/>
    <w:qFormat/>
    <w:rsid w:val="00A53433"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SimSun" w:hAnsi="Arial"/>
      <w:b/>
      <w:kern w:val="2"/>
      <w:sz w:val="21"/>
    </w:rPr>
  </w:style>
  <w:style w:type="paragraph" w:styleId="BodyText">
    <w:name w:val="Body Text"/>
    <w:basedOn w:val="Normal"/>
    <w:link w:val="BodyTextChar"/>
    <w:rsid w:val="009E06B8"/>
    <w:pPr>
      <w:autoSpaceDE w:val="0"/>
      <w:autoSpaceDN w:val="0"/>
      <w:adjustRightInd w:val="0"/>
      <w:snapToGrid w:val="0"/>
      <w:spacing w:after="120" w:line="240" w:lineRule="auto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9E06B8"/>
    <w:rPr>
      <w:rFonts w:ascii="Times New Roman" w:eastAsia="SimSun" w:hAnsi="Times New Roman" w:cs="Times New Roman"/>
      <w:sz w:val="20"/>
      <w:szCs w:val="20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,?"/>
    <w:basedOn w:val="Normal"/>
    <w:link w:val="ListParagraphChar"/>
    <w:uiPriority w:val="34"/>
    <w:qFormat/>
    <w:rsid w:val="009E06B8"/>
    <w:pPr>
      <w:autoSpaceDE w:val="0"/>
      <w:autoSpaceDN w:val="0"/>
      <w:adjustRightInd w:val="0"/>
      <w:snapToGrid w:val="0"/>
      <w:spacing w:after="120" w:line="240" w:lineRule="auto"/>
      <w:ind w:firstLineChars="200" w:firstLine="420"/>
    </w:pPr>
    <w:rPr>
      <w:rFonts w:eastAsia="SimSun"/>
      <w:lang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? Char"/>
    <w:link w:val="ListParagraph"/>
    <w:uiPriority w:val="34"/>
    <w:qFormat/>
    <w:locked/>
    <w:rsid w:val="009E06B8"/>
    <w:rPr>
      <w:rFonts w:ascii="Times New Roman" w:eastAsia="SimSun" w:hAnsi="Times New Roman" w:cs="Times New Roman"/>
    </w:rPr>
  </w:style>
  <w:style w:type="character" w:customStyle="1" w:styleId="apple-converted-space">
    <w:name w:val="apple-converted-space"/>
    <w:qFormat/>
    <w:rsid w:val="009E06B8"/>
  </w:style>
  <w:style w:type="paragraph" w:styleId="NoSpacing">
    <w:name w:val="No Spacing"/>
    <w:uiPriority w:val="1"/>
    <w:qFormat/>
    <w:rsid w:val="009E06B8"/>
    <w:pPr>
      <w:autoSpaceDE w:val="0"/>
      <w:autoSpaceDN w:val="0"/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</w:rPr>
  </w:style>
  <w:style w:type="character" w:styleId="CommentReference">
    <w:name w:val="annotation reference"/>
    <w:uiPriority w:val="99"/>
    <w:qFormat/>
    <w:rsid w:val="009E06B8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739A6"/>
    <w:rPr>
      <w:color w:val="808080"/>
    </w:rPr>
  </w:style>
  <w:style w:type="paragraph" w:customStyle="1" w:styleId="B1">
    <w:name w:val="B1"/>
    <w:basedOn w:val="List"/>
    <w:link w:val="B1Zchn"/>
    <w:qFormat/>
    <w:rsid w:val="00A0593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A059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05936"/>
    <w:pPr>
      <w:ind w:left="360" w:hanging="360"/>
      <w:contextualSpacing/>
    </w:pPr>
  </w:style>
  <w:style w:type="paragraph" w:customStyle="1" w:styleId="References">
    <w:name w:val="References"/>
    <w:basedOn w:val="Normal"/>
    <w:rsid w:val="00A05936"/>
    <w:pPr>
      <w:numPr>
        <w:numId w:val="15"/>
      </w:numPr>
      <w:autoSpaceDE w:val="0"/>
      <w:autoSpaceDN w:val="0"/>
      <w:snapToGrid w:val="0"/>
      <w:spacing w:after="60" w:line="240" w:lineRule="auto"/>
    </w:pPr>
    <w:rPr>
      <w:rFonts w:eastAsia="SimSun"/>
      <w:sz w:val="20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A223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2307"/>
    <w:rPr>
      <w:rFonts w:ascii="Times New Roman" w:eastAsiaTheme="minorEastAsia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2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307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character" w:customStyle="1" w:styleId="B2Char">
    <w:name w:val="B2 Char"/>
    <w:link w:val="B2"/>
    <w:locked/>
    <w:rsid w:val="00286996"/>
    <w:rPr>
      <w:rFonts w:eastAsia="MS Mincho"/>
      <w:lang w:eastAsia="en-GB"/>
    </w:rPr>
  </w:style>
  <w:style w:type="paragraph" w:customStyle="1" w:styleId="B2">
    <w:name w:val="B2"/>
    <w:basedOn w:val="List2"/>
    <w:link w:val="B2Char"/>
    <w:qFormat/>
    <w:rsid w:val="00286996"/>
    <w:pPr>
      <w:overflowPunct w:val="0"/>
      <w:autoSpaceDE w:val="0"/>
      <w:autoSpaceDN w:val="0"/>
      <w:adjustRightInd w:val="0"/>
      <w:snapToGrid w:val="0"/>
      <w:spacing w:after="180" w:line="240" w:lineRule="auto"/>
      <w:ind w:left="851" w:hanging="284"/>
      <w:contextualSpacing w:val="0"/>
    </w:pPr>
    <w:rPr>
      <w:rFonts w:asciiTheme="minorHAnsi" w:eastAsia="MS Mincho" w:hAnsiTheme="minorHAnsi" w:cstheme="minorBidi"/>
      <w:lang w:eastAsia="en-GB"/>
    </w:rPr>
  </w:style>
  <w:style w:type="paragraph" w:styleId="List2">
    <w:name w:val="List 2"/>
    <w:basedOn w:val="Normal"/>
    <w:uiPriority w:val="99"/>
    <w:semiHidden/>
    <w:unhideWhenUsed/>
    <w:rsid w:val="00286996"/>
    <w:pPr>
      <w:ind w:left="72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91D09"/>
    <w:pPr>
      <w:spacing w:after="0" w:line="240" w:lineRule="auto"/>
      <w:jc w:val="left"/>
    </w:pPr>
    <w:rPr>
      <w:rFonts w:ascii="Arial" w:eastAsia="Times New Roman" w:hAnsi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82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2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_ip_UnifiedCompliancePolicyProperties xmlns="http://schemas.microsoft.com/sharepoint/v3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43" ma:contentTypeDescription="Local content type for artefact management" ma:contentTypeScope="" ma:versionID="1a53b525923f7caed7db9683c814feaa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targetNamespace="http://schemas.microsoft.com/office/2006/metadata/properties" ma:root="true" ma:fieldsID="acbddcd3e623cb6adb4be07baaef4e9e" ns1:_="" ns2:_="" ns3:_="">
    <xsd:import namespace="http://schemas.microsoft.com/sharepoint/v3"/>
    <xsd:import namespace="5fcc3bcc-0dfa-4fec-81e5-0fcaf256fc26"/>
    <xsd:import namespace="dc754534-1218-482f-98bf-47937c096771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48F77-B6E1-48A7-A02E-D220842C9A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3616E-C017-4CFD-915B-C6ACF7473A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cc3bcc-0dfa-4fec-81e5-0fcaf256fc26"/>
  </ds:schemaRefs>
</ds:datastoreItem>
</file>

<file path=customXml/itemProps3.xml><?xml version="1.0" encoding="utf-8"?>
<ds:datastoreItem xmlns:ds="http://schemas.openxmlformats.org/officeDocument/2006/customXml" ds:itemID="{20DA64E4-9E80-47EA-BF2D-1846FC187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9CCB8-D932-4C02-AFA7-6A790652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Mavenir Inc.</dc:creator>
  <cp:keywords/>
  <dc:description/>
  <cp:lastModifiedBy>Young-Han Nam</cp:lastModifiedBy>
  <cp:revision>80</cp:revision>
  <dcterms:created xsi:type="dcterms:W3CDTF">2022-04-29T01:25:00Z</dcterms:created>
  <dcterms:modified xsi:type="dcterms:W3CDTF">2022-04-29T21:21:00Z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</Properties>
</file>