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0E179304"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15611">
        <w:rPr>
          <w:b/>
          <w:noProof/>
          <w:lang w:val="en-GB" w:eastAsia="zh-CN"/>
        </w:rPr>
        <w:t>3GPP TSG-RAN WG1 Meeting #10</w:t>
      </w:r>
      <w:r w:rsidR="0075417F">
        <w:rPr>
          <w:b/>
          <w:noProof/>
          <w:lang w:val="en-GB" w:eastAsia="zh-CN"/>
        </w:rPr>
        <w:t>9</w:t>
      </w:r>
      <w:r w:rsidR="003459C3">
        <w:rPr>
          <w:b/>
          <w:noProof/>
          <w:lang w:val="en-GB" w:eastAsia="zh-CN"/>
        </w:rPr>
        <w:t>-e</w:t>
      </w:r>
      <w:r w:rsidRPr="008E2019">
        <w:rPr>
          <w:b/>
          <w:bCs/>
          <w:lang w:eastAsia="zh-CN"/>
        </w:rPr>
        <w:t> </w:t>
      </w:r>
      <w:r w:rsidRPr="00CF195E">
        <w:rPr>
          <w:b/>
          <w:kern w:val="2"/>
          <w:lang w:eastAsia="zh-CN"/>
        </w:rPr>
        <w:tab/>
      </w:r>
      <w:r w:rsidR="00E26E30" w:rsidRPr="00E26E30">
        <w:rPr>
          <w:b/>
          <w:kern w:val="2"/>
          <w:lang w:eastAsia="zh-CN"/>
        </w:rPr>
        <w:t>R1-2204916</w:t>
      </w:r>
    </w:p>
    <w:p w14:paraId="2E876DCB" w14:textId="09DA61F7" w:rsidR="006C08E1" w:rsidRPr="00810DC4" w:rsidRDefault="00810DC4" w:rsidP="006C08E1">
      <w:pPr>
        <w:rPr>
          <w:b/>
          <w:kern w:val="2"/>
          <w:lang w:eastAsia="zh-CN"/>
        </w:rPr>
      </w:pPr>
      <w:r w:rsidRPr="00810DC4">
        <w:rPr>
          <w:b/>
          <w:kern w:val="2"/>
          <w:lang w:eastAsia="zh-CN"/>
        </w:rPr>
        <w:t>e-Meeting, May 9th – 20th, 2022</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23C934BF"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FB7377">
        <w:rPr>
          <w:b/>
          <w:color w:val="000000" w:themeColor="text1"/>
          <w:kern w:val="2"/>
          <w:lang w:eastAsia="zh-CN"/>
        </w:rPr>
        <w:t>9.5.4</w:t>
      </w:r>
    </w:p>
    <w:p w14:paraId="2B475B4A" w14:textId="1E445F2D"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r w:rsidR="00DC7987">
        <w:rPr>
          <w:b/>
          <w:color w:val="000000" w:themeColor="text1"/>
          <w:kern w:val="2"/>
          <w:lang w:eastAsia="zh-CN"/>
        </w:rPr>
        <w:t>, China Unicom</w:t>
      </w:r>
    </w:p>
    <w:p w14:paraId="6B85EEF0" w14:textId="0E785C22"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FB7377" w:rsidRPr="00FB7377">
        <w:rPr>
          <w:b/>
          <w:color w:val="000000" w:themeColor="text1"/>
          <w:kern w:val="2"/>
          <w:lang w:eastAsia="zh-CN"/>
        </w:rPr>
        <w:t xml:space="preserve">Considerations on the </w:t>
      </w:r>
      <w:r w:rsidR="005A6187">
        <w:rPr>
          <w:b/>
          <w:color w:val="000000" w:themeColor="text1"/>
          <w:kern w:val="2"/>
          <w:lang w:eastAsia="zh-CN"/>
        </w:rPr>
        <w:t>support of PRS/SRS bandwidth aggregation</w:t>
      </w:r>
    </w:p>
    <w:p w14:paraId="0C2C4ADA" w14:textId="7A9854F6"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 xml:space="preserve">Discussion and </w:t>
      </w:r>
      <w:r w:rsidR="00640161">
        <w:rPr>
          <w:b/>
          <w:color w:val="000000" w:themeColor="text1"/>
          <w:kern w:val="2"/>
          <w:lang w:eastAsia="zh-CN"/>
        </w:rPr>
        <w:t>D</w:t>
      </w:r>
      <w:bookmarkStart w:id="0" w:name="_GoBack"/>
      <w:bookmarkEnd w:id="0"/>
      <w:r w:rsidR="005A66F0">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1"/>
        <w:rPr>
          <w:color w:val="000000" w:themeColor="text1"/>
        </w:rPr>
      </w:pPr>
      <w:r w:rsidRPr="00112CC8">
        <w:rPr>
          <w:color w:val="000000" w:themeColor="text1"/>
        </w:rPr>
        <w:t>Introduction</w:t>
      </w:r>
    </w:p>
    <w:p w14:paraId="3944CF99" w14:textId="419799A3" w:rsidR="0013511B" w:rsidRDefault="0013511B" w:rsidP="0013511B">
      <w:pPr>
        <w:rPr>
          <w:lang w:eastAsia="zh-CN"/>
        </w:rPr>
      </w:pPr>
      <w:r>
        <w:rPr>
          <w:lang w:eastAsia="zh-CN"/>
        </w:rPr>
        <w:t>RAN</w:t>
      </w:r>
      <w:r w:rsidR="006C6C02">
        <w:rPr>
          <w:lang w:eastAsia="zh-CN"/>
        </w:rPr>
        <w:t>#94e</w:t>
      </w:r>
      <w:r>
        <w:rPr>
          <w:lang w:eastAsia="zh-CN"/>
        </w:rPr>
        <w:t xml:space="preserve"> approved the SID </w:t>
      </w:r>
      <w:r w:rsidR="00295EFB">
        <w:rPr>
          <w:lang w:eastAsia="zh-CN"/>
        </w:rPr>
        <w:fldChar w:fldCharType="begin"/>
      </w:r>
      <w:r w:rsidR="00295EFB">
        <w:rPr>
          <w:lang w:eastAsia="zh-CN"/>
        </w:rPr>
        <w:instrText xml:space="preserve"> REF _Ref100838951 \n \h </w:instrText>
      </w:r>
      <w:r w:rsidR="00295EFB">
        <w:rPr>
          <w:lang w:eastAsia="zh-CN"/>
        </w:rPr>
      </w:r>
      <w:r w:rsidR="00295EFB">
        <w:rPr>
          <w:lang w:eastAsia="zh-CN"/>
        </w:rPr>
        <w:fldChar w:fldCharType="separate"/>
      </w:r>
      <w:r w:rsidR="00295EFB">
        <w:rPr>
          <w:lang w:eastAsia="zh-CN"/>
        </w:rPr>
        <w:t>[1]</w:t>
      </w:r>
      <w:r w:rsidR="00295EFB">
        <w:rPr>
          <w:lang w:eastAsia="zh-CN"/>
        </w:rPr>
        <w:fldChar w:fldCharType="end"/>
      </w:r>
      <w:r w:rsidR="00295EFB">
        <w:rPr>
          <w:lang w:eastAsia="zh-CN"/>
        </w:rPr>
        <w:t xml:space="preserve"> </w:t>
      </w:r>
      <w:r>
        <w:rPr>
          <w:lang w:eastAsia="zh-CN"/>
        </w:rPr>
        <w:t>on expanded and improved NR positioning. The following objective is identified to support bandwidth aggregation of PRS and SRS.</w:t>
      </w:r>
    </w:p>
    <w:tbl>
      <w:tblPr>
        <w:tblStyle w:val="ac"/>
        <w:tblW w:w="0" w:type="auto"/>
        <w:tblLook w:val="04A0" w:firstRow="1" w:lastRow="0" w:firstColumn="1" w:lastColumn="0" w:noHBand="0" w:noVBand="1"/>
      </w:tblPr>
      <w:tblGrid>
        <w:gridCol w:w="9307"/>
      </w:tblGrid>
      <w:tr w:rsidR="0013511B" w14:paraId="3A04524E" w14:textId="77777777" w:rsidTr="00033AB3">
        <w:tc>
          <w:tcPr>
            <w:tcW w:w="9307" w:type="dxa"/>
          </w:tcPr>
          <w:p w14:paraId="12A75F6B" w14:textId="0DA1CFF8" w:rsidR="0013511B" w:rsidRPr="0013511B" w:rsidRDefault="0013511B" w:rsidP="0013511B">
            <w:pPr>
              <w:numPr>
                <w:ilvl w:val="1"/>
                <w:numId w:val="38"/>
              </w:numPr>
              <w:overflowPunct w:val="0"/>
              <w:snapToGrid/>
              <w:spacing w:after="0"/>
              <w:jc w:val="left"/>
              <w:rPr>
                <w:bCs/>
                <w:sz w:val="20"/>
                <w:szCs w:val="20"/>
              </w:rPr>
            </w:pPr>
            <w:r>
              <w:rPr>
                <w:bCs/>
              </w:rPr>
              <w:t>Study solutions for accuracy improvement based on PRS/SRS bandwidth aggregation for intra-band carriers considering e.g. timing errors, phase coherency, frequency errors, power imbalance, etc [RAN4]:</w:t>
            </w:r>
          </w:p>
        </w:tc>
      </w:tr>
    </w:tbl>
    <w:p w14:paraId="52D64A49" w14:textId="77777777" w:rsidR="0013511B" w:rsidRDefault="0013511B" w:rsidP="0013511B">
      <w:pPr>
        <w:rPr>
          <w:lang w:eastAsia="zh-CN"/>
        </w:rPr>
      </w:pPr>
    </w:p>
    <w:p w14:paraId="01ECA518" w14:textId="6F9C43EB" w:rsidR="0013511B" w:rsidRDefault="0013511B" w:rsidP="0013511B">
      <w:pPr>
        <w:rPr>
          <w:lang w:eastAsia="zh-CN"/>
        </w:rPr>
      </w:pPr>
      <w:r>
        <w:rPr>
          <w:lang w:eastAsia="zh-CN"/>
        </w:rPr>
        <w:t xml:space="preserve">In this paper, we discuss RAN1 aspects to support </w:t>
      </w:r>
      <w:r w:rsidR="005973AB">
        <w:rPr>
          <w:bCs/>
        </w:rPr>
        <w:t xml:space="preserve">PRS/SRS </w:t>
      </w:r>
      <w:r>
        <w:rPr>
          <w:lang w:eastAsia="zh-CN"/>
        </w:rPr>
        <w:t>bandwidth aggregation.</w:t>
      </w:r>
    </w:p>
    <w:p w14:paraId="6E8643A3" w14:textId="77777777" w:rsidR="0013511B" w:rsidRPr="007A62F9" w:rsidRDefault="0013511B" w:rsidP="0013511B">
      <w:pPr>
        <w:rPr>
          <w:lang w:eastAsia="zh-CN"/>
        </w:rPr>
      </w:pPr>
    </w:p>
    <w:p w14:paraId="2FDDADB8" w14:textId="77777777" w:rsidR="0013511B" w:rsidRDefault="0013511B" w:rsidP="0013511B">
      <w:pPr>
        <w:pStyle w:val="1"/>
        <w:rPr>
          <w:lang w:eastAsia="zh-CN"/>
        </w:rPr>
      </w:pPr>
      <w:r>
        <w:rPr>
          <w:lang w:eastAsia="zh-CN"/>
        </w:rPr>
        <w:t>Discussion</w:t>
      </w:r>
    </w:p>
    <w:p w14:paraId="48448192" w14:textId="18931A7E" w:rsidR="0013511B" w:rsidRDefault="0013511B" w:rsidP="0013511B">
      <w:pPr>
        <w:rPr>
          <w:lang w:eastAsia="zh-CN"/>
        </w:rPr>
      </w:pPr>
      <w:r>
        <w:rPr>
          <w:lang w:eastAsia="zh-CN"/>
        </w:rPr>
        <w:t xml:space="preserve">The terminology of CA positioning, which is no longer used in the formal </w:t>
      </w:r>
      <w:r w:rsidR="006C6C02">
        <w:rPr>
          <w:lang w:eastAsia="zh-CN"/>
        </w:rPr>
        <w:t xml:space="preserve">WID </w:t>
      </w:r>
      <w:r>
        <w:rPr>
          <w:lang w:eastAsia="zh-CN"/>
        </w:rPr>
        <w:t>document, actually corresponds to the myth that in order to support positioning CA, UE and gNB should also support communication CA. However, as the positioning interest grows as the benefit on accuracy improvement from a larger bandwidth shows, the desire to expand the communication bandwidth may not be</w:t>
      </w:r>
      <w:r w:rsidR="007E6572">
        <w:rPr>
          <w:lang w:eastAsia="zh-CN"/>
        </w:rPr>
        <w:t xml:space="preserve"> the same in the same scenario</w:t>
      </w:r>
      <w:r>
        <w:rPr>
          <w:lang w:eastAsia="zh-CN"/>
        </w:rPr>
        <w:t>.</w:t>
      </w:r>
    </w:p>
    <w:p w14:paraId="04E0781D" w14:textId="5DC6B2F5" w:rsidR="0013511B" w:rsidRDefault="0013511B" w:rsidP="0013511B">
      <w:pPr>
        <w:rPr>
          <w:lang w:eastAsia="zh-CN"/>
        </w:rPr>
      </w:pPr>
      <w:r>
        <w:rPr>
          <w:lang w:eastAsia="zh-CN"/>
        </w:rPr>
        <w:t>Take UWB for example, the RF bandwidth is typically 500MHz (499.2MHz), but the data rate is far less than the bandwidth (approximately tens of Mbps). Positioning does not call</w:t>
      </w:r>
      <w:r w:rsidR="00E14661">
        <w:rPr>
          <w:lang w:eastAsia="zh-CN"/>
        </w:rPr>
        <w:t xml:space="preserve"> for</w:t>
      </w:r>
      <w:r>
        <w:rPr>
          <w:lang w:eastAsia="zh-CN"/>
        </w:rPr>
        <w:t xml:space="preserve"> high data rate, but actually requires the bandwidth only for the sake of fine ToA estimate.</w:t>
      </w:r>
    </w:p>
    <w:p w14:paraId="06EABDE7" w14:textId="26328EE9" w:rsidR="0013511B" w:rsidRDefault="0013511B" w:rsidP="0013511B">
      <w:pPr>
        <w:rPr>
          <w:lang w:eastAsia="zh-CN"/>
        </w:rPr>
      </w:pPr>
      <w:r>
        <w:rPr>
          <w:lang w:eastAsia="zh-CN"/>
        </w:rPr>
        <w:t>This calls for the decoupling of communication bandwidth (not only about the RF bandwidth, but also the corresponding baseband processing capability to cope with the peak data rate that occupies with corresponding RF bandwidth) and positioning bandwidth (only about the RF bandwidth, assuming reference signal processing</w:t>
      </w:r>
      <w:r w:rsidR="00E14661">
        <w:rPr>
          <w:lang w:eastAsia="zh-CN"/>
        </w:rPr>
        <w:t xml:space="preserve"> including transmission preparation and receive processing</w:t>
      </w:r>
      <w:r>
        <w:rPr>
          <w:lang w:eastAsia="zh-CN"/>
        </w:rPr>
        <w:t xml:space="preserve"> can be done offline).</w:t>
      </w:r>
    </w:p>
    <w:p w14:paraId="2D1B4460" w14:textId="7CA14DF8" w:rsidR="007860CE" w:rsidRPr="005973AB" w:rsidRDefault="007860CE" w:rsidP="0013511B">
      <w:pPr>
        <w:rPr>
          <w:lang w:eastAsia="zh-CN"/>
        </w:rPr>
      </w:pPr>
      <w:r>
        <w:rPr>
          <w:lang w:eastAsia="zh-CN"/>
        </w:rPr>
        <w:t xml:space="preserve">It is sensible to decouple </w:t>
      </w:r>
      <w:r>
        <w:rPr>
          <w:bCs/>
        </w:rPr>
        <w:t>PRS/SRS bandwidth aggregation</w:t>
      </w:r>
      <w:r>
        <w:rPr>
          <w:lang w:eastAsia="zh-CN"/>
        </w:rPr>
        <w:t xml:space="preserve"> and </w:t>
      </w:r>
      <w:r w:rsidR="005973AB">
        <w:rPr>
          <w:lang w:eastAsia="zh-CN"/>
        </w:rPr>
        <w:t>communication CA</w:t>
      </w:r>
      <w:r>
        <w:rPr>
          <w:lang w:eastAsia="zh-CN"/>
        </w:rPr>
        <w:t xml:space="preserve"> from network/feature deployment aspect as well. In typical deployment</w:t>
      </w:r>
      <w:r w:rsidR="00E14661">
        <w:rPr>
          <w:lang w:eastAsia="zh-CN"/>
        </w:rPr>
        <w:t>s</w:t>
      </w:r>
      <w:r>
        <w:rPr>
          <w:lang w:eastAsia="zh-CN"/>
        </w:rPr>
        <w:t xml:space="preserve">, radio hardware that </w:t>
      </w:r>
      <w:r w:rsidR="005973AB">
        <w:rPr>
          <w:lang w:eastAsia="zh-CN"/>
        </w:rPr>
        <w:t>fit</w:t>
      </w:r>
      <w:r>
        <w:rPr>
          <w:lang w:eastAsia="zh-CN"/>
        </w:rPr>
        <w:t xml:space="preserve">s operator spectrum holding </w:t>
      </w:r>
      <w:r w:rsidR="00E7071A">
        <w:rPr>
          <w:lang w:eastAsia="zh-CN"/>
        </w:rPr>
        <w:t xml:space="preserve">(e.g. wideband hardware) </w:t>
      </w:r>
      <w:r>
        <w:rPr>
          <w:lang w:eastAsia="zh-CN"/>
        </w:rPr>
        <w:t xml:space="preserve">is deployed from </w:t>
      </w:r>
      <w:r w:rsidR="005973AB">
        <w:rPr>
          <w:lang w:eastAsia="zh-CN"/>
        </w:rPr>
        <w:t>day 1</w:t>
      </w:r>
      <w:r>
        <w:rPr>
          <w:lang w:eastAsia="zh-CN"/>
        </w:rPr>
        <w:t xml:space="preserve">, while </w:t>
      </w:r>
      <w:r w:rsidR="005973AB">
        <w:rPr>
          <w:lang w:eastAsia="zh-CN"/>
        </w:rPr>
        <w:t xml:space="preserve">communication CA </w:t>
      </w:r>
      <w:r>
        <w:rPr>
          <w:lang w:eastAsia="zh-CN"/>
        </w:rPr>
        <w:t xml:space="preserve">is enabled </w:t>
      </w:r>
      <w:r w:rsidR="00E7071A">
        <w:rPr>
          <w:lang w:eastAsia="zh-CN"/>
        </w:rPr>
        <w:t>depending</w:t>
      </w:r>
      <w:r>
        <w:rPr>
          <w:lang w:eastAsia="zh-CN"/>
        </w:rPr>
        <w:t xml:space="preserve"> on capacity and data rate requirement</w:t>
      </w:r>
      <w:r w:rsidR="00E7071A">
        <w:rPr>
          <w:lang w:eastAsia="zh-CN"/>
        </w:rPr>
        <w:t xml:space="preserve"> later on</w:t>
      </w:r>
      <w:r>
        <w:rPr>
          <w:lang w:eastAsia="zh-CN"/>
        </w:rPr>
        <w:t xml:space="preserve">. </w:t>
      </w:r>
      <w:r w:rsidR="005973AB">
        <w:rPr>
          <w:lang w:eastAsia="zh-CN"/>
        </w:rPr>
        <w:t xml:space="preserve">Decoupling </w:t>
      </w:r>
      <w:r w:rsidR="005973AB">
        <w:rPr>
          <w:bCs/>
        </w:rPr>
        <w:t>PRS/SRS bandwidth aggregation</w:t>
      </w:r>
      <w:r w:rsidR="005973AB">
        <w:rPr>
          <w:lang w:eastAsia="zh-CN"/>
        </w:rPr>
        <w:t xml:space="preserve"> and communication CA can make better utilization of the already deployed wideband hardware to support improved positioning accuracy without the necessity to deploy communication CA.</w:t>
      </w:r>
    </w:p>
    <w:p w14:paraId="3ED617AE" w14:textId="2D42D094" w:rsidR="0013511B" w:rsidRDefault="0013511B" w:rsidP="0013511B">
      <w:pPr>
        <w:rPr>
          <w:lang w:eastAsia="zh-CN"/>
        </w:rPr>
      </w:pPr>
      <w:r>
        <w:rPr>
          <w:lang w:eastAsia="zh-CN"/>
        </w:rPr>
        <w:t xml:space="preserve">Then it should be designed to allow both UE and gNB to only implement </w:t>
      </w:r>
      <w:r w:rsidR="00B743B3">
        <w:rPr>
          <w:bCs/>
        </w:rPr>
        <w:t>PRS/SRS bandwidth aggregation</w:t>
      </w:r>
      <w:r>
        <w:rPr>
          <w:lang w:eastAsia="zh-CN"/>
        </w:rPr>
        <w:t>, but not CA for communication.</w:t>
      </w:r>
      <w:r w:rsidR="00F30569">
        <w:rPr>
          <w:lang w:eastAsia="zh-CN"/>
        </w:rPr>
        <w:t xml:space="preserve"> </w:t>
      </w:r>
      <w:r>
        <w:rPr>
          <w:lang w:eastAsia="zh-CN"/>
        </w:rPr>
        <w:t>For example, gNB/UE may support a single CC of 100</w:t>
      </w:r>
      <w:r w:rsidR="00845ADC">
        <w:rPr>
          <w:lang w:eastAsia="zh-CN"/>
        </w:rPr>
        <w:t xml:space="preserve"> M</w:t>
      </w:r>
      <w:r>
        <w:rPr>
          <w:lang w:eastAsia="zh-CN"/>
        </w:rPr>
        <w:t>Hz for communication, but its IF/RF still have a high capability to process more than 100</w:t>
      </w:r>
      <w:r w:rsidR="00845ADC">
        <w:rPr>
          <w:lang w:eastAsia="zh-CN"/>
        </w:rPr>
        <w:t xml:space="preserve"> </w:t>
      </w:r>
      <w:r>
        <w:rPr>
          <w:lang w:eastAsia="zh-CN"/>
        </w:rPr>
        <w:t>MHz reference signal.</w:t>
      </w:r>
    </w:p>
    <w:p w14:paraId="0D3F14D1" w14:textId="77488ED6" w:rsidR="0013511B" w:rsidRDefault="00F30569" w:rsidP="0013511B">
      <w:pPr>
        <w:rPr>
          <w:lang w:eastAsia="zh-CN"/>
        </w:rPr>
      </w:pPr>
      <w:r>
        <w:rPr>
          <w:rFonts w:hint="eastAsia"/>
          <w:lang w:eastAsia="zh-CN"/>
        </w:rPr>
        <w:t>A</w:t>
      </w:r>
      <w:r>
        <w:rPr>
          <w:lang w:eastAsia="zh-CN"/>
        </w:rPr>
        <w:t xml:space="preserve"> full functionality baseband mapped to a PCC that can handle the overall communication services, aggregated with a lite baseband mapped to </w:t>
      </w:r>
      <w:r w:rsidR="0077770B">
        <w:rPr>
          <w:lang w:eastAsia="zh-CN"/>
        </w:rPr>
        <w:t xml:space="preserve">the entire </w:t>
      </w:r>
      <w:r w:rsidR="004A7304">
        <w:rPr>
          <w:lang w:eastAsia="zh-CN"/>
        </w:rPr>
        <w:t xml:space="preserve">IF/RF </w:t>
      </w:r>
      <w:r w:rsidR="0077770B">
        <w:rPr>
          <w:lang w:eastAsia="zh-CN"/>
        </w:rPr>
        <w:t xml:space="preserve">bandwidth </w:t>
      </w:r>
      <w:r>
        <w:rPr>
          <w:lang w:eastAsia="zh-CN"/>
        </w:rPr>
        <w:t xml:space="preserve">that is only tasked to process the aggregated </w:t>
      </w:r>
      <w:r w:rsidR="007E6572">
        <w:rPr>
          <w:lang w:eastAsia="zh-CN"/>
        </w:rPr>
        <w:t xml:space="preserve">positioning </w:t>
      </w:r>
      <w:r>
        <w:rPr>
          <w:lang w:eastAsia="zh-CN"/>
        </w:rPr>
        <w:t>reference signal transmission and reception, can effectively reduce the cost from both UE and gNB.</w:t>
      </w:r>
    </w:p>
    <w:p w14:paraId="27068D6C" w14:textId="77777777" w:rsidR="00F30569" w:rsidRDefault="00F30569" w:rsidP="00F30569">
      <w:pPr>
        <w:keepNext/>
        <w:jc w:val="center"/>
      </w:pPr>
      <w:r w:rsidRPr="00F30569">
        <w:rPr>
          <w:noProof/>
          <w:lang w:eastAsia="zh-CN"/>
        </w:rPr>
        <w:lastRenderedPageBreak/>
        <mc:AlternateContent>
          <mc:Choice Requires="wpg">
            <w:drawing>
              <wp:inline distT="0" distB="0" distL="0" distR="0" wp14:anchorId="77AA2738" wp14:editId="5C566739">
                <wp:extent cx="6168448" cy="1515183"/>
                <wp:effectExtent l="0" t="0" r="60960" b="0"/>
                <wp:docPr id="2" name="组合 24"/>
                <wp:cNvGraphicFramePr/>
                <a:graphic xmlns:a="http://schemas.openxmlformats.org/drawingml/2006/main">
                  <a:graphicData uri="http://schemas.microsoft.com/office/word/2010/wordprocessingGroup">
                    <wpg:wgp>
                      <wpg:cNvGrpSpPr/>
                      <wpg:grpSpPr>
                        <a:xfrm>
                          <a:off x="0" y="0"/>
                          <a:ext cx="6168448" cy="1515183"/>
                          <a:chOff x="0" y="0"/>
                          <a:chExt cx="7107601" cy="1852403"/>
                        </a:xfrm>
                      </wpg:grpSpPr>
                      <wps:wsp>
                        <wps:cNvPr id="3" name="圆角矩形 3"/>
                        <wps:cNvSpPr/>
                        <wps:spPr>
                          <a:xfrm>
                            <a:off x="5567888" y="949653"/>
                            <a:ext cx="1330859" cy="579422"/>
                          </a:xfrm>
                          <a:prstGeom prst="roundRect">
                            <a:avLst/>
                          </a:prstGeom>
                          <a:noFill/>
                          <a:ln w="12700" cap="flat" cmpd="sng" algn="ctr">
                            <a:solidFill>
                              <a:srgbClr val="1D1D1A"/>
                            </a:solidFill>
                            <a:prstDash val="solid"/>
                            <a:miter lim="800000"/>
                          </a:ln>
                          <a:effectLst/>
                        </wps:spPr>
                        <wps:txbx>
                          <w:txbxContent>
                            <w:p w14:paraId="5EC19B1B" w14:textId="77777777" w:rsidR="00F30569" w:rsidRDefault="00F30569" w:rsidP="00F30569">
                              <w:pPr>
                                <w:pStyle w:val="af4"/>
                                <w:spacing w:before="0" w:beforeAutospacing="0" w:after="0" w:afterAutospacing="0"/>
                                <w:jc w:val="center"/>
                              </w:pPr>
                              <w:r>
                                <w:rPr>
                                  <w:rFonts w:ascii="Arial" w:eastAsia="黑体" w:hAnsi="Arial" w:cs="Arial"/>
                                  <w:color w:val="1D1D1A"/>
                                  <w:sz w:val="21"/>
                                  <w:szCs w:val="21"/>
                                </w:rPr>
                                <w:t>Target PCell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圆角矩形 4"/>
                        <wps:cNvSpPr/>
                        <wps:spPr>
                          <a:xfrm>
                            <a:off x="5567888" y="297803"/>
                            <a:ext cx="1330859" cy="579422"/>
                          </a:xfrm>
                          <a:prstGeom prst="roundRect">
                            <a:avLst/>
                          </a:prstGeom>
                          <a:noFill/>
                          <a:ln w="12700" cap="flat" cmpd="sng" algn="ctr">
                            <a:solidFill>
                              <a:srgbClr val="1D1D1A"/>
                            </a:solidFill>
                            <a:prstDash val="solid"/>
                            <a:miter lim="800000"/>
                          </a:ln>
                          <a:effectLst/>
                        </wps:spPr>
                        <wps:txbx>
                          <w:txbxContent>
                            <w:p w14:paraId="446838C5" w14:textId="28CB0A50" w:rsidR="00F30569" w:rsidRDefault="00F30569" w:rsidP="00F30569">
                              <w:pPr>
                                <w:pStyle w:val="af4"/>
                                <w:spacing w:before="0" w:beforeAutospacing="0" w:after="0" w:afterAutospacing="0"/>
                                <w:jc w:val="center"/>
                              </w:pPr>
                              <w:r>
                                <w:rPr>
                                  <w:rFonts w:ascii="Arial" w:eastAsia="黑体" w:hAnsi="Arial" w:cs="Arial"/>
                                  <w:color w:val="1D1D1A"/>
                                  <w:sz w:val="21"/>
                                  <w:szCs w:val="21"/>
                                </w:rPr>
                                <w:t>Positioning</w:t>
                              </w:r>
                              <w:r w:rsidR="00554D47">
                                <w:rPr>
                                  <w:rFonts w:ascii="Arial" w:eastAsia="黑体" w:hAnsi="Arial" w:cs="Arial"/>
                                  <w:color w:val="1D1D1A"/>
                                  <w:sz w:val="21"/>
                                  <w:szCs w:val="21"/>
                                </w:rPr>
                                <w:t xml:space="preserve"> </w:t>
                              </w:r>
                              <w:r>
                                <w:rPr>
                                  <w:rFonts w:ascii="Arial" w:eastAsia="黑体" w:hAnsi="Arial" w:cs="Arial"/>
                                  <w:color w:val="1D1D1A"/>
                                  <w:sz w:val="21"/>
                                  <w:szCs w:val="21"/>
                                </w:rPr>
                                <w:t xml:space="preserve">only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圆角矩形 5"/>
                        <wps:cNvSpPr/>
                        <wps:spPr>
                          <a:xfrm>
                            <a:off x="181067" y="949653"/>
                            <a:ext cx="1557198" cy="579422"/>
                          </a:xfrm>
                          <a:prstGeom prst="roundRect">
                            <a:avLst/>
                          </a:prstGeom>
                          <a:noFill/>
                          <a:ln w="12700" cap="flat" cmpd="sng" algn="ctr">
                            <a:solidFill>
                              <a:srgbClr val="1D1D1A"/>
                            </a:solidFill>
                            <a:prstDash val="solid"/>
                            <a:miter lim="800000"/>
                          </a:ln>
                          <a:effectLst/>
                        </wps:spPr>
                        <wps:txbx>
                          <w:txbxContent>
                            <w:p w14:paraId="6D56AEDC" w14:textId="77777777" w:rsidR="00F30569" w:rsidRDefault="00F30569" w:rsidP="00F30569">
                              <w:pPr>
                                <w:pStyle w:val="af4"/>
                                <w:spacing w:before="0" w:beforeAutospacing="0" w:after="0" w:afterAutospacing="0"/>
                                <w:jc w:val="center"/>
                              </w:pPr>
                              <w:r>
                                <w:rPr>
                                  <w:rFonts w:ascii="Arial" w:eastAsia="黑体" w:hAnsi="Arial" w:cs="Arial"/>
                                  <w:color w:val="1D1D1A"/>
                                  <w:sz w:val="18"/>
                                  <w:szCs w:val="18"/>
                                </w:rPr>
                                <w:t xml:space="preserve">Full functionality BB </w:t>
                              </w:r>
                              <w:r>
                                <w:rPr>
                                  <w:rFonts w:ascii="Arial" w:eastAsia="黑体" w:hAnsi="Arial" w:cs="Arial"/>
                                  <w:color w:val="1D1D1A"/>
                                  <w:sz w:val="12"/>
                                  <w:szCs w:val="12"/>
                                </w:rPr>
                                <w:t>(SSB+CSI-RS+PXCCH+PXSCH+SRS)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左大括号 6"/>
                        <wps:cNvSpPr/>
                        <wps:spPr>
                          <a:xfrm>
                            <a:off x="4608215" y="451713"/>
                            <a:ext cx="289711" cy="939518"/>
                          </a:xfrm>
                          <a:prstGeom prst="leftBrace">
                            <a:avLst>
                              <a:gd name="adj1" fmla="val 73639"/>
                              <a:gd name="adj2" fmla="val 50000"/>
                            </a:avLst>
                          </a:prstGeom>
                          <a:noFill/>
                          <a:ln w="6350" cap="flat" cmpd="sng" algn="ctr">
                            <a:solidFill>
                              <a:srgbClr val="C7000A"/>
                            </a:solidFill>
                            <a:prstDash val="solid"/>
                            <a:miter lim="800000"/>
                          </a:ln>
                          <a:effectLst/>
                        </wps:spPr>
                        <wps:bodyPr rtlCol="0" anchor="ctr"/>
                      </wps:wsp>
                      <wps:wsp>
                        <wps:cNvPr id="7" name="圆角矩形 7"/>
                        <wps:cNvSpPr/>
                        <wps:spPr>
                          <a:xfrm>
                            <a:off x="181067" y="297803"/>
                            <a:ext cx="1557198" cy="579422"/>
                          </a:xfrm>
                          <a:prstGeom prst="roundRect">
                            <a:avLst/>
                          </a:prstGeom>
                          <a:noFill/>
                          <a:ln w="12700" cap="flat" cmpd="sng" algn="ctr">
                            <a:solidFill>
                              <a:srgbClr val="1D1D1A"/>
                            </a:solidFill>
                            <a:prstDash val="solid"/>
                            <a:miter lim="800000"/>
                          </a:ln>
                          <a:effectLst/>
                        </wps:spPr>
                        <wps:txbx>
                          <w:txbxContent>
                            <w:p w14:paraId="317F3133" w14:textId="3B4DF2AD" w:rsidR="00F30569" w:rsidRDefault="00F30569" w:rsidP="00F30569">
                              <w:pPr>
                                <w:pStyle w:val="af4"/>
                                <w:spacing w:before="0" w:beforeAutospacing="0" w:after="0" w:afterAutospacing="0"/>
                                <w:jc w:val="center"/>
                              </w:pPr>
                              <w:r>
                                <w:rPr>
                                  <w:rFonts w:ascii="Arial" w:eastAsia="黑体" w:hAnsi="Arial" w:cs="Arial"/>
                                  <w:color w:val="1D1D1A"/>
                                  <w:sz w:val="18"/>
                                  <w:szCs w:val="18"/>
                                </w:rPr>
                                <w:t>Pos functionality BB</w:t>
                              </w:r>
                            </w:p>
                            <w:p w14:paraId="778F2DFE" w14:textId="3863B9FB" w:rsidR="00F30569" w:rsidRDefault="00F30569" w:rsidP="00F30569">
                              <w:pPr>
                                <w:pStyle w:val="af4"/>
                                <w:spacing w:before="0" w:beforeAutospacing="0" w:after="0" w:afterAutospacing="0"/>
                                <w:jc w:val="center"/>
                              </w:pPr>
                              <w:r>
                                <w:rPr>
                                  <w:rFonts w:ascii="Arial" w:eastAsia="黑体" w:hAnsi="Arial" w:cs="Arial"/>
                                  <w:color w:val="1D1D1A"/>
                                  <w:sz w:val="12"/>
                                  <w:szCs w:val="12"/>
                                </w:rPr>
                                <w:t>(PRS/SRS-only)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左右箭头标注 8"/>
                        <wps:cNvSpPr/>
                        <wps:spPr>
                          <a:xfrm>
                            <a:off x="2743105" y="305744"/>
                            <a:ext cx="1765351" cy="1222873"/>
                          </a:xfrm>
                          <a:prstGeom prst="leftRightArrowCallout">
                            <a:avLst/>
                          </a:prstGeom>
                          <a:gradFill rotWithShape="1">
                            <a:gsLst>
                              <a:gs pos="0">
                                <a:srgbClr val="F4A100">
                                  <a:lumMod val="110000"/>
                                  <a:satMod val="105000"/>
                                  <a:tint val="67000"/>
                                </a:srgbClr>
                              </a:gs>
                              <a:gs pos="50000">
                                <a:srgbClr val="F4A100">
                                  <a:lumMod val="105000"/>
                                  <a:satMod val="103000"/>
                                  <a:tint val="73000"/>
                                </a:srgbClr>
                              </a:gs>
                              <a:gs pos="100000">
                                <a:srgbClr val="F4A100">
                                  <a:lumMod val="105000"/>
                                  <a:satMod val="109000"/>
                                  <a:tint val="81000"/>
                                </a:srgbClr>
                              </a:gs>
                            </a:gsLst>
                            <a:lin ang="5400000" scaled="0"/>
                          </a:gradFill>
                          <a:ln w="6350" cap="flat" cmpd="sng" algn="ctr">
                            <a:solidFill>
                              <a:srgbClr val="F4A100"/>
                            </a:solidFill>
                            <a:prstDash val="solid"/>
                            <a:miter lim="800000"/>
                          </a:ln>
                          <a:effectLst/>
                        </wps:spPr>
                        <wps:txbx>
                          <w:txbxContent>
                            <w:p w14:paraId="4AE45984" w14:textId="77777777" w:rsidR="00F30569" w:rsidRDefault="00F30569" w:rsidP="00F30569">
                              <w:pPr>
                                <w:pStyle w:val="af4"/>
                                <w:spacing w:before="0" w:beforeAutospacing="0" w:after="0" w:afterAutospacing="0"/>
                                <w:jc w:val="center"/>
                              </w:pPr>
                              <w:r>
                                <w:rPr>
                                  <w:rFonts w:ascii="Arial" w:eastAsia="黑体" w:hAnsi="Arial" w:cs="Arial"/>
                                  <w:color w:val="1D1D1A"/>
                                  <w:sz w:val="20"/>
                                  <w:szCs w:val="20"/>
                                </w:rPr>
                                <w:t>Radio/RF capability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左大括号 9"/>
                        <wps:cNvSpPr/>
                        <wps:spPr>
                          <a:xfrm flipH="1">
                            <a:off x="2453499" y="472305"/>
                            <a:ext cx="289711" cy="898334"/>
                          </a:xfrm>
                          <a:prstGeom prst="leftBrace">
                            <a:avLst>
                              <a:gd name="adj1" fmla="val 73639"/>
                              <a:gd name="adj2" fmla="val 50000"/>
                            </a:avLst>
                          </a:prstGeom>
                          <a:noFill/>
                          <a:ln w="6350" cap="flat" cmpd="sng" algn="ctr">
                            <a:solidFill>
                              <a:srgbClr val="C7000A"/>
                            </a:solidFill>
                            <a:prstDash val="solid"/>
                            <a:miter lim="800000"/>
                          </a:ln>
                          <a:effectLst/>
                        </wps:spPr>
                        <wps:bodyPr rtlCol="0" anchor="ctr"/>
                      </wps:wsp>
                      <wps:wsp>
                        <wps:cNvPr id="10" name="右箭头 10"/>
                        <wps:cNvSpPr/>
                        <wps:spPr>
                          <a:xfrm flipH="1">
                            <a:off x="1883144" y="451712"/>
                            <a:ext cx="606570" cy="271604"/>
                          </a:xfrm>
                          <a:prstGeom prst="rightArrow">
                            <a:avLst/>
                          </a:prstGeom>
                          <a:solidFill>
                            <a:srgbClr val="FFC000"/>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 name="右箭头 11"/>
                        <wps:cNvSpPr/>
                        <wps:spPr>
                          <a:xfrm flipH="1">
                            <a:off x="1883144" y="1099034"/>
                            <a:ext cx="606570" cy="271604"/>
                          </a:xfrm>
                          <a:prstGeom prst="rightArrow">
                            <a:avLst/>
                          </a:prstGeom>
                          <a:solidFill>
                            <a:srgbClr val="FFC000"/>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 name="右箭头 12"/>
                        <wps:cNvSpPr/>
                        <wps:spPr>
                          <a:xfrm flipH="1">
                            <a:off x="4875305" y="451712"/>
                            <a:ext cx="606570" cy="271604"/>
                          </a:xfrm>
                          <a:prstGeom prst="rightArrow">
                            <a:avLst/>
                          </a:prstGeom>
                          <a:solidFill>
                            <a:srgbClr val="FFC000"/>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 name="右箭头 14"/>
                        <wps:cNvSpPr/>
                        <wps:spPr>
                          <a:xfrm flipH="1">
                            <a:off x="4875305" y="1099034"/>
                            <a:ext cx="606570" cy="271604"/>
                          </a:xfrm>
                          <a:prstGeom prst="rightArrow">
                            <a:avLst/>
                          </a:prstGeom>
                          <a:solidFill>
                            <a:srgbClr val="FFC000"/>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6" name="圆角矩形 16"/>
                        <wps:cNvSpPr/>
                        <wps:spPr>
                          <a:xfrm>
                            <a:off x="0" y="123090"/>
                            <a:ext cx="4608215" cy="1578001"/>
                          </a:xfrm>
                          <a:prstGeom prst="roundRect">
                            <a:avLst/>
                          </a:prstGeom>
                          <a:noFill/>
                          <a:ln w="12700" cap="flat" cmpd="sng" algn="ctr">
                            <a:solidFill>
                              <a:srgbClr val="FF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7" name="文本框 38"/>
                        <wps:cNvSpPr txBox="1"/>
                        <wps:spPr>
                          <a:xfrm>
                            <a:off x="5554301" y="0"/>
                            <a:ext cx="1507991" cy="290346"/>
                          </a:xfrm>
                          <a:prstGeom prst="rect">
                            <a:avLst/>
                          </a:prstGeom>
                          <a:noFill/>
                        </wps:spPr>
                        <wps:txbx>
                          <w:txbxContent>
                            <w:p w14:paraId="188014B2" w14:textId="23E69C61" w:rsidR="00F30569" w:rsidRPr="00576422" w:rsidRDefault="00F30569" w:rsidP="00F30569">
                              <w:pPr>
                                <w:pStyle w:val="af4"/>
                                <w:spacing w:before="0" w:beforeAutospacing="0" w:after="0" w:afterAutospacing="0"/>
                                <w:jc w:val="center"/>
                                <w:rPr>
                                  <w:sz w:val="20"/>
                                  <w:szCs w:val="20"/>
                                </w:rPr>
                              </w:pPr>
                              <w:r w:rsidRPr="00576422">
                                <w:rPr>
                                  <w:rFonts w:ascii="Arial" w:eastAsia="微软雅黑" w:hAnsi="Arial" w:cs="Arial"/>
                                  <w:color w:val="1D1D1A"/>
                                  <w:sz w:val="20"/>
                                  <w:szCs w:val="20"/>
                                </w:rPr>
                                <w:t>No data</w:t>
                              </w:r>
                            </w:p>
                          </w:txbxContent>
                        </wps:txbx>
                        <wps:bodyPr wrap="square" rtlCol="0">
                          <a:spAutoFit/>
                        </wps:bodyPr>
                      </wps:wsp>
                      <wps:wsp>
                        <wps:cNvPr id="18" name="文本框 39"/>
                        <wps:cNvSpPr txBox="1"/>
                        <wps:spPr>
                          <a:xfrm>
                            <a:off x="5359619" y="1562057"/>
                            <a:ext cx="1747982" cy="290346"/>
                          </a:xfrm>
                          <a:prstGeom prst="rect">
                            <a:avLst/>
                          </a:prstGeom>
                          <a:noFill/>
                        </wps:spPr>
                        <wps:txbx>
                          <w:txbxContent>
                            <w:p w14:paraId="04A6B394" w14:textId="0AB62559" w:rsidR="00F30569" w:rsidRPr="00576422" w:rsidRDefault="00F30569" w:rsidP="00F30569">
                              <w:pPr>
                                <w:pStyle w:val="af4"/>
                                <w:spacing w:before="0" w:beforeAutospacing="0" w:after="0" w:afterAutospacing="0"/>
                                <w:jc w:val="center"/>
                                <w:rPr>
                                  <w:sz w:val="20"/>
                                  <w:szCs w:val="20"/>
                                </w:rPr>
                              </w:pPr>
                              <w:r w:rsidRPr="00576422">
                                <w:rPr>
                                  <w:rFonts w:ascii="Arial" w:eastAsia="微软雅黑" w:hAnsi="Arial" w:cs="Arial"/>
                                  <w:color w:val="1D1D1A"/>
                                  <w:sz w:val="20"/>
                                  <w:szCs w:val="20"/>
                                </w:rPr>
                                <w:t>With data</w:t>
                              </w:r>
                            </w:p>
                          </w:txbxContent>
                        </wps:txbx>
                        <wps:bodyPr wrap="square" rtlCol="0">
                          <a:spAutoFit/>
                        </wps:bodyPr>
                      </wps:wsp>
                      <wps:wsp>
                        <wps:cNvPr id="19" name="直接箭头连接符 19"/>
                        <wps:cNvCnPr/>
                        <wps:spPr>
                          <a:xfrm>
                            <a:off x="7061714" y="337523"/>
                            <a:ext cx="0" cy="499982"/>
                          </a:xfrm>
                          <a:prstGeom prst="straightConnector1">
                            <a:avLst/>
                          </a:prstGeom>
                          <a:noFill/>
                          <a:ln w="6350" cap="flat" cmpd="sng" algn="ctr">
                            <a:solidFill>
                              <a:srgbClr val="C7000A"/>
                            </a:solidFill>
                            <a:prstDash val="solid"/>
                            <a:miter lim="800000"/>
                            <a:headEnd type="triangle"/>
                            <a:tailEnd type="triangle"/>
                          </a:ln>
                          <a:effectLst/>
                        </wps:spPr>
                        <wps:bodyPr/>
                      </wps:wsp>
                      <wps:wsp>
                        <wps:cNvPr id="20" name="直接箭头连接符 20"/>
                        <wps:cNvCnPr/>
                        <wps:spPr>
                          <a:xfrm>
                            <a:off x="7061714" y="984845"/>
                            <a:ext cx="0" cy="499982"/>
                          </a:xfrm>
                          <a:prstGeom prst="straightConnector1">
                            <a:avLst/>
                          </a:prstGeom>
                          <a:noFill/>
                          <a:ln w="6350" cap="flat" cmpd="sng" algn="ctr">
                            <a:solidFill>
                              <a:srgbClr val="C7000A"/>
                            </a:solidFill>
                            <a:prstDash val="solid"/>
                            <a:miter lim="800000"/>
                            <a:headEnd type="triangle"/>
                            <a:tailEnd type="triangle"/>
                          </a:ln>
                          <a:effectLst/>
                        </wps:spPr>
                        <wps:bodyPr/>
                      </wps:wsp>
                    </wpg:wg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7AA2738" id="组合 24" o:spid="_x0000_s1026" style="width:485.7pt;height:119.3pt;mso-position-horizontal-relative:char;mso-position-vertical-relative:line" coordsize="71076,18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">
                <v:roundrect id="圆角矩形 3" o:spid="_x0000_s1027" style="position:absolute;left:55678;top:9496;width:13309;height:579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JlGcYA&#10;AADaAAAADwAAAGRycy9kb3ducmV2LnhtbESPzWvCQBTE7wX/h+UJvdWNFapEVyliW6l68ONgb6/Z&#10;1ySYfRuy23z0r3cLgsdhZn7DzBatKURNlcstKxgOIhDEidU5pwpOx7enCQjnkTUWlklBRw4W897D&#10;DGNtG95TffCpCBB2MSrIvC9jKV2SkUE3sCVx8H5sZdAHWaVSV9gEuCnkcxS9SIM5h4UMS1pmlFwO&#10;v0bBl2zd37lYfe4+6tH4+73bNt1motRjv32dgvDU+nv41l5rBSP4vxJugJx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AJlGcYAAADaAAAADwAAAAAAAAAAAAAAAACYAgAAZHJz&#10;L2Rvd25yZXYueG1sUEsFBgAAAAAEAAQA9QAAAIsDAAAAAA==&#10;" filled="f" strokecolor="#1d1d1a" strokeweight="1pt">
                  <v:stroke joinstyle="miter"/>
                  <v:textbox>
                    <w:txbxContent>
                      <w:p w14:paraId="5EC19B1B" w14:textId="77777777" w:rsidR="00F30569" w:rsidRDefault="00F30569" w:rsidP="00F30569">
                        <w:pPr>
                          <w:pStyle w:val="NormalWeb"/>
                          <w:spacing w:before="0" w:beforeAutospacing="0" w:after="0" w:afterAutospacing="0"/>
                          <w:jc w:val="center"/>
                        </w:pPr>
                        <w:r>
                          <w:rPr>
                            <w:rFonts w:ascii="Arial" w:eastAsia="黑体" w:hAnsi="Arial" w:cs="Arial"/>
                            <w:color w:val="1D1D1A"/>
                            <w:sz w:val="21"/>
                            <w:szCs w:val="21"/>
                          </w:rPr>
                          <w:t>Target PCell</w:t>
                        </w:r>
                      </w:p>
                    </w:txbxContent>
                  </v:textbox>
                </v:roundrect>
                <v:roundrect id="圆角矩形 4" o:spid="_x0000_s1028" style="position:absolute;left:55678;top:2978;width:13309;height:579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9bcYA&#10;AADaAAAADwAAAGRycy9kb3ducmV2LnhtbESPT0vDQBTE74LfYXkFb3ZTlVrSbIuI/7B6aOrB3l6z&#10;r0kw+zZk12Tjp3eFgsdhZn7DZOtgGtFT52rLCmbTBARxYXXNpYKP3ePlAoTzyBoby6RgJAfr1flZ&#10;hqm2A2+pz30pIoRdigoq79tUSldUZNBNbUscvaPtDPoou1LqDocIN428SpK5NFhzXKiwpfuKiq/8&#10;2yjYy+B+PpuH1/fn/vr28DS+DeNmodTFJNwtQXgK/j98ar9oBTfwdyXeALn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v9bcYAAADaAAAADwAAAAAAAAAAAAAAAACYAgAAZHJz&#10;L2Rvd25yZXYueG1sUEsFBgAAAAAEAAQA9QAAAIsDAAAAAA==&#10;" filled="f" strokecolor="#1d1d1a" strokeweight="1pt">
                  <v:stroke joinstyle="miter"/>
                  <v:textbox>
                    <w:txbxContent>
                      <w:p w14:paraId="446838C5" w14:textId="28CB0A50" w:rsidR="00F30569" w:rsidRDefault="00F30569" w:rsidP="00F30569">
                        <w:pPr>
                          <w:pStyle w:val="NormalWeb"/>
                          <w:spacing w:before="0" w:beforeAutospacing="0" w:after="0" w:afterAutospacing="0"/>
                          <w:jc w:val="center"/>
                        </w:pPr>
                        <w:r>
                          <w:rPr>
                            <w:rFonts w:ascii="Arial" w:eastAsia="黑体" w:hAnsi="Arial" w:cs="Arial"/>
                            <w:color w:val="1D1D1A"/>
                            <w:sz w:val="21"/>
                            <w:szCs w:val="21"/>
                          </w:rPr>
                          <w:t>Positioning</w:t>
                        </w:r>
                        <w:r w:rsidR="00554D47">
                          <w:rPr>
                            <w:rFonts w:ascii="Arial" w:eastAsia="黑体" w:hAnsi="Arial" w:cs="Arial"/>
                            <w:color w:val="1D1D1A"/>
                            <w:sz w:val="21"/>
                            <w:szCs w:val="21"/>
                          </w:rPr>
                          <w:t xml:space="preserve"> </w:t>
                        </w:r>
                        <w:r>
                          <w:rPr>
                            <w:rFonts w:ascii="Arial" w:eastAsia="黑体" w:hAnsi="Arial" w:cs="Arial"/>
                            <w:color w:val="1D1D1A"/>
                            <w:sz w:val="21"/>
                            <w:szCs w:val="21"/>
                          </w:rPr>
                          <w:t xml:space="preserve">only </w:t>
                        </w:r>
                      </w:p>
                    </w:txbxContent>
                  </v:textbox>
                </v:roundrect>
                <v:roundrect id="圆角矩形 5" o:spid="_x0000_s1029" style="position:absolute;left:1810;top:9496;width:15572;height:579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dY9sYA&#10;AADaAAAADwAAAGRycy9kb3ducmV2LnhtbESPT0vDQBTE74LfYXkFb3ZTxVrSbIuI/7B6aOrB3l6z&#10;r0kw+zZk12Tjp3eFgsdhZn7DZOtgGtFT52rLCmbTBARxYXXNpYKP3ePlAoTzyBoby6RgJAfr1flZ&#10;hqm2A2+pz30pIoRdigoq79tUSldUZNBNbUscvaPtDPoou1LqDocIN428SpK5NFhzXKiwpfuKiq/8&#10;2yjYy+B+PpuH1/fn/vr28DS+DeNmodTFJNwtQXgK/j98ar9oBTfwdyXeALn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KdY9sYAAADaAAAADwAAAAAAAAAAAAAAAACYAgAAZHJz&#10;L2Rvd25yZXYueG1sUEsFBgAAAAAEAAQA9QAAAIsDAAAAAA==&#10;" filled="f" strokecolor="#1d1d1a" strokeweight="1pt">
                  <v:stroke joinstyle="miter"/>
                  <v:textbox>
                    <w:txbxContent>
                      <w:p w14:paraId="6D56AEDC" w14:textId="77777777" w:rsidR="00F30569" w:rsidRDefault="00F30569" w:rsidP="00F30569">
                        <w:pPr>
                          <w:pStyle w:val="NormalWeb"/>
                          <w:spacing w:before="0" w:beforeAutospacing="0" w:after="0" w:afterAutospacing="0"/>
                          <w:jc w:val="center"/>
                        </w:pPr>
                        <w:r>
                          <w:rPr>
                            <w:rFonts w:ascii="Arial" w:eastAsia="黑体" w:hAnsi="Arial" w:cs="Arial"/>
                            <w:color w:val="1D1D1A"/>
                            <w:sz w:val="18"/>
                            <w:szCs w:val="18"/>
                          </w:rPr>
                          <w:t xml:space="preserve">Full functionality BB </w:t>
                        </w:r>
                        <w:r>
                          <w:rPr>
                            <w:rFonts w:ascii="Arial" w:eastAsia="黑体" w:hAnsi="Arial" w:cs="Arial"/>
                            <w:color w:val="1D1D1A"/>
                            <w:sz w:val="12"/>
                            <w:szCs w:val="12"/>
                          </w:rPr>
                          <w:t>(SSB+CSI-RS+PXCCH+PXSCH+SRS)</w:t>
                        </w:r>
                      </w:p>
                    </w:txbxContent>
                  </v:textbox>
                </v:round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6" o:spid="_x0000_s1030" type="#_x0000_t87" style="position:absolute;left:46082;top:4517;width:2897;height:93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VgCcMA&#10;AADaAAAADwAAAGRycy9kb3ducmV2LnhtbESPwWrDMBBE74X+g9hALyWW24MxjpUQAqaFnuy2h94W&#10;a2M5sVbGUhP776NAocdhZt4w5W62g7jQ5HvHCl6SFARx63TPnYKvz2qdg/ABWePgmBQs5GG3fXwo&#10;sdDuyjVdmtCJCGFfoAITwlhI6VtDFn3iRuLoHd1kMUQ5dVJPeI1wO8jXNM2kxZ7jgsGRDobac/Nr&#10;FZwykw95k7u3ql7sT1c9u+8PUuppNe83IALN4T/8137XCjK4X4k3QG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LVgCcMAAADaAAAADwAAAAAAAAAAAAAAAACYAgAAZHJzL2Rv&#10;d25yZXYueG1sUEsFBgAAAAAEAAQA9QAAAIgDAAAAAA==&#10;" adj="4905" strokecolor="#c7000a" strokeweight=".5pt">
                  <v:stroke joinstyle="miter"/>
                </v:shape>
                <v:roundrect id="圆角矩形 7" o:spid="_x0000_s1031" style="position:absolute;left:1810;top:2978;width:15572;height:579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ljGsYA&#10;AADaAAAADwAAAGRycy9kb3ducmV2LnhtbESPzWvCQBTE74X+D8sTvNWNLVRJXUXE1uLHoeqh3p7Z&#10;ZxKafRuy23z413cFocdhZn7DTGatKURNlcstKxgOIhDEidU5pwqOh/enMQjnkTUWlklBRw5m08eH&#10;CcbaNvxF9d6nIkDYxagg876MpXRJRgbdwJbEwbvYyqAPskqlrrAJcFPI5yh6lQZzDgsZlrTIKPnZ&#10;/xoFJ9m663exXO9W9cvo/NFtm24zVqrfa+dvIDy1/j98b39qBSO4XQk3QE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zljGsYAAADaAAAADwAAAAAAAAAAAAAAAACYAgAAZHJz&#10;L2Rvd25yZXYueG1sUEsFBgAAAAAEAAQA9QAAAIsDAAAAAA==&#10;" filled="f" strokecolor="#1d1d1a" strokeweight="1pt">
                  <v:stroke joinstyle="miter"/>
                  <v:textbox>
                    <w:txbxContent>
                      <w:p w14:paraId="317F3133" w14:textId="3B4DF2AD" w:rsidR="00F30569" w:rsidRDefault="00F30569" w:rsidP="00F30569">
                        <w:pPr>
                          <w:pStyle w:val="NormalWeb"/>
                          <w:spacing w:before="0" w:beforeAutospacing="0" w:after="0" w:afterAutospacing="0"/>
                          <w:jc w:val="center"/>
                        </w:pPr>
                        <w:r>
                          <w:rPr>
                            <w:rFonts w:ascii="Arial" w:eastAsia="黑体" w:hAnsi="Arial" w:cs="Arial"/>
                            <w:color w:val="1D1D1A"/>
                            <w:sz w:val="18"/>
                            <w:szCs w:val="18"/>
                          </w:rPr>
                          <w:t>Pos functionality BB</w:t>
                        </w:r>
                      </w:p>
                      <w:p w14:paraId="778F2DFE" w14:textId="3863B9FB" w:rsidR="00F30569" w:rsidRDefault="00F30569" w:rsidP="00F30569">
                        <w:pPr>
                          <w:pStyle w:val="NormalWeb"/>
                          <w:spacing w:before="0" w:beforeAutospacing="0" w:after="0" w:afterAutospacing="0"/>
                          <w:jc w:val="center"/>
                        </w:pPr>
                        <w:r>
                          <w:rPr>
                            <w:rFonts w:ascii="Arial" w:eastAsia="黑体" w:hAnsi="Arial" w:cs="Arial"/>
                            <w:color w:val="1D1D1A"/>
                            <w:sz w:val="12"/>
                            <w:szCs w:val="12"/>
                          </w:rPr>
                          <w:t>(PRS/SRS-only)</w:t>
                        </w:r>
                      </w:p>
                    </w:txbxContent>
                  </v:textbox>
                </v:roundrect>
                <v:shapetype id="_x0000_t81" coordsize="21600,21600" o:spt="81" adj="5400,5400,2700,8100" path="m@0,l@0@3@2@3@2@1,,10800@2@4@2@5@0@5@0,21600@8,21600@8@5@9@5@9@4,21600,10800@9@1@9@3@8@3@8,xe">
                  <v:stroke joinstyle="miter"/>
                  <v:formulas>
                    <v:f eqn="val #0"/>
                    <v:f eqn="val #1"/>
                    <v:f eqn="val #2"/>
                    <v:f eqn="val #3"/>
                    <v:f eqn="sum 21600 0 #1"/>
                    <v:f eqn="sum 21600 0 #3"/>
                    <v:f eqn="sum #0 21600 0"/>
                    <v:f eqn="prod @6 1 2"/>
                    <v:f eqn="sum 21600 0 #0"/>
                    <v:f eqn="sum 21600 0 #2"/>
                  </v:formulas>
                  <v:path o:connecttype="custom" o:connectlocs="10800,0;0,10800;10800,21600;21600,10800" o:connectangles="270,180,90,0" textboxrect="@0,0,@8,21600"/>
                  <v:handles>
                    <v:h position="#0,topLeft" xrange="@2,10800"/>
                    <v:h position="topLeft,#1" yrange="0,@3"/>
                    <v:h position="#2,#3" xrange="0,@0" yrange="@1,10800"/>
                  </v:handles>
                </v:shapetype>
                <v:shape id="左右箭头标注 8" o:spid="_x0000_s1032" type="#_x0000_t81" style="position:absolute;left:27431;top:3057;width:17653;height:122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KVfb8A&#10;AADaAAAADwAAAGRycy9kb3ducmV2LnhtbERPy4rCMBTdC/5DuIIb0VRhBqmmRURBGDc+ELq7Nte2&#10;2NyUJtrO35vFwCwP571Oe1OLN7WusqxgPotAEOdWV1wouF720yUI55E11pZJwS85SJPhYI2xth2f&#10;6H32hQgh7GJUUHrfxFK6vCSDbmYb4sA9bGvQB9gWUrfYhXBTy0UUfUuDFYeGEhvalpQ/zy+jINtd&#10;blk2OZ66ny/rqnoeObzvlBqP+s0KhKfe/4v/3AetIGwNV8INkM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gpV9vwAAANoAAAAPAAAAAAAAAAAAAAAAAJgCAABkcnMvZG93bnJl&#10;di54bWxQSwUGAAAAAAQABAD1AAAAhAMAAAAA&#10;" adj="5603,,3741" fillcolor="#ffce9c" strokecolor="#f4a100" strokeweight=".5pt">
                  <v:fill color2="#ffc079" rotate="t" colors="0 #ffce9c;.5 #ffc68e;1 #ffc079" focus="100%" type="gradient">
                    <o:fill v:ext="view" type="gradientUnscaled"/>
                  </v:fill>
                  <v:textbox>
                    <w:txbxContent>
                      <w:p w14:paraId="4AE45984" w14:textId="77777777" w:rsidR="00F30569" w:rsidRDefault="00F30569" w:rsidP="00F30569">
                        <w:pPr>
                          <w:pStyle w:val="NormalWeb"/>
                          <w:spacing w:before="0" w:beforeAutospacing="0" w:after="0" w:afterAutospacing="0"/>
                          <w:jc w:val="center"/>
                        </w:pPr>
                        <w:r>
                          <w:rPr>
                            <w:rFonts w:ascii="Arial" w:eastAsia="黑体" w:hAnsi="Arial" w:cs="Arial"/>
                            <w:color w:val="1D1D1A"/>
                            <w:sz w:val="20"/>
                            <w:szCs w:val="20"/>
                          </w:rPr>
                          <w:t>Radio/RF capability</w:t>
                        </w:r>
                      </w:p>
                    </w:txbxContent>
                  </v:textbox>
                </v:shape>
                <v:shape id="左大括号 9" o:spid="_x0000_s1033" type="#_x0000_t87" style="position:absolute;left:24534;top:4723;width:2898;height:8983;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T8lcQA&#10;AADaAAAADwAAAGRycy9kb3ducmV2LnhtbESPQWvCQBSE70L/w/IKvZlNPIiNrqEtiNaLxLbg8ZF9&#10;TdJm3y7ZNcZ/7wqFHoeZ+YZZFaPpxEC9by0ryJIUBHFldcu1gs+PzXQBwgdkjZ1lUnAlD8X6YbLC&#10;XNsLlzQcQy0ihH2OCpoQXC6lrxoy6BPriKP3bXuDIcq+lrrHS4SbTs7SdC4NthwXGnT01lD1ezwb&#10;Badh635qPdP798NhV5avi6/MVUo9PY4vSxCBxvAf/mvvtIJnuF+JN0C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E/JXEAAAA2gAAAA8AAAAAAAAAAAAAAAAAmAIAAGRycy9k&#10;b3ducmV2LnhtbFBLBQYAAAAABAAEAPUAAACJAwAAAAA=&#10;" adj="5130" strokecolor="#c7000a" strokeweight=".5pt">
                  <v:stroke joinstyle="miter"/>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10" o:spid="_x0000_s1034" type="#_x0000_t13" style="position:absolute;left:18831;top:4517;width:6066;height:2716;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uUHsQA&#10;AADbAAAADwAAAGRycy9kb3ducmV2LnhtbESPQWvCQBCF74L/YRnBi9SNHqKkrlIEob2UVi30OGSn&#10;STA7G7Krm/rrO4eCtxnem/e+2ewG16ob9aHxbGAxz0ARl942XBk4nw5Pa1AhIltsPZOBXwqw245H&#10;GyysT/xJt2OslIRwKNBAHWNXaB3KmhyGue+IRfvxvcMoa19p22OScNfqZZbl2mHD0lBjR/uaysvx&#10;6gyklH998Psbruzs+7rXfM/T5W7MdDK8PIOKNMSH+f/61Qq+0MsvMoDe/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7lB7EAAAA2wAAAA8AAAAAAAAAAAAAAAAAmAIAAGRycy9k&#10;b3ducmV2LnhtbFBLBQYAAAAABAAEAPUAAACJAwAAAAA=&#10;" adj="16764" fillcolor="#ffc000" stroked="f" strokeweight="1pt"/>
                <v:shape id="右箭头 11" o:spid="_x0000_s1035" type="#_x0000_t13" style="position:absolute;left:18831;top:10990;width:6066;height:2716;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cxhcEA&#10;AADbAAAADwAAAGRycy9kb3ducmV2LnhtbERPS4vCMBC+C/sfwix4EU31UJdqFBEW1ov42IU9Ds3Y&#10;FptJaaKp/nojCN7m43vOfNmZWlypdZVlBeNRAoI4t7riQsHv8Xv4BcJ5ZI21ZVJwIwfLxUdvjpm2&#10;gfd0PfhCxBB2GSoovW8yKV1ekkE3sg1x5E62NegjbAupWwwx3NRykiSpNFhxbCixoXVJ+flwMQpC&#10;SP92vN3gVA/+L2vJ9zSc70r1P7vVDISnzr/FL/ePjvPH8PwlHi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k3MYXBAAAA2wAAAA8AAAAAAAAAAAAAAAAAmAIAAGRycy9kb3du&#10;cmV2LnhtbFBLBQYAAAAABAAEAPUAAACGAwAAAAA=&#10;" adj="16764" fillcolor="#ffc000" stroked="f" strokeweight="1pt"/>
                <v:shape id="右箭头 12" o:spid="_x0000_s1036" type="#_x0000_t13" style="position:absolute;left:48753;top:4517;width:6065;height:2716;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Wv8sEA&#10;AADbAAAADwAAAGRycy9kb3ducmV2LnhtbERPS4vCMBC+C/sfwix4EU3XQ12qUURY0Iv42IU9Ds3Y&#10;FptJaaKp/nojCN7m43vObNGZWlypdZVlBV+jBARxbnXFhYLf48/wG4TzyBpry6TgRg4W84/eDDNt&#10;A+/pevCFiCHsMlRQet9kUrq8JINuZBviyJ1sa9BH2BZStxhiuKnlOElSabDi2FBiQ6uS8vPhYhSE&#10;kP7teLvBiR78X1aS72k435Xqf3bLKQhPnX+LX+61jvPH8PwlHiD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lr/LBAAAA2wAAAA8AAAAAAAAAAAAAAAAAmAIAAGRycy9kb3du&#10;cmV2LnhtbFBLBQYAAAAABAAEAPUAAACGAwAAAAA=&#10;" adj="16764" fillcolor="#ffc000" stroked="f" strokeweight="1pt"/>
                <v:shape id="右箭头 14" o:spid="_x0000_s1037" type="#_x0000_t13" style="position:absolute;left:48753;top:10990;width:6065;height:2716;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CSHcEA&#10;AADbAAAADwAAAGRycy9kb3ducmV2LnhtbERPTYvCMBC9C/sfwgheRFNFutI1yiIIehHX3YU9Ds3Y&#10;FptJaaKp/nojLHibx/ucxaoztbhS6yrLCibjBARxbnXFhYKf781oDsJ5ZI21ZVJwIwer5VtvgZm2&#10;gb/oevSFiCHsMlRQet9kUrq8JINubBviyJ1sa9BH2BZStxhiuKnlNElSabDi2FBiQ+uS8vPxYhSE&#10;kP4eeL/Ddz38u6wl39Nwvis16HefHyA8df4l/ndvdZw/g+cv8QC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Akh3BAAAA2wAAAA8AAAAAAAAAAAAAAAAAmAIAAGRycy9kb3du&#10;cmV2LnhtbFBLBQYAAAAABAAEAPUAAACGAwAAAAA=&#10;" adj="16764" fillcolor="#ffc000" stroked="f" strokeweight="1pt"/>
                <v:roundrect id="圆角矩形 16" o:spid="_x0000_s1038" style="position:absolute;top:1230;width:46082;height:157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0c/L0A&#10;AADbAAAADwAAAGRycy9kb3ducmV2LnhtbERPyQrCMBC9C/5DGMGbpi4UqUZxQRG8uH3A0IxtsZmU&#10;Jmr9eyMI3ubx1pktGlOKJ9WusKxg0I9AEKdWF5wpuF62vQkI55E1lpZJwZscLObt1gwTbV98oufZ&#10;ZyKEsEtQQe59lUjp0pwMur6tiAN3s7VBH2CdSV3jK4SbUg6jKJYGCw4NOVa0zim9nx9GwXG/GoxH&#10;6VZviiYeXXeHVcXjk1LdTrOcgvDU+L/4597rMD+G7y/hADn/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lS0c/L0AAADbAAAADwAAAAAAAAAAAAAAAACYAgAAZHJzL2Rvd25yZXYu&#10;eG1sUEsFBgAAAAAEAAQA9QAAAIIDAAAAAA==&#10;" filled="f" strokecolor="red" strokeweight="1pt">
                  <v:stroke joinstyle="miter"/>
                </v:roundrect>
                <v:shapetype id="_x0000_t202" coordsize="21600,21600" o:spt="202" path="m,l,21600r21600,l21600,xe">
                  <v:stroke joinstyle="miter"/>
                  <v:path gradientshapeok="t" o:connecttype="rect"/>
                </v:shapetype>
                <v:shape id="文本框 38" o:spid="_x0000_s1039" type="#_x0000_t202" style="position:absolute;left:55543;width:15079;height:29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r/TL8A&#10;AADbAAAADwAAAGRycy9kb3ducmV2LnhtbERPS2vCQBC+F/wPywje6saCbYmuIj7AQy+18T5kx2ww&#10;OxuyUxP/vSsUepuP7znL9eAbdaMu1oENzKYZKOIy2JorA8XP4fUTVBRki01gMnCnCOvV6GWJuQ09&#10;f9PtJJVKIRxzNOBE2lzrWDryGKehJU7cJXQeJcGu0rbDPoX7Rr9l2bv2WHNqcNjS1lF5Pf16AyJ2&#10;M7sXex+P5+Fr17usnGNhzGQ8bBaghAb5F/+5jzbN/4D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av9MvwAAANsAAAAPAAAAAAAAAAAAAAAAAJgCAABkcnMvZG93bnJl&#10;di54bWxQSwUGAAAAAAQABAD1AAAAhAMAAAAA&#10;" filled="f" stroked="f">
                  <v:textbox style="mso-fit-shape-to-text:t">
                    <w:txbxContent>
                      <w:p w14:paraId="188014B2" w14:textId="23E69C61" w:rsidR="00F30569" w:rsidRPr="00576422" w:rsidRDefault="00F30569" w:rsidP="00F30569">
                        <w:pPr>
                          <w:pStyle w:val="NormalWeb"/>
                          <w:spacing w:before="0" w:beforeAutospacing="0" w:after="0" w:afterAutospacing="0"/>
                          <w:jc w:val="center"/>
                          <w:rPr>
                            <w:sz w:val="20"/>
                            <w:szCs w:val="20"/>
                          </w:rPr>
                        </w:pPr>
                        <w:r w:rsidRPr="00576422">
                          <w:rPr>
                            <w:rFonts w:ascii="Arial" w:eastAsia="微软雅黑" w:hAnsi="Arial" w:cs="Arial"/>
                            <w:color w:val="1D1D1A"/>
                            <w:sz w:val="20"/>
                            <w:szCs w:val="20"/>
                          </w:rPr>
                          <w:t>No data</w:t>
                        </w:r>
                      </w:p>
                    </w:txbxContent>
                  </v:textbox>
                </v:shape>
                <v:shape id="文本框 39" o:spid="_x0000_s1040" type="#_x0000_t202" style="position:absolute;left:53596;top:15620;width:17480;height:29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rPsIA&#10;AADbAAAADwAAAGRycy9kb3ducmV2LnhtbESPQWvDMAyF74P9B6PCbqvTwcrI6pbSddDDLu2yu4jV&#10;ODSWQ6w26b+fDoPdJN7Te59Wmyl25kZDbhM7WMwLMMR18i03Dqrvz+c3MFmQPXaJycGdMmzWjw8r&#10;LH0a+Ui3kzRGQziX6CCI9KW1uQ4UMc9TT6zaOQ0RRdehsX7AUcNjZ1+KYmkjtqwNAXvaBaovp2t0&#10;IOK3i3u1j/nwM319jKGoX7Fy7mk2bd/BCE3yb/67PnjFV1j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9Ws+wgAAANsAAAAPAAAAAAAAAAAAAAAAAJgCAABkcnMvZG93&#10;bnJldi54bWxQSwUGAAAAAAQABAD1AAAAhwMAAAAA&#10;" filled="f" stroked="f">
                  <v:textbox style="mso-fit-shape-to-text:t">
                    <w:txbxContent>
                      <w:p w14:paraId="04A6B394" w14:textId="0AB62559" w:rsidR="00F30569" w:rsidRPr="00576422" w:rsidRDefault="00F30569" w:rsidP="00F30569">
                        <w:pPr>
                          <w:pStyle w:val="NormalWeb"/>
                          <w:spacing w:before="0" w:beforeAutospacing="0" w:after="0" w:afterAutospacing="0"/>
                          <w:jc w:val="center"/>
                          <w:rPr>
                            <w:sz w:val="20"/>
                            <w:szCs w:val="20"/>
                          </w:rPr>
                        </w:pPr>
                        <w:r w:rsidRPr="00576422">
                          <w:rPr>
                            <w:rFonts w:ascii="Arial" w:eastAsia="微软雅黑" w:hAnsi="Arial" w:cs="Arial"/>
                            <w:color w:val="1D1D1A"/>
                            <w:sz w:val="20"/>
                            <w:szCs w:val="20"/>
                          </w:rPr>
                          <w:t>With data</w:t>
                        </w:r>
                      </w:p>
                    </w:txbxContent>
                  </v:textbox>
                </v:shape>
                <v:shapetype id="_x0000_t32" coordsize="21600,21600" o:spt="32" o:oned="t" path="m,l21600,21600e" filled="f">
                  <v:path arrowok="t" fillok="f" o:connecttype="none"/>
                  <o:lock v:ext="edit" shapetype="t"/>
                </v:shapetype>
                <v:shape id="直接箭头连接符 19" o:spid="_x0000_s1041" type="#_x0000_t32" style="position:absolute;left:70617;top:3375;width:0;height:50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NJtMAAAADbAAAADwAAAGRycy9kb3ducmV2LnhtbERPTYvCMBC9L/gfwgje1lQPsnaNokLF&#10;gyDaInscmtm222ZSmqj1328Ewds83ucsVr1pxI06V1lWMBlHIIhzqysuFGRp8vkFwnlkjY1lUvAg&#10;B6vl4GOBsbZ3PtHt7AsRQtjFqKD0vo2ldHlJBt3YtsSB+7WdQR9gV0jd4T2Em0ZOo2gmDVYcGkps&#10;aVtSXp+vRkH0dzz+NJQxc1Kn1SG7FKfNTqnRsF9/g/DU+7f45d7rMH8Oz1/CAXL5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yTSbTAAAAA2wAAAA8AAAAAAAAAAAAAAAAA&#10;oQIAAGRycy9kb3ducmV2LnhtbFBLBQYAAAAABAAEAPkAAACOAwAAAAA=&#10;" strokecolor="#c7000a" strokeweight=".5pt">
                  <v:stroke startarrow="block" endarrow="block" joinstyle="miter"/>
                </v:shape>
                <v:shape id="直接箭头连接符 20" o:spid="_x0000_s1042" type="#_x0000_t32" style="position:absolute;left:70617;top:9848;width:0;height:50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8UqlLwAAADbAAAADwAAAGRycy9kb3ducmV2LnhtbERPvQrCMBDeBd8hnOCmqQ4itVFUUBwE&#10;UYs4Hs3ZVptLaaLWtzeD4Pjx/SeL1lTiRY0rLSsYDSMQxJnVJecK0vNmMAXhPLLGyjIp+JCDxbzb&#10;STDW9s1Hep18LkIIuxgVFN7XsZQuK8igG9qaOHA32xj0ATa51A2+Q7ip5DiKJtJgyaGhwJrWBWWP&#10;09MoiO6Hw7WilJk3j3O5Ty/5cbVVqt9rlzMQnlr/F//cO61gHNaHL+EHyPk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08UqlLwAAADbAAAADwAAAAAAAAAAAAAAAAChAgAA&#10;ZHJzL2Rvd25yZXYueG1sUEsFBgAAAAAEAAQA+QAAAIoDAAAAAA==&#10;" strokecolor="#c7000a" strokeweight=".5pt">
                  <v:stroke startarrow="block" endarrow="block" joinstyle="miter"/>
                </v:shape>
                <w10:anchorlock/>
              </v:group>
            </w:pict>
          </mc:Fallback>
        </mc:AlternateContent>
      </w:r>
    </w:p>
    <w:p w14:paraId="01A95015" w14:textId="11252F43" w:rsidR="00F30569" w:rsidRDefault="00F30569" w:rsidP="00F30569">
      <w:pPr>
        <w:pStyle w:val="a5"/>
        <w:rPr>
          <w:lang w:eastAsia="zh-CN"/>
        </w:rPr>
      </w:pPr>
      <w:r>
        <w:t xml:space="preserve">Figure </w:t>
      </w:r>
      <w:r w:rsidR="009B0E85">
        <w:rPr>
          <w:noProof/>
        </w:rPr>
        <w:fldChar w:fldCharType="begin"/>
      </w:r>
      <w:r w:rsidR="009B0E85">
        <w:rPr>
          <w:noProof/>
        </w:rPr>
        <w:instrText xml:space="preserve"> SEQ Figure \* ARABIC </w:instrText>
      </w:r>
      <w:r w:rsidR="009B0E85">
        <w:rPr>
          <w:noProof/>
        </w:rPr>
        <w:fldChar w:fldCharType="separate"/>
      </w:r>
      <w:r>
        <w:rPr>
          <w:noProof/>
        </w:rPr>
        <w:t>1</w:t>
      </w:r>
      <w:r w:rsidR="009B0E85">
        <w:rPr>
          <w:noProof/>
        </w:rPr>
        <w:fldChar w:fldCharType="end"/>
      </w:r>
      <w:r>
        <w:t xml:space="preserve"> Illustration of decoupling </w:t>
      </w:r>
      <w:r w:rsidR="004A7304">
        <w:t xml:space="preserve">PRS/SRS </w:t>
      </w:r>
      <w:r w:rsidR="004A7304">
        <w:rPr>
          <w:lang w:eastAsia="zh-CN"/>
        </w:rPr>
        <w:t>bandwidth aggregation</w:t>
      </w:r>
      <w:r w:rsidR="004A7304">
        <w:t xml:space="preserve"> </w:t>
      </w:r>
      <w:r>
        <w:t>and communication CA</w:t>
      </w:r>
    </w:p>
    <w:p w14:paraId="673B6CF5" w14:textId="77777777" w:rsidR="00845ADC" w:rsidRDefault="00845ADC" w:rsidP="00845ADC">
      <w:pPr>
        <w:pStyle w:val="3GPPAgreements"/>
        <w:numPr>
          <w:ilvl w:val="0"/>
          <w:numId w:val="0"/>
        </w:numPr>
        <w:autoSpaceDE/>
        <w:autoSpaceDN/>
        <w:adjustRightInd/>
        <w:snapToGrid/>
        <w:rPr>
          <w:b/>
          <w:i/>
          <w:color w:val="000000" w:themeColor="text1"/>
        </w:rPr>
      </w:pPr>
    </w:p>
    <w:p w14:paraId="53379F71" w14:textId="17EC81C7" w:rsidR="00845ADC" w:rsidRDefault="00845ADC" w:rsidP="00845ADC">
      <w:pPr>
        <w:pStyle w:val="3GPPAgreements"/>
        <w:numPr>
          <w:ilvl w:val="0"/>
          <w:numId w:val="0"/>
        </w:numPr>
        <w:autoSpaceDE/>
        <w:autoSpaceDN/>
        <w:adjustRightInd/>
        <w:snapToGrid/>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Decoupling </w:t>
      </w:r>
      <w:r w:rsidRPr="007E6572">
        <w:rPr>
          <w:b/>
          <w:i/>
          <w:color w:val="000000" w:themeColor="text1"/>
        </w:rPr>
        <w:t xml:space="preserve">support of PRS/SRS bandwidth aggregation </w:t>
      </w:r>
      <w:r>
        <w:rPr>
          <w:b/>
          <w:i/>
          <w:color w:val="000000" w:themeColor="text1"/>
        </w:rPr>
        <w:t xml:space="preserve">and communication CA enables </w:t>
      </w:r>
      <w:r w:rsidRPr="005C3C91">
        <w:rPr>
          <w:b/>
          <w:i/>
          <w:color w:val="000000" w:themeColor="text1"/>
        </w:rPr>
        <w:t xml:space="preserve">positioning accuracy </w:t>
      </w:r>
      <w:r>
        <w:rPr>
          <w:b/>
          <w:i/>
          <w:color w:val="000000" w:themeColor="text1"/>
        </w:rPr>
        <w:t xml:space="preserve">improvement </w:t>
      </w:r>
      <w:r w:rsidRPr="005C3C91">
        <w:rPr>
          <w:b/>
          <w:i/>
          <w:color w:val="000000" w:themeColor="text1"/>
        </w:rPr>
        <w:t>without the necessity to</w:t>
      </w:r>
      <w:r>
        <w:rPr>
          <w:b/>
          <w:i/>
          <w:color w:val="000000" w:themeColor="text1"/>
        </w:rPr>
        <w:t xml:space="preserve"> bear the full cost of communication CA</w:t>
      </w:r>
      <w:r w:rsidRPr="005C3C91">
        <w:rPr>
          <w:b/>
          <w:i/>
          <w:color w:val="000000" w:themeColor="text1"/>
        </w:rPr>
        <w:t xml:space="preserve"> </w:t>
      </w:r>
      <w:r>
        <w:rPr>
          <w:b/>
          <w:i/>
          <w:color w:val="000000" w:themeColor="text1"/>
        </w:rPr>
        <w:t>for both UE and gNB.</w:t>
      </w:r>
    </w:p>
    <w:p w14:paraId="51538C76" w14:textId="77777777" w:rsidR="00F30569" w:rsidRPr="00DE6873" w:rsidRDefault="00F30569" w:rsidP="0013511B">
      <w:pPr>
        <w:rPr>
          <w:lang w:eastAsia="zh-CN"/>
        </w:rPr>
      </w:pPr>
    </w:p>
    <w:p w14:paraId="072BA332" w14:textId="77777777" w:rsidR="0013511B" w:rsidRDefault="0013511B" w:rsidP="0013511B">
      <w:pPr>
        <w:pStyle w:val="1"/>
        <w:rPr>
          <w:lang w:eastAsia="zh-CN"/>
        </w:rPr>
      </w:pPr>
      <w:r>
        <w:rPr>
          <w:rFonts w:hint="eastAsia"/>
          <w:lang w:eastAsia="zh-CN"/>
        </w:rPr>
        <w:t>C</w:t>
      </w:r>
      <w:r>
        <w:rPr>
          <w:lang w:eastAsia="zh-CN"/>
        </w:rPr>
        <w:t>onclusion</w:t>
      </w:r>
    </w:p>
    <w:p w14:paraId="302070E2" w14:textId="38F2F04A" w:rsidR="0013511B" w:rsidRDefault="0013511B" w:rsidP="0013511B">
      <w:pPr>
        <w:rPr>
          <w:lang w:eastAsia="zh-CN"/>
        </w:rPr>
      </w:pPr>
      <w:r>
        <w:rPr>
          <w:rFonts w:hint="eastAsia"/>
          <w:lang w:eastAsia="zh-CN"/>
        </w:rPr>
        <w:t>I</w:t>
      </w:r>
      <w:r>
        <w:rPr>
          <w:lang w:eastAsia="zh-CN"/>
        </w:rPr>
        <w:t xml:space="preserve">n this contribution, </w:t>
      </w:r>
      <w:r w:rsidR="00F30569">
        <w:rPr>
          <w:lang w:eastAsia="zh-CN"/>
        </w:rPr>
        <w:t>we provided our view on</w:t>
      </w:r>
      <w:r w:rsidR="007E6572">
        <w:rPr>
          <w:lang w:eastAsia="zh-CN"/>
        </w:rPr>
        <w:t xml:space="preserve"> the support of </w:t>
      </w:r>
      <w:r w:rsidR="007E6572">
        <w:rPr>
          <w:bCs/>
        </w:rPr>
        <w:t xml:space="preserve">PRS/SRS </w:t>
      </w:r>
      <w:r w:rsidR="007E6572">
        <w:rPr>
          <w:lang w:eastAsia="zh-CN"/>
        </w:rPr>
        <w:t>bandwidth aggregation</w:t>
      </w:r>
      <w:r w:rsidR="00F30569">
        <w:rPr>
          <w:lang w:eastAsia="zh-CN"/>
        </w:rPr>
        <w:t>, and we have the following observation.</w:t>
      </w:r>
    </w:p>
    <w:p w14:paraId="67975F06" w14:textId="79A84B8D" w:rsidR="0013511B" w:rsidRDefault="0013511B" w:rsidP="008045D1">
      <w:pPr>
        <w:pStyle w:val="3GPPAgreements"/>
        <w:numPr>
          <w:ilvl w:val="0"/>
          <w:numId w:val="0"/>
        </w:numPr>
        <w:autoSpaceDE/>
        <w:autoSpaceDN/>
        <w:adjustRightInd/>
        <w:snapToGrid/>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w:t>
      </w:r>
      <w:r w:rsidR="00F30569">
        <w:rPr>
          <w:b/>
          <w:i/>
          <w:color w:val="000000" w:themeColor="text1"/>
        </w:rPr>
        <w:t xml:space="preserve">Decoupling </w:t>
      </w:r>
      <w:r w:rsidR="007E6572" w:rsidRPr="007E6572">
        <w:rPr>
          <w:b/>
          <w:i/>
          <w:color w:val="000000" w:themeColor="text1"/>
        </w:rPr>
        <w:t xml:space="preserve">support of PRS/SRS bandwidth aggregation </w:t>
      </w:r>
      <w:r w:rsidR="00F30569">
        <w:rPr>
          <w:b/>
          <w:i/>
          <w:color w:val="000000" w:themeColor="text1"/>
        </w:rPr>
        <w:t xml:space="preserve">and communication </w:t>
      </w:r>
      <w:r w:rsidR="007E6572">
        <w:rPr>
          <w:b/>
          <w:i/>
          <w:color w:val="000000" w:themeColor="text1"/>
        </w:rPr>
        <w:t xml:space="preserve">CA </w:t>
      </w:r>
      <w:r w:rsidR="005C3C91">
        <w:rPr>
          <w:b/>
          <w:i/>
          <w:color w:val="000000" w:themeColor="text1"/>
        </w:rPr>
        <w:t xml:space="preserve">enables </w:t>
      </w:r>
      <w:r w:rsidR="005C3C91" w:rsidRPr="005C3C91">
        <w:rPr>
          <w:b/>
          <w:i/>
          <w:color w:val="000000" w:themeColor="text1"/>
        </w:rPr>
        <w:t xml:space="preserve">positioning accuracy </w:t>
      </w:r>
      <w:r w:rsidR="005C3C91">
        <w:rPr>
          <w:b/>
          <w:i/>
          <w:color w:val="000000" w:themeColor="text1"/>
        </w:rPr>
        <w:t xml:space="preserve">improvement </w:t>
      </w:r>
      <w:r w:rsidR="005C3C91" w:rsidRPr="005C3C91">
        <w:rPr>
          <w:b/>
          <w:i/>
          <w:color w:val="000000" w:themeColor="text1"/>
        </w:rPr>
        <w:t>without the necessity to</w:t>
      </w:r>
      <w:r w:rsidR="005C3C91">
        <w:rPr>
          <w:b/>
          <w:i/>
          <w:color w:val="000000" w:themeColor="text1"/>
        </w:rPr>
        <w:t xml:space="preserve"> bear the full cost of communication CA</w:t>
      </w:r>
      <w:r w:rsidR="005C3C91" w:rsidRPr="005C3C91">
        <w:rPr>
          <w:b/>
          <w:i/>
          <w:color w:val="000000" w:themeColor="text1"/>
        </w:rPr>
        <w:t xml:space="preserve"> </w:t>
      </w:r>
      <w:r w:rsidR="005C3C91">
        <w:rPr>
          <w:b/>
          <w:i/>
          <w:color w:val="000000" w:themeColor="text1"/>
        </w:rPr>
        <w:t xml:space="preserve">for </w:t>
      </w:r>
      <w:r w:rsidR="00F30569">
        <w:rPr>
          <w:b/>
          <w:i/>
          <w:color w:val="000000" w:themeColor="text1"/>
        </w:rPr>
        <w:t>both UE and gNB.</w:t>
      </w:r>
    </w:p>
    <w:p w14:paraId="7285DD1B" w14:textId="77777777" w:rsidR="0013511B" w:rsidRPr="006E47DE" w:rsidRDefault="0013511B" w:rsidP="0013511B">
      <w:pPr>
        <w:pStyle w:val="3GPPAgreements"/>
        <w:numPr>
          <w:ilvl w:val="0"/>
          <w:numId w:val="0"/>
        </w:numPr>
        <w:autoSpaceDE/>
        <w:autoSpaceDN/>
        <w:adjustRightInd/>
        <w:snapToGrid/>
        <w:jc w:val="left"/>
        <w:rPr>
          <w:lang w:eastAsia="zh-CN"/>
        </w:rPr>
      </w:pPr>
    </w:p>
    <w:p w14:paraId="1480432E" w14:textId="77777777" w:rsidR="0013511B" w:rsidRDefault="0013511B" w:rsidP="0013511B">
      <w:pPr>
        <w:pStyle w:val="1"/>
        <w:numPr>
          <w:ilvl w:val="0"/>
          <w:numId w:val="0"/>
        </w:numPr>
        <w:ind w:left="432" w:hanging="432"/>
        <w:rPr>
          <w:lang w:eastAsia="zh-CN"/>
        </w:rPr>
      </w:pPr>
      <w:r>
        <w:rPr>
          <w:rFonts w:hint="eastAsia"/>
          <w:lang w:eastAsia="zh-CN"/>
        </w:rPr>
        <w:t>R</w:t>
      </w:r>
      <w:r>
        <w:rPr>
          <w:lang w:eastAsia="zh-CN"/>
        </w:rPr>
        <w:t>eference</w:t>
      </w:r>
    </w:p>
    <w:p w14:paraId="179E049E" w14:textId="77777777" w:rsidR="0013511B" w:rsidRDefault="0013511B" w:rsidP="0013511B">
      <w:pPr>
        <w:pStyle w:val="References"/>
        <w:numPr>
          <w:ilvl w:val="0"/>
          <w:numId w:val="27"/>
        </w:numPr>
        <w:rPr>
          <w:color w:val="000000" w:themeColor="text1"/>
        </w:rPr>
      </w:pPr>
      <w:bookmarkStart w:id="1" w:name="_Ref100838951"/>
      <w:bookmarkStart w:id="2" w:name="_Ref86845911"/>
      <w:r w:rsidRPr="00FA05DA">
        <w:rPr>
          <w:color w:val="000000" w:themeColor="text1"/>
          <w:lang w:eastAsia="zh-CN"/>
        </w:rPr>
        <w:t>RP-213588</w:t>
      </w:r>
      <w:r>
        <w:rPr>
          <w:color w:val="000000" w:themeColor="text1"/>
          <w:lang w:eastAsia="zh-CN"/>
        </w:rPr>
        <w:t xml:space="preserve">, </w:t>
      </w:r>
      <w:r w:rsidRPr="00FA05DA">
        <w:rPr>
          <w:color w:val="000000" w:themeColor="text1"/>
          <w:lang w:eastAsia="zh-CN"/>
        </w:rPr>
        <w:t>Revised SID on Study on expanded and improved NR positioning</w:t>
      </w:r>
      <w:r>
        <w:rPr>
          <w:color w:val="000000" w:themeColor="text1"/>
          <w:lang w:eastAsia="zh-CN"/>
        </w:rPr>
        <w:t>, Intel, RAN#94-e, Electronic Meeting, 6</w:t>
      </w:r>
      <w:r w:rsidRPr="00FA05DA">
        <w:rPr>
          <w:color w:val="000000" w:themeColor="text1"/>
          <w:vertAlign w:val="superscript"/>
          <w:lang w:eastAsia="zh-CN"/>
        </w:rPr>
        <w:t>th</w:t>
      </w:r>
      <w:r>
        <w:rPr>
          <w:color w:val="000000" w:themeColor="text1"/>
          <w:lang w:eastAsia="zh-CN"/>
        </w:rPr>
        <w:t xml:space="preserve"> – 17</w:t>
      </w:r>
      <w:r w:rsidRPr="00FA05DA">
        <w:rPr>
          <w:color w:val="000000" w:themeColor="text1"/>
          <w:vertAlign w:val="superscript"/>
          <w:lang w:eastAsia="zh-CN"/>
        </w:rPr>
        <w:t>th</w:t>
      </w:r>
      <w:r>
        <w:rPr>
          <w:color w:val="000000" w:themeColor="text1"/>
          <w:lang w:eastAsia="zh-CN"/>
        </w:rPr>
        <w:t xml:space="preserve"> Dec, 2021.</w:t>
      </w:r>
      <w:bookmarkEnd w:id="1"/>
    </w:p>
    <w:bookmarkEnd w:id="2"/>
    <w:p w14:paraId="682AD6B3" w14:textId="77777777" w:rsidR="008548F0" w:rsidRPr="008548F0" w:rsidRDefault="008548F0" w:rsidP="0013511B"/>
    <w:sectPr w:rsidR="008548F0" w:rsidRPr="00854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206B92" w14:textId="77777777" w:rsidR="00CC4AA6" w:rsidRDefault="00CC4AA6">
      <w:r>
        <w:separator/>
      </w:r>
    </w:p>
  </w:endnote>
  <w:endnote w:type="continuationSeparator" w:id="0">
    <w:p w14:paraId="501E14FC" w14:textId="77777777" w:rsidR="00CC4AA6" w:rsidRDefault="00CC4AA6">
      <w:r>
        <w:continuationSeparator/>
      </w:r>
    </w:p>
  </w:endnote>
  <w:endnote w:type="continuationNotice" w:id="1">
    <w:p w14:paraId="0A05CF6E" w14:textId="77777777" w:rsidR="00CC4AA6" w:rsidRDefault="00CC4A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D26B9C" w14:textId="77777777" w:rsidR="00CC4AA6" w:rsidRDefault="00CC4AA6">
      <w:r>
        <w:separator/>
      </w:r>
    </w:p>
  </w:footnote>
  <w:footnote w:type="continuationSeparator" w:id="0">
    <w:p w14:paraId="56757F23" w14:textId="77777777" w:rsidR="00CC4AA6" w:rsidRDefault="00CC4AA6">
      <w:r>
        <w:continuationSeparator/>
      </w:r>
    </w:p>
  </w:footnote>
  <w:footnote w:type="continuationNotice" w:id="1">
    <w:p w14:paraId="0467CFD2" w14:textId="77777777" w:rsidR="00CC4AA6" w:rsidRDefault="00CC4AA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810FD"/>
    <w:multiLevelType w:val="hybridMultilevel"/>
    <w:tmpl w:val="7A94E5D6"/>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4DA4"/>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1A5DAB"/>
    <w:multiLevelType w:val="hybridMultilevel"/>
    <w:tmpl w:val="78F24F4A"/>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303A530B"/>
    <w:multiLevelType w:val="hybridMultilevel"/>
    <w:tmpl w:val="4CD4FA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42190265"/>
    <w:multiLevelType w:val="hybridMultilevel"/>
    <w:tmpl w:val="1A580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2717E4A"/>
    <w:multiLevelType w:val="hybridMultilevel"/>
    <w:tmpl w:val="2C3E90E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0"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0AF5865"/>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BEA0FAE"/>
    <w:multiLevelType w:val="hybridMultilevel"/>
    <w:tmpl w:val="69545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9"/>
  </w:num>
  <w:num w:numId="3">
    <w:abstractNumId w:val="1"/>
  </w:num>
  <w:num w:numId="4">
    <w:abstractNumId w:val="26"/>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9"/>
  </w:num>
  <w:num w:numId="8">
    <w:abstractNumId w:val="9"/>
  </w:num>
  <w:num w:numId="9">
    <w:abstractNumId w:val="9"/>
  </w:num>
  <w:num w:numId="10">
    <w:abstractNumId w:val="25"/>
  </w:num>
  <w:num w:numId="11">
    <w:abstractNumId w:val="24"/>
  </w:num>
  <w:num w:numId="12">
    <w:abstractNumId w:val="18"/>
  </w:num>
  <w:num w:numId="13">
    <w:abstractNumId w:val="10"/>
  </w:num>
  <w:num w:numId="14">
    <w:abstractNumId w:val="11"/>
  </w:num>
  <w:num w:numId="15">
    <w:abstractNumId w:val="8"/>
  </w:num>
  <w:num w:numId="16">
    <w:abstractNumId w:val="17"/>
  </w:num>
  <w:num w:numId="17">
    <w:abstractNumId w:val="14"/>
  </w:num>
  <w:num w:numId="18">
    <w:abstractNumId w:val="26"/>
  </w:num>
  <w:num w:numId="19">
    <w:abstractNumId w:val="1"/>
  </w:num>
  <w:num w:numId="20">
    <w:abstractNumId w:val="9"/>
  </w:num>
  <w:num w:numId="21">
    <w:abstractNumId w:val="9"/>
  </w:num>
  <w:num w:numId="22">
    <w:abstractNumId w:val="16"/>
  </w:num>
  <w:num w:numId="23">
    <w:abstractNumId w:val="5"/>
  </w:num>
  <w:num w:numId="24">
    <w:abstractNumId w:val="3"/>
  </w:num>
  <w:num w:numId="25">
    <w:abstractNumId w:val="23"/>
  </w:num>
  <w:num w:numId="26">
    <w:abstractNumId w:val="21"/>
  </w:num>
  <w:num w:numId="27">
    <w:abstractNumId w:val="13"/>
  </w:num>
  <w:num w:numId="28">
    <w:abstractNumId w:val="0"/>
  </w:num>
  <w:num w:numId="29">
    <w:abstractNumId w:val="27"/>
  </w:num>
  <w:num w:numId="30">
    <w:abstractNumId w:val="6"/>
  </w:num>
  <w:num w:numId="31">
    <w:abstractNumId w:val="7"/>
  </w:num>
  <w:num w:numId="32">
    <w:abstractNumId w:val="19"/>
  </w:num>
  <w:num w:numId="33">
    <w:abstractNumId w:val="8"/>
  </w:num>
  <w:num w:numId="34">
    <w:abstractNumId w:val="8"/>
  </w:num>
  <w:num w:numId="35">
    <w:abstractNumId w:val="2"/>
  </w:num>
  <w:num w:numId="36">
    <w:abstractNumId w:val="15"/>
  </w:num>
  <w:num w:numId="37">
    <w:abstractNumId w:val="20"/>
  </w:num>
  <w:num w:numId="38">
    <w:abstractNumId w:val="4"/>
  </w:num>
  <w:num w:numId="39">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E60"/>
    <w:rsid w:val="00050596"/>
    <w:rsid w:val="00052AD2"/>
    <w:rsid w:val="000530DF"/>
    <w:rsid w:val="00053AFF"/>
    <w:rsid w:val="000540A0"/>
    <w:rsid w:val="00054E0C"/>
    <w:rsid w:val="0005541D"/>
    <w:rsid w:val="000565C8"/>
    <w:rsid w:val="00056C51"/>
    <w:rsid w:val="00057DC8"/>
    <w:rsid w:val="000612E1"/>
    <w:rsid w:val="000614FE"/>
    <w:rsid w:val="00062A1D"/>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55B3"/>
    <w:rsid w:val="00076097"/>
    <w:rsid w:val="0007613C"/>
    <w:rsid w:val="00076541"/>
    <w:rsid w:val="000766C0"/>
    <w:rsid w:val="000772F4"/>
    <w:rsid w:val="000776EB"/>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3AA"/>
    <w:rsid w:val="001263DA"/>
    <w:rsid w:val="00126ABF"/>
    <w:rsid w:val="00130779"/>
    <w:rsid w:val="001307A1"/>
    <w:rsid w:val="001321D3"/>
    <w:rsid w:val="00132A03"/>
    <w:rsid w:val="00133599"/>
    <w:rsid w:val="00133BF7"/>
    <w:rsid w:val="00134B88"/>
    <w:rsid w:val="0013511B"/>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5EFB"/>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9B"/>
    <w:rsid w:val="002E1C9E"/>
    <w:rsid w:val="002E257B"/>
    <w:rsid w:val="002E392A"/>
    <w:rsid w:val="002E3C65"/>
    <w:rsid w:val="002E3F5B"/>
    <w:rsid w:val="002E4362"/>
    <w:rsid w:val="002E63D9"/>
    <w:rsid w:val="002E640E"/>
    <w:rsid w:val="002E6937"/>
    <w:rsid w:val="002F0C28"/>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5611"/>
    <w:rsid w:val="003178DA"/>
    <w:rsid w:val="00317DB8"/>
    <w:rsid w:val="00317F7E"/>
    <w:rsid w:val="00320618"/>
    <w:rsid w:val="0032100B"/>
    <w:rsid w:val="00321BD7"/>
    <w:rsid w:val="0032260F"/>
    <w:rsid w:val="003228DA"/>
    <w:rsid w:val="00323D6B"/>
    <w:rsid w:val="003241BE"/>
    <w:rsid w:val="00326957"/>
    <w:rsid w:val="00326AE2"/>
    <w:rsid w:val="00327411"/>
    <w:rsid w:val="0032754A"/>
    <w:rsid w:val="00331426"/>
    <w:rsid w:val="0033171D"/>
    <w:rsid w:val="00331FC3"/>
    <w:rsid w:val="003336B3"/>
    <w:rsid w:val="003343D8"/>
    <w:rsid w:val="00335B75"/>
    <w:rsid w:val="00335D8C"/>
    <w:rsid w:val="00336072"/>
    <w:rsid w:val="003363A1"/>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C52"/>
    <w:rsid w:val="00355E13"/>
    <w:rsid w:val="00357CA6"/>
    <w:rsid w:val="00360232"/>
    <w:rsid w:val="003602E0"/>
    <w:rsid w:val="00360D01"/>
    <w:rsid w:val="00362569"/>
    <w:rsid w:val="003636CD"/>
    <w:rsid w:val="003638B3"/>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70BB"/>
    <w:rsid w:val="0037771A"/>
    <w:rsid w:val="00380057"/>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1B"/>
    <w:rsid w:val="003A18DD"/>
    <w:rsid w:val="003A20C8"/>
    <w:rsid w:val="003A2C29"/>
    <w:rsid w:val="003A2EC3"/>
    <w:rsid w:val="003A36F2"/>
    <w:rsid w:val="003A3D39"/>
    <w:rsid w:val="003A3EC7"/>
    <w:rsid w:val="003A40B4"/>
    <w:rsid w:val="003A6750"/>
    <w:rsid w:val="003A69EA"/>
    <w:rsid w:val="003A7834"/>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E07AE"/>
    <w:rsid w:val="003E14FC"/>
    <w:rsid w:val="003E1BE4"/>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519"/>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304"/>
    <w:rsid w:val="004A76B4"/>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D53"/>
    <w:rsid w:val="00531EBE"/>
    <w:rsid w:val="00532F8B"/>
    <w:rsid w:val="00533737"/>
    <w:rsid w:val="00535B79"/>
    <w:rsid w:val="00535D7C"/>
    <w:rsid w:val="00536579"/>
    <w:rsid w:val="00536C1E"/>
    <w:rsid w:val="005412C2"/>
    <w:rsid w:val="0054343A"/>
    <w:rsid w:val="0054385C"/>
    <w:rsid w:val="00543974"/>
    <w:rsid w:val="00543EBF"/>
    <w:rsid w:val="00544ABA"/>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4D47"/>
    <w:rsid w:val="00556D68"/>
    <w:rsid w:val="00557173"/>
    <w:rsid w:val="005576A1"/>
    <w:rsid w:val="005579B7"/>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422"/>
    <w:rsid w:val="005765F5"/>
    <w:rsid w:val="00576D6C"/>
    <w:rsid w:val="00577276"/>
    <w:rsid w:val="00577A2E"/>
    <w:rsid w:val="00580E48"/>
    <w:rsid w:val="00580F0A"/>
    <w:rsid w:val="00581246"/>
    <w:rsid w:val="00581618"/>
    <w:rsid w:val="00582A66"/>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2C4F"/>
    <w:rsid w:val="00593AB9"/>
    <w:rsid w:val="00593C98"/>
    <w:rsid w:val="0059463F"/>
    <w:rsid w:val="00594ABB"/>
    <w:rsid w:val="00594D1C"/>
    <w:rsid w:val="00594E36"/>
    <w:rsid w:val="00594F0A"/>
    <w:rsid w:val="0059525E"/>
    <w:rsid w:val="00595541"/>
    <w:rsid w:val="00595887"/>
    <w:rsid w:val="005961F7"/>
    <w:rsid w:val="00596B9C"/>
    <w:rsid w:val="00596EA6"/>
    <w:rsid w:val="005973AB"/>
    <w:rsid w:val="005A054D"/>
    <w:rsid w:val="005A0A46"/>
    <w:rsid w:val="005A10B9"/>
    <w:rsid w:val="005A11EA"/>
    <w:rsid w:val="005A269F"/>
    <w:rsid w:val="005A2E14"/>
    <w:rsid w:val="005A305E"/>
    <w:rsid w:val="005A30BB"/>
    <w:rsid w:val="005A3887"/>
    <w:rsid w:val="005A40AC"/>
    <w:rsid w:val="005A494A"/>
    <w:rsid w:val="005A54BA"/>
    <w:rsid w:val="005A6187"/>
    <w:rsid w:val="005A66F0"/>
    <w:rsid w:val="005B0542"/>
    <w:rsid w:val="005B0FD2"/>
    <w:rsid w:val="005B2225"/>
    <w:rsid w:val="005B2799"/>
    <w:rsid w:val="005B2B77"/>
    <w:rsid w:val="005B3D4A"/>
    <w:rsid w:val="005B4D87"/>
    <w:rsid w:val="005B7DD1"/>
    <w:rsid w:val="005C00A0"/>
    <w:rsid w:val="005C0496"/>
    <w:rsid w:val="005C28FA"/>
    <w:rsid w:val="005C3C91"/>
    <w:rsid w:val="005C40F4"/>
    <w:rsid w:val="005C43BE"/>
    <w:rsid w:val="005C44F3"/>
    <w:rsid w:val="005C5A6F"/>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38A"/>
    <w:rsid w:val="005E35CC"/>
    <w:rsid w:val="005E371E"/>
    <w:rsid w:val="005E44B7"/>
    <w:rsid w:val="005E53F9"/>
    <w:rsid w:val="005E5912"/>
    <w:rsid w:val="005E6DAE"/>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C74"/>
    <w:rsid w:val="00616112"/>
    <w:rsid w:val="006205CA"/>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180B"/>
    <w:rsid w:val="00634ACF"/>
    <w:rsid w:val="00635035"/>
    <w:rsid w:val="0063580D"/>
    <w:rsid w:val="00635CAE"/>
    <w:rsid w:val="00637240"/>
    <w:rsid w:val="00640161"/>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C02"/>
    <w:rsid w:val="006C6E3A"/>
    <w:rsid w:val="006C6FD7"/>
    <w:rsid w:val="006D00DB"/>
    <w:rsid w:val="006D0361"/>
    <w:rsid w:val="006D09E7"/>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EB7"/>
    <w:rsid w:val="006F2505"/>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CBE"/>
    <w:rsid w:val="0074704F"/>
    <w:rsid w:val="00747F48"/>
    <w:rsid w:val="00747F4C"/>
    <w:rsid w:val="00751091"/>
    <w:rsid w:val="00751651"/>
    <w:rsid w:val="00751B83"/>
    <w:rsid w:val="0075417F"/>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70B"/>
    <w:rsid w:val="00777BA0"/>
    <w:rsid w:val="007800CE"/>
    <w:rsid w:val="007803BD"/>
    <w:rsid w:val="007811DC"/>
    <w:rsid w:val="007820FA"/>
    <w:rsid w:val="0078285F"/>
    <w:rsid w:val="00783207"/>
    <w:rsid w:val="007837C3"/>
    <w:rsid w:val="00783E1D"/>
    <w:rsid w:val="0078483B"/>
    <w:rsid w:val="00784EED"/>
    <w:rsid w:val="00785900"/>
    <w:rsid w:val="007860CE"/>
    <w:rsid w:val="00786958"/>
    <w:rsid w:val="00786E71"/>
    <w:rsid w:val="0079162F"/>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6572"/>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5D1"/>
    <w:rsid w:val="00804B92"/>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76F6"/>
    <w:rsid w:val="00837D5B"/>
    <w:rsid w:val="00840607"/>
    <w:rsid w:val="00841CD2"/>
    <w:rsid w:val="00842B77"/>
    <w:rsid w:val="00842E30"/>
    <w:rsid w:val="0084309F"/>
    <w:rsid w:val="00844964"/>
    <w:rsid w:val="00845ADC"/>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DA7"/>
    <w:rsid w:val="00927F8B"/>
    <w:rsid w:val="0093094D"/>
    <w:rsid w:val="00931761"/>
    <w:rsid w:val="009328C7"/>
    <w:rsid w:val="009336EC"/>
    <w:rsid w:val="00933EBE"/>
    <w:rsid w:val="00933F56"/>
    <w:rsid w:val="00934C13"/>
    <w:rsid w:val="00935228"/>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11D"/>
    <w:rsid w:val="009A14EF"/>
    <w:rsid w:val="009A29FA"/>
    <w:rsid w:val="009A2BC4"/>
    <w:rsid w:val="009A2DF9"/>
    <w:rsid w:val="009A313D"/>
    <w:rsid w:val="009A385D"/>
    <w:rsid w:val="009A3A86"/>
    <w:rsid w:val="009A4869"/>
    <w:rsid w:val="009A683D"/>
    <w:rsid w:val="009A6A6B"/>
    <w:rsid w:val="009B0E85"/>
    <w:rsid w:val="009B1CFB"/>
    <w:rsid w:val="009B1EF9"/>
    <w:rsid w:val="009B26AC"/>
    <w:rsid w:val="009B37E2"/>
    <w:rsid w:val="009B4519"/>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588D"/>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D0"/>
    <w:rsid w:val="00A32155"/>
    <w:rsid w:val="00A32316"/>
    <w:rsid w:val="00A33172"/>
    <w:rsid w:val="00A3432B"/>
    <w:rsid w:val="00A346BA"/>
    <w:rsid w:val="00A34C67"/>
    <w:rsid w:val="00A34D62"/>
    <w:rsid w:val="00A3611D"/>
    <w:rsid w:val="00A36339"/>
    <w:rsid w:val="00A366E4"/>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63E"/>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74DA"/>
    <w:rsid w:val="00AC772A"/>
    <w:rsid w:val="00AC7A2B"/>
    <w:rsid w:val="00AC7C25"/>
    <w:rsid w:val="00AD0A51"/>
    <w:rsid w:val="00AD0B37"/>
    <w:rsid w:val="00AD11F7"/>
    <w:rsid w:val="00AD1DB7"/>
    <w:rsid w:val="00AD2852"/>
    <w:rsid w:val="00AD3976"/>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73C3"/>
    <w:rsid w:val="00AF795C"/>
    <w:rsid w:val="00B00752"/>
    <w:rsid w:val="00B026C1"/>
    <w:rsid w:val="00B02B9C"/>
    <w:rsid w:val="00B0353B"/>
    <w:rsid w:val="00B040B2"/>
    <w:rsid w:val="00B04546"/>
    <w:rsid w:val="00B056C6"/>
    <w:rsid w:val="00B06B3A"/>
    <w:rsid w:val="00B10558"/>
    <w:rsid w:val="00B122B0"/>
    <w:rsid w:val="00B14AE8"/>
    <w:rsid w:val="00B14B8B"/>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3B3"/>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4AA6"/>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D6"/>
    <w:rsid w:val="00D437D8"/>
    <w:rsid w:val="00D44994"/>
    <w:rsid w:val="00D45DF3"/>
    <w:rsid w:val="00D46174"/>
    <w:rsid w:val="00D4687F"/>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C7987"/>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52E3"/>
    <w:rsid w:val="00DE7C00"/>
    <w:rsid w:val="00DF03E9"/>
    <w:rsid w:val="00DF03ED"/>
    <w:rsid w:val="00DF04EE"/>
    <w:rsid w:val="00DF0BF4"/>
    <w:rsid w:val="00DF1011"/>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5736"/>
    <w:rsid w:val="00E06B83"/>
    <w:rsid w:val="00E0728F"/>
    <w:rsid w:val="00E0755C"/>
    <w:rsid w:val="00E1046A"/>
    <w:rsid w:val="00E13A2A"/>
    <w:rsid w:val="00E13EA1"/>
    <w:rsid w:val="00E1466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26E30"/>
    <w:rsid w:val="00E323D5"/>
    <w:rsid w:val="00E32D62"/>
    <w:rsid w:val="00E339DC"/>
    <w:rsid w:val="00E33E15"/>
    <w:rsid w:val="00E33E17"/>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71A"/>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45B"/>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4577"/>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0569"/>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B7377"/>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5AFD"/>
    <w:rsid w:val="00FD7DF9"/>
    <w:rsid w:val="00FE09F1"/>
    <w:rsid w:val="00FE0B51"/>
    <w:rsid w:val="00FE0B78"/>
    <w:rsid w:val="00FE0ED4"/>
    <w:rsid w:val="00FE1EAB"/>
    <w:rsid w:val="00FE3465"/>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184051010">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2D307F-C653-488B-836A-DF9C8508D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582</Words>
  <Characters>3319</Characters>
  <Application>Microsoft Office Word</Application>
  <DocSecurity>0</DocSecurity>
  <Lines>62</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9</cp:revision>
  <cp:lastPrinted>2007-06-18T22:08:00Z</cp:lastPrinted>
  <dcterms:created xsi:type="dcterms:W3CDTF">2022-04-29T01:52:00Z</dcterms:created>
  <dcterms:modified xsi:type="dcterms:W3CDTF">2022-04-29T15:51:00Z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(3)1A56QY6uo1l+N215K0XB29ToJk/z9wRfpXGyDyJZqZCqhXmQWlQ57GWqf9OjtIMmDgwPC90V
D62eDgCKRIzDnoq46jmPGhci10w7x3urSmqhZNjP9bO3IOVrVKLWQkq7LTraHPVx0xu1MFDt
YCjEJrjlu1YQnlBTnRw75b8cjwnzq753HrkoQXzqe4mPmZ+NTAGIZxPNKiQxikayxkgPH7I2
gi3z45HXvlzXuMAZ/f</vt:lpwstr>
  </property>
  <property fmtid="{D5CDD505-2E9C-101B-9397-08002B2CF9AE}" pid="13" name="_2015_ms_pID_725343_00">
    <vt:lpwstr>_2015_ms_pID_725343</vt:lpwstr>
  </property>
  <property fmtid="{D5CDD505-2E9C-101B-9397-08002B2CF9AE}" pid="14" name="_2015_ms_pID_7253431">
    <vt:lpwstr>papRfPzdlHW0Sbaj8Je4AQGAAbXHl/u4A/p7GPqvPykalGVQVTt7J7
Ct2c0e4z29HyfvanZgr+NP1QlNivFp7jfjfNsOyAed9/3faEWdSbueszWJbdT6DT+xtbBQne
/bkB/4BVyJDdHuhlZaDdeRubQyaIaKTwjj1efAc0+jnnCuLPH+QFvFgMsEqxe0nZhYpdObmh
TJoNWCAwbNGDY9VozQ1+NcofRFv7iY25d3+U</vt:lpwstr>
  </property>
  <property fmtid="{D5CDD505-2E9C-101B-9397-08002B2CF9AE}" pid="15" name="_2015_ms_pID_7253431_00">
    <vt:lpwstr>_2015_ms_pID_7253431</vt:lpwstr>
  </property>
  <property fmtid="{D5CDD505-2E9C-101B-9397-08002B2CF9AE}" pid="16" name="_2015_ms_pID_7253432">
    <vt:lpwstr>CiYucsVAawR/tilPSvWCkcve/T6ByQNt/qh0
hasxcJAXAa8sPJNekZ2uK77kwuLDiA==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1651198618</vt:lpwstr>
  </property>
</Properties>
</file>