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148A" w14:textId="3F35315C" w:rsidR="00B33C38" w:rsidRPr="001844AE" w:rsidRDefault="00B33C38" w:rsidP="00B33C38">
      <w:pPr>
        <w:widowControl w:val="0"/>
        <w:tabs>
          <w:tab w:val="right" w:pos="8280"/>
          <w:tab w:val="right" w:pos="9639"/>
        </w:tabs>
        <w:spacing w:before="0" w:after="0"/>
        <w:rPr>
          <w:rFonts w:ascii="Arial" w:eastAsia="SimSun" w:hAnsi="Arial" w:cs="Arial"/>
          <w:b/>
          <w:sz w:val="24"/>
          <w:lang w:val="en-US"/>
        </w:rPr>
      </w:pPr>
      <w:r w:rsidRPr="001844AE">
        <w:rPr>
          <w:rFonts w:ascii="Arial" w:eastAsia="SimSun" w:hAnsi="Arial" w:cs="Arial"/>
          <w:b/>
          <w:noProof/>
          <w:sz w:val="24"/>
          <w:lang w:val="en-US"/>
        </w:rPr>
        <w:t>3GPP TSG</w:t>
      </w:r>
      <w:r>
        <w:rPr>
          <w:rFonts w:ascii="Arial" w:eastAsia="SimSun" w:hAnsi="Arial" w:cs="Arial"/>
          <w:b/>
          <w:noProof/>
          <w:sz w:val="24"/>
          <w:lang w:val="en-US"/>
        </w:rPr>
        <w:t xml:space="preserve"> </w:t>
      </w:r>
      <w:r w:rsidRPr="001844AE">
        <w:rPr>
          <w:rFonts w:ascii="Arial" w:eastAsia="SimSun" w:hAnsi="Arial" w:cs="Arial"/>
          <w:b/>
          <w:noProof/>
          <w:sz w:val="24"/>
          <w:lang w:val="en-US"/>
        </w:rPr>
        <w:t>RAN WG1 Meeting #10</w:t>
      </w:r>
      <w:r>
        <w:rPr>
          <w:rFonts w:ascii="Arial" w:eastAsia="SimSun" w:hAnsi="Arial" w:cs="Arial"/>
          <w:b/>
          <w:noProof/>
          <w:sz w:val="24"/>
          <w:lang w:val="en-US"/>
        </w:rPr>
        <w:t>9</w:t>
      </w:r>
      <w:r w:rsidRPr="001844AE">
        <w:rPr>
          <w:rFonts w:ascii="Arial" w:eastAsia="SimSun" w:hAnsi="Arial" w:cs="Arial"/>
          <w:b/>
          <w:noProof/>
          <w:sz w:val="24"/>
          <w:lang w:val="en-US"/>
        </w:rPr>
        <w:t>-e</w:t>
      </w:r>
      <w:r>
        <w:rPr>
          <w:rFonts w:ascii="Arial" w:eastAsia="SimSun" w:hAnsi="Arial" w:cs="Arial"/>
          <w:b/>
          <w:noProof/>
          <w:sz w:val="24"/>
          <w:lang w:val="en-US"/>
        </w:rPr>
        <w:t xml:space="preserve">                                                  </w:t>
      </w:r>
      <w:r w:rsidRPr="001844AE">
        <w:rPr>
          <w:rFonts w:ascii="Arial" w:eastAsia="SimSun" w:hAnsi="Arial" w:cs="Arial"/>
          <w:b/>
          <w:sz w:val="24"/>
          <w:lang w:val="en-US"/>
        </w:rPr>
        <w:tab/>
      </w:r>
      <w:r>
        <w:rPr>
          <w:rFonts w:ascii="Arial" w:eastAsia="SimSun" w:hAnsi="Arial" w:cs="Arial"/>
          <w:b/>
          <w:sz w:val="24"/>
          <w:lang w:val="en-US"/>
        </w:rPr>
        <w:t xml:space="preserve">      </w:t>
      </w:r>
      <w:r w:rsidR="00F15124" w:rsidRPr="00F15124">
        <w:rPr>
          <w:rFonts w:ascii="Arial" w:eastAsia="SimSun" w:hAnsi="Arial" w:cs="Arial"/>
          <w:b/>
          <w:sz w:val="24"/>
          <w:lang w:val="en-US"/>
        </w:rPr>
        <w:t>R1-2204866</w:t>
      </w:r>
    </w:p>
    <w:p w14:paraId="798DBA36" w14:textId="220FB079" w:rsidR="00B33C38" w:rsidRPr="001844AE" w:rsidRDefault="00B33C38" w:rsidP="00B33C38">
      <w:pPr>
        <w:tabs>
          <w:tab w:val="left" w:pos="1985"/>
        </w:tabs>
        <w:spacing w:before="0" w:after="0"/>
        <w:ind w:left="1983" w:hangingChars="823" w:hanging="1983"/>
        <w:jc w:val="both"/>
        <w:rPr>
          <w:rFonts w:ascii="Arial" w:eastAsia="SimSun" w:hAnsi="Arial"/>
          <w:b/>
          <w:sz w:val="24"/>
          <w:lang w:eastAsia="zh-CN"/>
        </w:rPr>
      </w:pPr>
      <w:r w:rsidRPr="001844AE">
        <w:rPr>
          <w:rFonts w:ascii="Arial" w:eastAsia="SimSun" w:hAnsi="Arial"/>
          <w:b/>
          <w:sz w:val="24"/>
          <w:lang w:eastAsia="zh-CN"/>
        </w:rPr>
        <w:t xml:space="preserve">eMeeting, </w:t>
      </w:r>
      <w:r>
        <w:rPr>
          <w:rFonts w:ascii="Arial" w:eastAsia="SimSun" w:hAnsi="Arial"/>
          <w:b/>
          <w:sz w:val="24"/>
          <w:lang w:eastAsia="zh-CN"/>
        </w:rPr>
        <w:t>May</w:t>
      </w:r>
      <w:r w:rsidRPr="005F07E2">
        <w:rPr>
          <w:rFonts w:ascii="Arial" w:eastAsia="SimSun" w:hAnsi="Arial"/>
          <w:b/>
          <w:sz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lang w:eastAsia="zh-CN"/>
        </w:rPr>
        <w:t>9</w:t>
      </w:r>
      <w:r w:rsidRPr="00B33C38">
        <w:rPr>
          <w:rFonts w:ascii="Arial" w:eastAsia="SimSun" w:hAnsi="Arial"/>
          <w:b/>
          <w:sz w:val="24"/>
          <w:vertAlign w:val="superscript"/>
          <w:lang w:eastAsia="zh-CN"/>
        </w:rPr>
        <w:t>th</w:t>
      </w:r>
      <w:r w:rsidRPr="005F07E2">
        <w:rPr>
          <w:rFonts w:ascii="Arial" w:eastAsia="SimSun" w:hAnsi="Arial"/>
          <w:b/>
          <w:sz w:val="24"/>
          <w:lang w:eastAsia="zh-CN"/>
        </w:rPr>
        <w:t xml:space="preserve"> – 2</w:t>
      </w:r>
      <w:r>
        <w:rPr>
          <w:rFonts w:ascii="Arial" w:eastAsia="SimSun" w:hAnsi="Arial"/>
          <w:b/>
          <w:sz w:val="24"/>
          <w:lang w:eastAsia="zh-CN"/>
        </w:rPr>
        <w:t>0</w:t>
      </w:r>
      <w:r w:rsidRPr="00B33C38">
        <w:rPr>
          <w:rFonts w:ascii="Arial" w:eastAsia="SimSun" w:hAnsi="Arial"/>
          <w:b/>
          <w:sz w:val="24"/>
          <w:vertAlign w:val="superscript"/>
          <w:lang w:eastAsia="zh-CN"/>
        </w:rPr>
        <w:t>th</w:t>
      </w:r>
      <w:r w:rsidRPr="001844AE">
        <w:rPr>
          <w:rFonts w:ascii="Arial" w:eastAsia="SimSun" w:hAnsi="Arial"/>
          <w:b/>
          <w:sz w:val="24"/>
          <w:lang w:eastAsia="zh-CN"/>
        </w:rPr>
        <w:t>, 202</w:t>
      </w:r>
      <w:r>
        <w:rPr>
          <w:rFonts w:ascii="Arial" w:eastAsia="SimSun" w:hAnsi="Arial"/>
          <w:b/>
          <w:sz w:val="24"/>
          <w:lang w:eastAsia="zh-CN"/>
        </w:rPr>
        <w:t>2</w:t>
      </w:r>
    </w:p>
    <w:p w14:paraId="4D2D9FC7" w14:textId="77777777" w:rsidR="00B33C38" w:rsidRPr="00663CED" w:rsidRDefault="00B33C38" w:rsidP="00B33C38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Times New Roman" w:hAnsi="Times New Roman"/>
          <w:sz w:val="24"/>
          <w:highlight w:val="yellow"/>
        </w:rPr>
      </w:pPr>
    </w:p>
    <w:p w14:paraId="6A57805D" w14:textId="6220FAA1" w:rsidR="00B33C38" w:rsidRPr="00663CED" w:rsidRDefault="00B33C38" w:rsidP="00B33C38">
      <w:pPr>
        <w:tabs>
          <w:tab w:val="left" w:pos="1985"/>
        </w:tabs>
        <w:spacing w:before="0"/>
        <w:ind w:left="1977" w:hangingChars="823" w:hanging="1977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Agenda item:</w:t>
      </w:r>
      <w:r w:rsidRPr="00663CED">
        <w:rPr>
          <w:rFonts w:ascii="Times New Roman" w:hAnsi="Times New Roman"/>
          <w:b/>
          <w:sz w:val="24"/>
        </w:rPr>
        <w:tab/>
      </w:r>
      <w:r w:rsidR="009C4885">
        <w:rPr>
          <w:rFonts w:ascii="Times New Roman" w:hAnsi="Times New Roman"/>
          <w:b/>
          <w:sz w:val="24"/>
        </w:rPr>
        <w:t>9.</w:t>
      </w:r>
      <w:r w:rsidR="00CB67DE">
        <w:rPr>
          <w:rFonts w:ascii="Times New Roman" w:hAnsi="Times New Roman"/>
          <w:b/>
          <w:sz w:val="24"/>
        </w:rPr>
        <w:t>3</w:t>
      </w:r>
      <w:r w:rsidR="00F15124">
        <w:rPr>
          <w:rFonts w:ascii="Times New Roman" w:hAnsi="Times New Roman"/>
          <w:b/>
          <w:sz w:val="24"/>
        </w:rPr>
        <w:t>.2</w:t>
      </w:r>
    </w:p>
    <w:p w14:paraId="39E45F47" w14:textId="77777777" w:rsidR="00B33C38" w:rsidRPr="00663CED" w:rsidRDefault="00B33C38" w:rsidP="00B33C38">
      <w:pPr>
        <w:tabs>
          <w:tab w:val="left" w:pos="1985"/>
        </w:tabs>
        <w:spacing w:before="0"/>
        <w:ind w:left="1985" w:hanging="1985"/>
        <w:jc w:val="both"/>
        <w:rPr>
          <w:rFonts w:ascii="Times New Roman" w:hAnsi="Times New Roman"/>
          <w:sz w:val="24"/>
        </w:rPr>
      </w:pPr>
      <w:r w:rsidRPr="00663CED">
        <w:rPr>
          <w:rFonts w:ascii="Times New Roman" w:hAnsi="Times New Roman"/>
          <w:b/>
          <w:sz w:val="24"/>
        </w:rPr>
        <w:t>Source:</w:t>
      </w:r>
      <w:r w:rsidRPr="00663CED">
        <w:rPr>
          <w:rFonts w:ascii="Times New Roman" w:hAnsi="Times New Roman"/>
          <w:b/>
          <w:sz w:val="24"/>
        </w:rPr>
        <w:tab/>
        <w:t>Charter Communications</w:t>
      </w:r>
    </w:p>
    <w:p w14:paraId="4521ACAB" w14:textId="77777777" w:rsidR="00F15124" w:rsidRDefault="00B33C38" w:rsidP="00B33C38">
      <w:pPr>
        <w:tabs>
          <w:tab w:val="left" w:pos="1985"/>
        </w:tabs>
        <w:spacing w:before="0"/>
        <w:ind w:left="1977" w:hangingChars="823" w:hanging="1977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Title:</w:t>
      </w:r>
      <w:r w:rsidRPr="00663CED">
        <w:rPr>
          <w:rFonts w:ascii="Times New Roman" w:hAnsi="Times New Roman"/>
          <w:b/>
          <w:sz w:val="24"/>
        </w:rPr>
        <w:tab/>
      </w:r>
      <w:r w:rsidR="00F15124" w:rsidRPr="00F15124">
        <w:rPr>
          <w:rFonts w:ascii="Times New Roman" w:hAnsi="Times New Roman"/>
          <w:b/>
          <w:sz w:val="24"/>
        </w:rPr>
        <w:t>Considerations for subband non-overlapping full duplex</w:t>
      </w:r>
    </w:p>
    <w:p w14:paraId="604B05E6" w14:textId="158C5EE8" w:rsidR="00B33C38" w:rsidRPr="00663CED" w:rsidRDefault="00B33C38" w:rsidP="00B33C38">
      <w:pPr>
        <w:tabs>
          <w:tab w:val="left" w:pos="1985"/>
        </w:tabs>
        <w:spacing w:before="0"/>
        <w:ind w:left="1977" w:hangingChars="823" w:hanging="1977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Document for:</w:t>
      </w:r>
      <w:r w:rsidRPr="00663CED">
        <w:rPr>
          <w:rFonts w:ascii="Times New Roman" w:hAnsi="Times New Roman"/>
          <w:b/>
          <w:sz w:val="24"/>
        </w:rPr>
        <w:tab/>
        <w:t>Discussion</w:t>
      </w:r>
    </w:p>
    <w:p w14:paraId="392E3653" w14:textId="77777777" w:rsidR="00B33C38" w:rsidRDefault="00B33C38" w:rsidP="00B33C38">
      <w:pPr>
        <w:rPr>
          <w:b/>
          <w:bCs/>
          <w:noProof/>
          <w:lang w:val="en-US"/>
        </w:rPr>
      </w:pPr>
    </w:p>
    <w:p w14:paraId="3CE6EBF7" w14:textId="2B6C90C1" w:rsidR="00B33C38" w:rsidRDefault="00B33C38" w:rsidP="00B33C38">
      <w:pPr>
        <w:pStyle w:val="Heading1"/>
        <w:ind w:left="360"/>
        <w:rPr>
          <w:rFonts w:ascii="Times New Roman" w:hAnsi="Times New Roman" w:cs="Times New Roman"/>
        </w:rPr>
      </w:pPr>
      <w:r w:rsidRPr="00663CED">
        <w:rPr>
          <w:rFonts w:ascii="Times New Roman" w:hAnsi="Times New Roman" w:cs="Times New Roman"/>
        </w:rPr>
        <w:t>Introduction</w:t>
      </w:r>
    </w:p>
    <w:p w14:paraId="7EF9FCC6" w14:textId="5CF1B6B3" w:rsidR="00531049" w:rsidRPr="00531049" w:rsidRDefault="00A651A8" w:rsidP="00531049">
      <w:r>
        <w:t xml:space="preserve">For Rel. 18 a new study item has been approved for NR network-controlled repeaters [1].  </w:t>
      </w:r>
      <w:r w:rsidR="00F15124">
        <w:t>T</w:t>
      </w:r>
      <w:r w:rsidR="00531049">
        <w:t xml:space="preserve">he </w:t>
      </w:r>
      <w:r w:rsidR="00F15124">
        <w:t xml:space="preserve">key </w:t>
      </w:r>
      <w:r w:rsidR="00531049">
        <w:t>objective</w:t>
      </w:r>
      <w:r>
        <w:t>s of the study item</w:t>
      </w:r>
      <w:r w:rsidR="00F15124">
        <w:t xml:space="preserve"> are as follows</w:t>
      </w:r>
      <w:r w:rsidR="007E0F59">
        <w:t xml:space="preserve"> </w:t>
      </w:r>
      <w:r w:rsidR="00DA361C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31049" w14:paraId="3FFB6C0A" w14:textId="77777777" w:rsidTr="00531049">
        <w:tc>
          <w:tcPr>
            <w:tcW w:w="9350" w:type="dxa"/>
          </w:tcPr>
          <w:p w14:paraId="18BC568B" w14:textId="77777777" w:rsidR="00A27AEB" w:rsidRPr="00CC1A1F" w:rsidRDefault="00A27AEB" w:rsidP="00A27AEB">
            <w:pPr>
              <w:numPr>
                <w:ilvl w:val="0"/>
                <w:numId w:val="7"/>
              </w:numPr>
              <w:spacing w:before="0" w:after="180"/>
              <w:jc w:val="both"/>
              <w:rPr>
                <w:lang w:val="en-US"/>
              </w:rPr>
            </w:pPr>
            <w:r w:rsidRPr="00CC1A1F">
              <w:rPr>
                <w:lang w:val="en-US"/>
              </w:rPr>
              <w:t>Identify applicable and relevant deployment scenarios (RAN1)</w:t>
            </w:r>
            <w:r>
              <w:rPr>
                <w:lang w:val="en-US"/>
              </w:rPr>
              <w:t>.</w:t>
            </w:r>
          </w:p>
          <w:p w14:paraId="0C50D9AF" w14:textId="77777777" w:rsidR="00A27AEB" w:rsidRPr="00CC1A1F" w:rsidRDefault="00A27AEB" w:rsidP="00A27AEB">
            <w:pPr>
              <w:numPr>
                <w:ilvl w:val="0"/>
                <w:numId w:val="7"/>
              </w:numPr>
              <w:spacing w:before="0" w:after="180"/>
              <w:jc w:val="both"/>
              <w:rPr>
                <w:lang w:val="en-US"/>
              </w:rPr>
            </w:pPr>
            <w:r w:rsidRPr="00CC1A1F">
              <w:rPr>
                <w:lang w:val="en-US"/>
              </w:rPr>
              <w:t>Develop evaluation methodology for duplex enhancement (RAN1)</w:t>
            </w:r>
            <w:r>
              <w:rPr>
                <w:lang w:val="en-US"/>
              </w:rPr>
              <w:t>.</w:t>
            </w:r>
          </w:p>
          <w:p w14:paraId="14BBC81F" w14:textId="77777777" w:rsidR="00A27AEB" w:rsidRDefault="00A27AEB" w:rsidP="00A27AEB">
            <w:pPr>
              <w:numPr>
                <w:ilvl w:val="0"/>
                <w:numId w:val="7"/>
              </w:numPr>
              <w:spacing w:before="0" w:after="180"/>
              <w:jc w:val="both"/>
              <w:rPr>
                <w:lang w:val="en-US"/>
              </w:rPr>
            </w:pPr>
            <w:r>
              <w:rPr>
                <w:rFonts w:eastAsia="Malgun Gothic" w:hint="eastAsia"/>
                <w:lang w:val="en-US" w:eastAsia="ko-KR"/>
              </w:rPr>
              <w:t xml:space="preserve">Study </w:t>
            </w:r>
            <w:r>
              <w:rPr>
                <w:rFonts w:eastAsia="Malgun Gothic"/>
                <w:lang w:val="en-US" w:eastAsia="ko-KR"/>
              </w:rPr>
              <w:t xml:space="preserve">the subband non-overlapping full duplex and </w:t>
            </w:r>
            <w:bookmarkStart w:id="0" w:name="_Hlk89796625"/>
            <w:r>
              <w:rPr>
                <w:rFonts w:eastAsia="Malgun Gothic"/>
                <w:lang w:val="en-US" w:eastAsia="ko-KR"/>
              </w:rPr>
              <w:t xml:space="preserve">potential enhancements on </w:t>
            </w:r>
            <w:r w:rsidRPr="00DE0AB8">
              <w:rPr>
                <w:rFonts w:eastAsia="Malgun Gothic"/>
                <w:bCs/>
                <w:lang w:eastAsia="ko-KR"/>
              </w:rPr>
              <w:t>dynamic/flexible TDD</w:t>
            </w:r>
            <w:bookmarkEnd w:id="0"/>
            <w:r>
              <w:rPr>
                <w:rFonts w:eastAsia="Malgun Gothic"/>
                <w:bCs/>
                <w:lang w:eastAsia="ko-KR"/>
              </w:rPr>
              <w:t xml:space="preserve"> (RAN1, RAN4).</w:t>
            </w:r>
          </w:p>
          <w:p w14:paraId="02F913EC" w14:textId="77777777" w:rsidR="00A27AEB" w:rsidRPr="00621560" w:rsidRDefault="00A27AEB" w:rsidP="00A27AEB">
            <w:pPr>
              <w:pStyle w:val="ListParagraph"/>
              <w:numPr>
                <w:ilvl w:val="0"/>
                <w:numId w:val="6"/>
              </w:numPr>
              <w:spacing w:before="0" w:after="180"/>
              <w:jc w:val="both"/>
              <w:rPr>
                <w:rFonts w:eastAsia="Malgun Gothic"/>
                <w:bCs/>
                <w:lang w:eastAsia="ko-KR"/>
              </w:rPr>
            </w:pPr>
            <w:r w:rsidRPr="00621560">
              <w:rPr>
                <w:rFonts w:eastAsia="Malgun Gothic"/>
                <w:bCs/>
                <w:lang w:eastAsia="ko-KR"/>
              </w:rPr>
              <w:t xml:space="preserve">Identify possible schemes and evaluate their </w:t>
            </w:r>
            <w:r>
              <w:rPr>
                <w:rFonts w:eastAsia="Malgun Gothic"/>
                <w:bCs/>
                <w:lang w:eastAsia="ko-KR"/>
              </w:rPr>
              <w:t xml:space="preserve">feasibility and </w:t>
            </w:r>
            <w:r w:rsidRPr="00621560">
              <w:rPr>
                <w:rFonts w:eastAsia="Malgun Gothic"/>
                <w:bCs/>
                <w:lang w:eastAsia="ko-KR"/>
              </w:rPr>
              <w:t>performances (RAN1)</w:t>
            </w:r>
            <w:r>
              <w:rPr>
                <w:rFonts w:eastAsia="Malgun Gothic"/>
                <w:bCs/>
                <w:lang w:eastAsia="ko-KR"/>
              </w:rPr>
              <w:t>.</w:t>
            </w:r>
          </w:p>
          <w:p w14:paraId="287E033A" w14:textId="77777777" w:rsidR="00A27AEB" w:rsidRDefault="00A27AEB" w:rsidP="00A27AEB">
            <w:pPr>
              <w:pStyle w:val="ListParagraph"/>
              <w:numPr>
                <w:ilvl w:val="0"/>
                <w:numId w:val="6"/>
              </w:numPr>
              <w:spacing w:before="0" w:after="180"/>
              <w:jc w:val="both"/>
              <w:rPr>
                <w:rFonts w:eastAsia="Malgun Gothic"/>
                <w:bCs/>
                <w:lang w:eastAsia="ko-KR"/>
              </w:rPr>
            </w:pPr>
            <w:r w:rsidRPr="00621560">
              <w:rPr>
                <w:rFonts w:eastAsia="Malgun Gothic"/>
                <w:bCs/>
                <w:lang w:eastAsia="ko-KR"/>
              </w:rPr>
              <w:t xml:space="preserve">Study inter-gNB and inter-UE CLI </w:t>
            </w:r>
            <w:r>
              <w:rPr>
                <w:rFonts w:eastAsia="Malgun Gothic"/>
                <w:bCs/>
                <w:lang w:eastAsia="ko-KR"/>
              </w:rPr>
              <w:t xml:space="preserve">handling </w:t>
            </w:r>
            <w:r w:rsidRPr="00621560">
              <w:rPr>
                <w:rFonts w:eastAsia="Malgun Gothic"/>
                <w:bCs/>
                <w:lang w:eastAsia="ko-KR"/>
              </w:rPr>
              <w:t>and identify solutions to manage them (RAN1</w:t>
            </w:r>
            <w:r>
              <w:rPr>
                <w:rFonts w:eastAsia="Malgun Gothic"/>
                <w:bCs/>
                <w:lang w:eastAsia="ko-KR"/>
              </w:rPr>
              <w:t xml:space="preserve">). </w:t>
            </w:r>
          </w:p>
          <w:p w14:paraId="054E8E49" w14:textId="77777777" w:rsidR="00A27AEB" w:rsidRPr="000D5D52" w:rsidRDefault="00A27AEB" w:rsidP="00A27AEB">
            <w:pPr>
              <w:pStyle w:val="ListParagraph"/>
              <w:numPr>
                <w:ilvl w:val="1"/>
                <w:numId w:val="6"/>
              </w:numPr>
              <w:spacing w:before="0" w:after="180"/>
              <w:jc w:val="both"/>
              <w:rPr>
                <w:rFonts w:eastAsia="Malgun Gothic"/>
                <w:bCs/>
                <w:lang w:eastAsia="ko-KR"/>
              </w:rPr>
            </w:pPr>
            <w:r w:rsidRPr="000D5D52">
              <w:rPr>
                <w:rFonts w:eastAsia="Malgun Gothic"/>
                <w:bCs/>
                <w:lang w:eastAsia="ko-KR"/>
              </w:rPr>
              <w:t xml:space="preserve">Consider intra-subband CLI and inter-subband CLI in case of the </w:t>
            </w:r>
            <w:r w:rsidRPr="000D5D52">
              <w:rPr>
                <w:rFonts w:eastAsia="Malgun Gothic"/>
                <w:lang w:val="en-US" w:eastAsia="ko-KR"/>
              </w:rPr>
              <w:t>subband non-overlapping full duplex</w:t>
            </w:r>
            <w:r w:rsidRPr="000D5D52">
              <w:rPr>
                <w:rFonts w:eastAsia="Malgun Gothic"/>
                <w:bCs/>
                <w:lang w:eastAsia="ko-KR"/>
              </w:rPr>
              <w:t>.</w:t>
            </w:r>
          </w:p>
          <w:p w14:paraId="31B53234" w14:textId="77777777" w:rsidR="00A27AEB" w:rsidRDefault="00A27AEB" w:rsidP="00A27AEB">
            <w:pPr>
              <w:pStyle w:val="ListParagraph"/>
              <w:numPr>
                <w:ilvl w:val="0"/>
                <w:numId w:val="6"/>
              </w:numPr>
              <w:spacing w:before="0" w:after="180"/>
              <w:jc w:val="both"/>
              <w:rPr>
                <w:rFonts w:eastAsia="Malgun Gothic"/>
                <w:bCs/>
                <w:lang w:eastAsia="ko-KR"/>
              </w:rPr>
            </w:pPr>
            <w:r w:rsidRPr="00621560">
              <w:rPr>
                <w:rFonts w:eastAsia="Malgun Gothic"/>
                <w:bCs/>
                <w:lang w:eastAsia="ko-KR"/>
              </w:rPr>
              <w:t xml:space="preserve">Study </w:t>
            </w:r>
            <w:r>
              <w:rPr>
                <w:rFonts w:eastAsia="Malgun Gothic"/>
                <w:bCs/>
                <w:lang w:eastAsia="ko-KR"/>
              </w:rPr>
              <w:t xml:space="preserve">the </w:t>
            </w:r>
            <w:r w:rsidRPr="00621560">
              <w:rPr>
                <w:rFonts w:eastAsia="Malgun Gothic"/>
                <w:bCs/>
                <w:lang w:eastAsia="ko-KR"/>
              </w:rPr>
              <w:t xml:space="preserve">performance of </w:t>
            </w:r>
            <w:r>
              <w:rPr>
                <w:rFonts w:eastAsia="Malgun Gothic"/>
                <w:bCs/>
                <w:lang w:eastAsia="ko-KR"/>
              </w:rPr>
              <w:t xml:space="preserve">the identified schemes as well as the impact on legacy operation assuming their co-existence in </w:t>
            </w:r>
            <w:r w:rsidRPr="00621560">
              <w:rPr>
                <w:rFonts w:eastAsia="Malgun Gothic"/>
                <w:bCs/>
                <w:lang w:eastAsia="ko-KR"/>
              </w:rPr>
              <w:t>co-channel and adjacent</w:t>
            </w:r>
            <w:r>
              <w:rPr>
                <w:rFonts w:eastAsia="Malgun Gothic"/>
                <w:bCs/>
                <w:lang w:eastAsia="ko-KR"/>
              </w:rPr>
              <w:t xml:space="preserve"> </w:t>
            </w:r>
            <w:r w:rsidRPr="00621560">
              <w:rPr>
                <w:rFonts w:eastAsia="Malgun Gothic"/>
                <w:bCs/>
                <w:lang w:eastAsia="ko-KR"/>
              </w:rPr>
              <w:t>channel</w:t>
            </w:r>
            <w:r>
              <w:rPr>
                <w:rFonts w:eastAsia="Malgun Gothic"/>
                <w:bCs/>
                <w:lang w:eastAsia="ko-KR"/>
              </w:rPr>
              <w:t xml:space="preserve">s </w:t>
            </w:r>
            <w:r w:rsidRPr="00621560">
              <w:rPr>
                <w:rFonts w:eastAsia="Malgun Gothic"/>
                <w:bCs/>
                <w:lang w:eastAsia="ko-KR"/>
              </w:rPr>
              <w:t>(RAN1).</w:t>
            </w:r>
          </w:p>
          <w:p w14:paraId="0F53CAC3" w14:textId="77777777" w:rsidR="00A27AEB" w:rsidRPr="000D5D52" w:rsidRDefault="00A27AEB" w:rsidP="00A27AEB">
            <w:pPr>
              <w:pStyle w:val="ListParagraph"/>
              <w:numPr>
                <w:ilvl w:val="0"/>
                <w:numId w:val="6"/>
              </w:numPr>
              <w:spacing w:before="0" w:after="180"/>
              <w:rPr>
                <w:rFonts w:eastAsia="Malgun Gothic"/>
                <w:bCs/>
                <w:lang w:eastAsia="ko-KR"/>
              </w:rPr>
            </w:pPr>
            <w:r w:rsidRPr="000D5D52">
              <w:rPr>
                <w:rFonts w:eastAsia="Malgun Gothic"/>
                <w:bCs/>
                <w:lang w:eastAsia="ko-KR"/>
              </w:rPr>
              <w:t xml:space="preserve">Study the </w:t>
            </w:r>
            <w:r w:rsidRPr="00225DB7">
              <w:rPr>
                <w:rFonts w:eastAsia="Malgun Gothic"/>
                <w:bCs/>
                <w:lang w:eastAsia="ko-KR"/>
              </w:rPr>
              <w:t>feasibility of and</w:t>
            </w:r>
            <w:r>
              <w:rPr>
                <w:rFonts w:eastAsia="Malgun Gothic"/>
                <w:bCs/>
                <w:lang w:eastAsia="ko-KR"/>
              </w:rPr>
              <w:t xml:space="preserve"> </w:t>
            </w:r>
            <w:r w:rsidRPr="000D5D52">
              <w:rPr>
                <w:rFonts w:eastAsia="Malgun Gothic"/>
                <w:bCs/>
                <w:lang w:eastAsia="ko-KR"/>
              </w:rPr>
              <w:t>impact on RF requirements considering adjacent-channel co-existence with the legacy operation (RAN4).</w:t>
            </w:r>
          </w:p>
          <w:p w14:paraId="1C965476" w14:textId="77777777" w:rsidR="00A27AEB" w:rsidRPr="00621560" w:rsidRDefault="00A27AEB" w:rsidP="00A27AEB">
            <w:pPr>
              <w:pStyle w:val="ListParagraph"/>
              <w:numPr>
                <w:ilvl w:val="0"/>
                <w:numId w:val="6"/>
              </w:numPr>
              <w:spacing w:before="0" w:after="180"/>
              <w:jc w:val="both"/>
              <w:rPr>
                <w:rFonts w:eastAsia="Malgun Gothic"/>
                <w:bCs/>
                <w:lang w:eastAsia="ko-KR"/>
              </w:rPr>
            </w:pPr>
            <w:r w:rsidRPr="00621560">
              <w:rPr>
                <w:rFonts w:eastAsia="Malgun Gothic"/>
                <w:bCs/>
                <w:lang w:eastAsia="ko-KR"/>
              </w:rPr>
              <w:t xml:space="preserve">Study the </w:t>
            </w:r>
            <w:r w:rsidRPr="00225DB7">
              <w:rPr>
                <w:rFonts w:eastAsia="Malgun Gothic"/>
                <w:bCs/>
                <w:lang w:eastAsia="ko-KR"/>
              </w:rPr>
              <w:t>feasibility of and</w:t>
            </w:r>
            <w:r>
              <w:rPr>
                <w:rFonts w:eastAsia="Malgun Gothic"/>
                <w:bCs/>
                <w:lang w:eastAsia="ko-KR"/>
              </w:rPr>
              <w:t xml:space="preserve"> </w:t>
            </w:r>
            <w:r w:rsidRPr="00621560">
              <w:rPr>
                <w:rFonts w:eastAsia="Malgun Gothic"/>
                <w:bCs/>
                <w:lang w:eastAsia="ko-KR"/>
              </w:rPr>
              <w:t>impact on RF requirements considering the self-interference</w:t>
            </w:r>
            <w:r>
              <w:rPr>
                <w:rFonts w:eastAsia="Malgun Gothic"/>
                <w:bCs/>
                <w:lang w:eastAsia="ko-KR"/>
              </w:rPr>
              <w:t xml:space="preserve">, </w:t>
            </w:r>
            <w:r w:rsidRPr="009B7365">
              <w:rPr>
                <w:rFonts w:eastAsia="Malgun Gothic"/>
                <w:bCs/>
                <w:lang w:eastAsia="ko-KR"/>
              </w:rPr>
              <w:t>the inter-subband CLI</w:t>
            </w:r>
            <w:r>
              <w:rPr>
                <w:rFonts w:eastAsia="Malgun Gothic"/>
                <w:bCs/>
                <w:lang w:eastAsia="ko-KR"/>
              </w:rPr>
              <w:t>,</w:t>
            </w:r>
            <w:r w:rsidRPr="00621560">
              <w:rPr>
                <w:rFonts w:eastAsia="Malgun Gothic"/>
                <w:bCs/>
                <w:lang w:eastAsia="ko-KR"/>
              </w:rPr>
              <w:t xml:space="preserve"> and the inter-operator CLI at gNB and </w:t>
            </w:r>
            <w:r>
              <w:rPr>
                <w:rFonts w:eastAsia="Malgun Gothic"/>
                <w:bCs/>
                <w:lang w:eastAsia="ko-KR"/>
              </w:rPr>
              <w:t xml:space="preserve">the inter-subband CLI and </w:t>
            </w:r>
            <w:r w:rsidRPr="00621560">
              <w:rPr>
                <w:rFonts w:eastAsia="Malgun Gothic"/>
                <w:bCs/>
                <w:lang w:eastAsia="ko-KR"/>
              </w:rPr>
              <w:t xml:space="preserve">inter-operator CLI at UE </w:t>
            </w:r>
            <w:r>
              <w:rPr>
                <w:rFonts w:eastAsia="Malgun Gothic"/>
                <w:bCs/>
                <w:lang w:eastAsia="ko-KR"/>
              </w:rPr>
              <w:t>(RAN4)</w:t>
            </w:r>
            <w:r w:rsidRPr="00621560">
              <w:rPr>
                <w:rFonts w:eastAsia="Malgun Gothic"/>
                <w:bCs/>
                <w:lang w:eastAsia="ko-KR"/>
              </w:rPr>
              <w:t>.</w:t>
            </w:r>
          </w:p>
          <w:p w14:paraId="4E33007E" w14:textId="77777777" w:rsidR="00A27AEB" w:rsidRPr="006C3E79" w:rsidRDefault="00A27AEB" w:rsidP="00A27AEB">
            <w:pPr>
              <w:pStyle w:val="ListParagraph"/>
              <w:numPr>
                <w:ilvl w:val="0"/>
                <w:numId w:val="8"/>
              </w:numPr>
              <w:spacing w:before="0" w:after="180"/>
              <w:jc w:val="both"/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/>
                <w:bCs/>
                <w:lang w:eastAsia="ko-KR"/>
              </w:rPr>
              <w:t xml:space="preserve">Note: </w:t>
            </w:r>
            <w:r w:rsidRPr="006C3E79">
              <w:rPr>
                <w:rFonts w:eastAsia="Malgun Gothic"/>
                <w:bCs/>
                <w:lang w:eastAsia="ko-KR"/>
              </w:rPr>
              <w:t xml:space="preserve">RAN4 should </w:t>
            </w:r>
            <w:r w:rsidRPr="00F02B62">
              <w:rPr>
                <w:rFonts w:eastAsia="Malgun Gothic"/>
                <w:bCs/>
                <w:lang w:eastAsia="ko-KR"/>
              </w:rPr>
              <w:t xml:space="preserve">be involved early </w:t>
            </w:r>
            <w:r w:rsidRPr="009A0ABD">
              <w:rPr>
                <w:rFonts w:eastAsia="Malgun Gothic"/>
                <w:bCs/>
                <w:lang w:eastAsia="ko-KR"/>
              </w:rPr>
              <w:t>to provide necessary information to RAN1 as needed</w:t>
            </w:r>
            <w:r w:rsidRPr="006C3E79">
              <w:rPr>
                <w:rFonts w:eastAsia="Malgun Gothic"/>
                <w:bCs/>
                <w:lang w:eastAsia="ko-KR"/>
              </w:rPr>
              <w:t xml:space="preserve"> and to study the feasibility aspects due to high impact in antenna/RF and algorithm design, which include antenna isolation, TX IM suppression in the RX part, filtering and digital interference suppression.</w:t>
            </w:r>
          </w:p>
          <w:p w14:paraId="15A6C282" w14:textId="77777777" w:rsidR="00A27AEB" w:rsidRPr="00464930" w:rsidRDefault="00A27AEB" w:rsidP="00A27AEB">
            <w:pPr>
              <w:pStyle w:val="ListParagraph"/>
              <w:numPr>
                <w:ilvl w:val="0"/>
                <w:numId w:val="8"/>
              </w:numPr>
              <w:spacing w:before="0" w:after="180"/>
              <w:jc w:val="both"/>
              <w:rPr>
                <w:lang w:val="en-US"/>
              </w:rPr>
            </w:pPr>
            <w:r w:rsidRPr="00464930">
              <w:rPr>
                <w:lang w:val="en-US"/>
              </w:rPr>
              <w:t>Summarize the regulatory aspects that have to be considered for deploying the identified duplex enhancements in TDD unpaired spectrum (RAN4).</w:t>
            </w:r>
          </w:p>
          <w:p w14:paraId="25E43CC1" w14:textId="77777777" w:rsidR="00531049" w:rsidRDefault="00531049" w:rsidP="00531049">
            <w:pPr>
              <w:spacing w:after="0"/>
              <w:rPr>
                <w:lang w:eastAsia="ko-KR"/>
              </w:rPr>
            </w:pPr>
          </w:p>
        </w:tc>
      </w:tr>
    </w:tbl>
    <w:p w14:paraId="61E01076" w14:textId="6A131C73" w:rsidR="00DC2BE2" w:rsidRDefault="00F74575">
      <w:r>
        <w:t xml:space="preserve">In this contribution, we provide our views </w:t>
      </w:r>
      <w:r w:rsidR="00A651A8">
        <w:rPr>
          <w:rFonts w:eastAsia="SimSun"/>
          <w:lang w:eastAsia="zh-CN"/>
        </w:rPr>
        <w:t xml:space="preserve">about the </w:t>
      </w:r>
      <w:r w:rsidR="00A27AEB" w:rsidRPr="00A27AEB">
        <w:rPr>
          <w:rFonts w:eastAsia="SimSun"/>
          <w:lang w:eastAsia="zh-CN"/>
        </w:rPr>
        <w:t>impact on legacy operation assuming their co-existence in co-channel and adjacent channels</w:t>
      </w:r>
      <w:r w:rsidR="00A651A8">
        <w:rPr>
          <w:rFonts w:eastAsia="SimSun"/>
          <w:lang w:eastAsia="zh-CN"/>
        </w:rPr>
        <w:t>.</w:t>
      </w:r>
    </w:p>
    <w:p w14:paraId="01B999B3" w14:textId="2ED59248" w:rsidR="00CD2111" w:rsidRDefault="00CD2111" w:rsidP="00CD2111">
      <w:pPr>
        <w:pStyle w:val="Heading1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</w:p>
    <w:p w14:paraId="52599BC9" w14:textId="0A12A0CE" w:rsidR="00CE0CAE" w:rsidRPr="005C3B4E" w:rsidRDefault="00CE0CAE" w:rsidP="006378ED">
      <w:pPr>
        <w:pStyle w:val="Heading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3B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 </w:t>
      </w:r>
      <w:r w:rsidR="00A27AEB">
        <w:rPr>
          <w:rFonts w:ascii="Times New Roman" w:hAnsi="Times New Roman" w:cs="Times New Roman"/>
          <w:color w:val="000000" w:themeColor="text1"/>
          <w:sz w:val="28"/>
          <w:szCs w:val="28"/>
        </w:rPr>
        <w:t>Impact to legacy operation</w:t>
      </w:r>
    </w:p>
    <w:p w14:paraId="35427E1D" w14:textId="77777777" w:rsidR="00A27AEB" w:rsidRDefault="00A27AEB" w:rsidP="001946E0">
      <w:pPr>
        <w:spacing w:before="0" w:after="0"/>
      </w:pPr>
    </w:p>
    <w:p w14:paraId="260EB036" w14:textId="24FBD1DF" w:rsidR="00B3538A" w:rsidRDefault="00A27AEB" w:rsidP="00C902B2">
      <w:pPr>
        <w:spacing w:before="0" w:after="0"/>
      </w:pPr>
      <w:r>
        <w:t xml:space="preserve">Legacy half-duplex TDD systems must observe regulatory limits on </w:t>
      </w:r>
      <w:r w:rsidR="00D73860">
        <w:t xml:space="preserve">in-band EIRP limits and </w:t>
      </w:r>
      <w:r>
        <w:t xml:space="preserve">out-of-band </w:t>
      </w:r>
      <w:r w:rsidR="00B3538A">
        <w:t xml:space="preserve">(OOB) </w:t>
      </w:r>
      <w:r>
        <w:t>emissions into adjacent channels</w:t>
      </w:r>
      <w:r w:rsidR="00C902B2">
        <w:t xml:space="preserve">. This helps limit the magnitude of CLI to networks with a different TDD configuration on </w:t>
      </w:r>
      <w:r w:rsidR="00D73860">
        <w:t xml:space="preserve">the same channel and </w:t>
      </w:r>
      <w:r w:rsidR="00C902B2">
        <w:t xml:space="preserve">adjacent channels. </w:t>
      </w:r>
      <w:r w:rsidR="00C902B2" w:rsidRPr="00C902B2">
        <w:t>Out of band emissions are unwanted emissions immediately outside the assigned channel bandwidth resulting from</w:t>
      </w:r>
      <w:r w:rsidR="00C902B2">
        <w:t xml:space="preserve"> </w:t>
      </w:r>
      <w:r w:rsidR="00C902B2" w:rsidRPr="00C902B2">
        <w:t xml:space="preserve">the modulation process and non-linearity in the </w:t>
      </w:r>
      <w:r w:rsidR="00C902B2" w:rsidRPr="00C902B2">
        <w:lastRenderedPageBreak/>
        <w:t>transmitter but excluding spurious emissions. This out of band emission</w:t>
      </w:r>
      <w:r w:rsidR="00C902B2">
        <w:t xml:space="preserve"> </w:t>
      </w:r>
      <w:r w:rsidR="00C902B2" w:rsidRPr="00C902B2">
        <w:t>limit is specified in terms of a spectrum emission mask and an adjacent channel leakage power ratio.</w:t>
      </w:r>
      <w:r w:rsidR="00C902B2" w:rsidRPr="00C902B2">
        <w:t xml:space="preserve"> </w:t>
      </w:r>
      <w:r w:rsidR="00C902B2">
        <w:t xml:space="preserve">Furthermore, </w:t>
      </w:r>
      <w:r w:rsidR="00B3538A">
        <w:t xml:space="preserve">gNBs and UEs may have different levels of </w:t>
      </w:r>
      <w:r w:rsidR="00D73860">
        <w:t xml:space="preserve">in-band maximum transmit powers and </w:t>
      </w:r>
      <w:r w:rsidR="00B3538A">
        <w:t>OOB emissions.</w:t>
      </w:r>
    </w:p>
    <w:p w14:paraId="11609795" w14:textId="77777777" w:rsidR="00B3538A" w:rsidRDefault="00B3538A" w:rsidP="00C902B2">
      <w:pPr>
        <w:spacing w:before="0" w:after="0"/>
      </w:pPr>
    </w:p>
    <w:p w14:paraId="08FAB266" w14:textId="48271807" w:rsidR="00EF741D" w:rsidRDefault="00C902B2" w:rsidP="00C902B2">
      <w:pPr>
        <w:spacing w:before="0" w:after="0"/>
      </w:pPr>
      <w:r>
        <w:t xml:space="preserve">It is expected that sub-band full-duplex </w:t>
      </w:r>
      <w:r w:rsidR="00D73860">
        <w:t xml:space="preserve">networks will be deployed in co-channel and adjacent channels with legacy TDD networks from another operator. </w:t>
      </w:r>
      <w:r w:rsidR="00B12830">
        <w:t xml:space="preserve">While OOB emission limits and spectrum emission masks are determined by RAN4, the RAN1 design in terms of </w:t>
      </w:r>
      <w:r w:rsidR="00174F98">
        <w:t xml:space="preserve">frequency allocation of full-duplex subbands will also impact legacy networks. For example, if full-duplex subbands are allowed to be located at the edge of the carrier and the duplex direction can be changed at will on a per-slot basis, then legacy networks will perceive more dynamically-varying CLI compared to the non-full-duplex case. </w:t>
      </w:r>
      <w:r w:rsidR="00AF7690">
        <w:t>It is noted that o</w:t>
      </w:r>
      <w:r w:rsidR="00AF7690" w:rsidRPr="00AF7690">
        <w:t xml:space="preserve">ne of the problems not addressed in the previous </w:t>
      </w:r>
      <w:r w:rsidR="00AF7690">
        <w:t xml:space="preserve">NR </w:t>
      </w:r>
      <w:r w:rsidR="00AF7690" w:rsidRPr="00AF7690">
        <w:t>releases is gNB-to-gNB CLI.</w:t>
      </w:r>
    </w:p>
    <w:p w14:paraId="5A81D1A1" w14:textId="77777777" w:rsidR="00EF741D" w:rsidRDefault="00EF741D" w:rsidP="001946E0">
      <w:pPr>
        <w:spacing w:before="0" w:after="0"/>
      </w:pPr>
    </w:p>
    <w:p w14:paraId="0A5B5372" w14:textId="2EBC079F" w:rsidR="00EF741D" w:rsidRPr="00B01F92" w:rsidRDefault="00EF741D" w:rsidP="001946E0">
      <w:pPr>
        <w:spacing w:before="0" w:after="0"/>
        <w:rPr>
          <w:b/>
          <w:bCs/>
          <w:i/>
          <w:iCs/>
        </w:rPr>
      </w:pPr>
      <w:r w:rsidRPr="00B01F92">
        <w:rPr>
          <w:b/>
          <w:bCs/>
          <w:i/>
          <w:iCs/>
        </w:rPr>
        <w:t xml:space="preserve">Observation 1: </w:t>
      </w:r>
      <w:r w:rsidR="00174F98">
        <w:rPr>
          <w:b/>
          <w:bCs/>
          <w:i/>
          <w:iCs/>
        </w:rPr>
        <w:t xml:space="preserve">The permitted frequency placement of full-duplex subbands and the time-domain flexibility of switching duplex directions </w:t>
      </w:r>
      <w:r w:rsidR="00AF7690">
        <w:rPr>
          <w:b/>
          <w:bCs/>
          <w:i/>
          <w:iCs/>
        </w:rPr>
        <w:t xml:space="preserve">within these subbands </w:t>
      </w:r>
      <w:r w:rsidR="00174F98">
        <w:rPr>
          <w:b/>
          <w:bCs/>
          <w:i/>
          <w:iCs/>
        </w:rPr>
        <w:t xml:space="preserve">impacts the CLI caused to legacy networks.  </w:t>
      </w:r>
    </w:p>
    <w:p w14:paraId="40A37207" w14:textId="595A42BE" w:rsidR="00EF741D" w:rsidRDefault="00EF741D" w:rsidP="001946E0">
      <w:pPr>
        <w:spacing w:before="0" w:after="0"/>
      </w:pPr>
    </w:p>
    <w:p w14:paraId="76BF68CF" w14:textId="39AC71D7" w:rsidR="00EF741D" w:rsidRDefault="00461DE3" w:rsidP="001946E0">
      <w:pPr>
        <w:spacing w:before="0" w:after="0"/>
      </w:pPr>
      <w:r>
        <w:t>Instead of designing CLI solutions for the worst-case scenario of band-edge subband full-duplexing, a simpler solution is to not permit full-duplex subbands to be placed at the band edge. How close to the band edge can these subbands be placed should be determined based on experimental studies.</w:t>
      </w:r>
    </w:p>
    <w:p w14:paraId="1B74B6A7" w14:textId="57329AA8" w:rsidR="00A23C48" w:rsidRDefault="00A23C48" w:rsidP="001946E0">
      <w:pPr>
        <w:spacing w:before="0" w:after="0"/>
      </w:pPr>
    </w:p>
    <w:p w14:paraId="635FFA69" w14:textId="2A2EDB41" w:rsidR="00A23C48" w:rsidRPr="00461DE3" w:rsidRDefault="00220559" w:rsidP="00461DE3">
      <w:pPr>
        <w:spacing w:before="0" w:after="0"/>
        <w:rPr>
          <w:b/>
          <w:bCs/>
          <w:i/>
          <w:iCs/>
        </w:rPr>
      </w:pPr>
      <w:r w:rsidRPr="00E51D6C">
        <w:rPr>
          <w:b/>
          <w:bCs/>
          <w:i/>
          <w:iCs/>
        </w:rPr>
        <w:t xml:space="preserve">Proposal 1: </w:t>
      </w:r>
      <w:r w:rsidR="00461DE3">
        <w:rPr>
          <w:b/>
          <w:bCs/>
          <w:i/>
          <w:iCs/>
        </w:rPr>
        <w:t xml:space="preserve">It is beneficial for CLI mitigation to </w:t>
      </w:r>
      <w:r w:rsidR="00461DE3" w:rsidRPr="00461DE3">
        <w:rPr>
          <w:b/>
          <w:bCs/>
          <w:i/>
          <w:iCs/>
        </w:rPr>
        <w:t xml:space="preserve">not permit </w:t>
      </w:r>
      <w:r w:rsidR="00461DE3" w:rsidRPr="00461DE3">
        <w:rPr>
          <w:b/>
          <w:bCs/>
          <w:i/>
          <w:iCs/>
        </w:rPr>
        <w:t xml:space="preserve">placement of </w:t>
      </w:r>
      <w:r w:rsidR="00461DE3" w:rsidRPr="00461DE3">
        <w:rPr>
          <w:b/>
          <w:bCs/>
          <w:i/>
          <w:iCs/>
        </w:rPr>
        <w:t>full-duplex subbands at the edge</w:t>
      </w:r>
      <w:r w:rsidR="00461DE3" w:rsidRPr="00461DE3">
        <w:rPr>
          <w:b/>
          <w:bCs/>
          <w:i/>
          <w:iCs/>
        </w:rPr>
        <w:t xml:space="preserve"> of a conventional TDD band.</w:t>
      </w:r>
    </w:p>
    <w:p w14:paraId="1D4A3389" w14:textId="20EC2591" w:rsidR="00A23C48" w:rsidRDefault="00A23C48" w:rsidP="001946E0">
      <w:pPr>
        <w:spacing w:before="0" w:after="0"/>
      </w:pPr>
    </w:p>
    <w:p w14:paraId="51825DA8" w14:textId="6826BDCE" w:rsidR="00CD2111" w:rsidRDefault="00CD2111" w:rsidP="00CD2111">
      <w:pPr>
        <w:pStyle w:val="Heading1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CB67D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nclusion</w:t>
      </w:r>
    </w:p>
    <w:p w14:paraId="7125BFE0" w14:textId="2D1F094C" w:rsidR="00E9482C" w:rsidRDefault="00E9482C" w:rsidP="00E9482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this contribution, we discuss network</w:t>
      </w:r>
      <w:r w:rsidR="00313FCF"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controlled repeaters and have the following observation and proposals:</w:t>
      </w:r>
    </w:p>
    <w:p w14:paraId="7418F5E2" w14:textId="6C605296" w:rsidR="00E9482C" w:rsidRDefault="00E9482C" w:rsidP="00A27AEB">
      <w:pPr>
        <w:spacing w:before="0" w:after="0"/>
        <w:rPr>
          <w:b/>
          <w:bCs/>
          <w:i/>
          <w:iCs/>
        </w:rPr>
      </w:pPr>
      <w:r w:rsidRPr="00B01F92">
        <w:rPr>
          <w:b/>
          <w:bCs/>
          <w:i/>
          <w:iCs/>
        </w:rPr>
        <w:t xml:space="preserve">Observation 1: </w:t>
      </w:r>
      <w:r w:rsidR="00461DE3">
        <w:rPr>
          <w:b/>
          <w:bCs/>
          <w:i/>
          <w:iCs/>
        </w:rPr>
        <w:t xml:space="preserve">The permitted frequency placement of full-duplex subbands and the time-domain flexibility of switching duplex directions within these subbands impacts the CLI caused to legacy networks.  </w:t>
      </w:r>
    </w:p>
    <w:p w14:paraId="7E7D48D5" w14:textId="2760045F" w:rsidR="00F0118D" w:rsidRDefault="00F0118D" w:rsidP="00E9482C">
      <w:pPr>
        <w:spacing w:before="0" w:after="0"/>
        <w:rPr>
          <w:b/>
          <w:bCs/>
          <w:i/>
          <w:iCs/>
        </w:rPr>
      </w:pPr>
    </w:p>
    <w:p w14:paraId="475A767F" w14:textId="77777777" w:rsidR="00461DE3" w:rsidRPr="00461DE3" w:rsidRDefault="00461DE3" w:rsidP="00461DE3">
      <w:pPr>
        <w:spacing w:before="0" w:after="0"/>
        <w:rPr>
          <w:b/>
          <w:bCs/>
          <w:i/>
          <w:iCs/>
        </w:rPr>
      </w:pPr>
      <w:r w:rsidRPr="00E51D6C">
        <w:rPr>
          <w:b/>
          <w:bCs/>
          <w:i/>
          <w:iCs/>
        </w:rPr>
        <w:t xml:space="preserve">Proposal 1: </w:t>
      </w:r>
      <w:r>
        <w:rPr>
          <w:b/>
          <w:bCs/>
          <w:i/>
          <w:iCs/>
        </w:rPr>
        <w:t xml:space="preserve">It is beneficial for CLI mitigation to </w:t>
      </w:r>
      <w:r w:rsidRPr="00461DE3">
        <w:rPr>
          <w:b/>
          <w:bCs/>
          <w:i/>
          <w:iCs/>
        </w:rPr>
        <w:t>not permit placement of full-duplex subbands at the edge of a conventional TDD band.</w:t>
      </w:r>
    </w:p>
    <w:p w14:paraId="3BBF8A81" w14:textId="77777777" w:rsidR="00BE6C1A" w:rsidRPr="000F7D80" w:rsidRDefault="00BE6C1A" w:rsidP="00E9482C">
      <w:pPr>
        <w:spacing w:before="0" w:after="0"/>
        <w:rPr>
          <w:b/>
          <w:bCs/>
          <w:i/>
          <w:iCs/>
        </w:rPr>
      </w:pPr>
    </w:p>
    <w:p w14:paraId="6630E43B" w14:textId="2F2B61E5" w:rsidR="00CD2111" w:rsidRDefault="00CD2111" w:rsidP="00CD2111">
      <w:pPr>
        <w:pStyle w:val="Heading1"/>
        <w:numPr>
          <w:ilvl w:val="0"/>
          <w:numId w:val="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14:paraId="2E575467" w14:textId="3B7DD8C0" w:rsidR="005036E8" w:rsidRDefault="002A067E" w:rsidP="005036E8">
      <w:r>
        <w:t xml:space="preserve">[1] </w:t>
      </w:r>
      <w:r w:rsidR="00A27AEB" w:rsidRPr="00A27AEB">
        <w:t>RP-220633</w:t>
      </w:r>
      <w:r w:rsidR="00A27AEB">
        <w:t xml:space="preserve"> </w:t>
      </w:r>
      <w:r w:rsidR="00A27AEB" w:rsidRPr="00A27AEB">
        <w:t>Revised SID: Study on evolution of NR duplex operation</w:t>
      </w:r>
    </w:p>
    <w:p w14:paraId="5B08F55B" w14:textId="77777777" w:rsidR="00CD2111" w:rsidRDefault="00CD2111"/>
    <w:sectPr w:rsidR="00CD2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515C8"/>
    <w:multiLevelType w:val="multilevel"/>
    <w:tmpl w:val="91B2D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A9B4976"/>
    <w:multiLevelType w:val="multilevel"/>
    <w:tmpl w:val="9830DD48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210" w:hanging="720"/>
      </w:pPr>
      <w:rPr>
        <w:rFonts w:hint="default"/>
        <w:lang w:val="en-US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372B2246"/>
    <w:multiLevelType w:val="hybridMultilevel"/>
    <w:tmpl w:val="36BAF670"/>
    <w:lvl w:ilvl="0" w:tplc="B0B47E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826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204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6D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E0E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A073B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CD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47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22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7" w15:restartNumberingAfterBreak="0">
    <w:nsid w:val="638942EB"/>
    <w:multiLevelType w:val="hybridMultilevel"/>
    <w:tmpl w:val="D55EF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64989">
    <w:abstractNumId w:val="4"/>
  </w:num>
  <w:num w:numId="2" w16cid:durableId="354816227">
    <w:abstractNumId w:val="1"/>
  </w:num>
  <w:num w:numId="3" w16cid:durableId="1266110725">
    <w:abstractNumId w:val="7"/>
  </w:num>
  <w:num w:numId="4" w16cid:durableId="487669452">
    <w:abstractNumId w:val="5"/>
  </w:num>
  <w:num w:numId="5" w16cid:durableId="1039622259">
    <w:abstractNumId w:val="0"/>
  </w:num>
  <w:num w:numId="6" w16cid:durableId="933590211">
    <w:abstractNumId w:val="2"/>
  </w:num>
  <w:num w:numId="7" w16cid:durableId="662969946">
    <w:abstractNumId w:val="3"/>
  </w:num>
  <w:num w:numId="8" w16cid:durableId="5525492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C38"/>
    <w:rsid w:val="00025717"/>
    <w:rsid w:val="00026E8E"/>
    <w:rsid w:val="00041173"/>
    <w:rsid w:val="00063C54"/>
    <w:rsid w:val="00081613"/>
    <w:rsid w:val="000A7612"/>
    <w:rsid w:val="000F7D80"/>
    <w:rsid w:val="001114B3"/>
    <w:rsid w:val="00137B30"/>
    <w:rsid w:val="0014387E"/>
    <w:rsid w:val="001634FE"/>
    <w:rsid w:val="00174F98"/>
    <w:rsid w:val="0018562C"/>
    <w:rsid w:val="001946E0"/>
    <w:rsid w:val="001B1BBD"/>
    <w:rsid w:val="001B64E0"/>
    <w:rsid w:val="001C1BC1"/>
    <w:rsid w:val="001D5BFC"/>
    <w:rsid w:val="001E793C"/>
    <w:rsid w:val="001F4B6D"/>
    <w:rsid w:val="001F7389"/>
    <w:rsid w:val="00220559"/>
    <w:rsid w:val="00237C56"/>
    <w:rsid w:val="002523CE"/>
    <w:rsid w:val="002573AB"/>
    <w:rsid w:val="00273138"/>
    <w:rsid w:val="00287AB4"/>
    <w:rsid w:val="002A067E"/>
    <w:rsid w:val="002E3883"/>
    <w:rsid w:val="002F1E15"/>
    <w:rsid w:val="00313D16"/>
    <w:rsid w:val="00313FCF"/>
    <w:rsid w:val="00326BE6"/>
    <w:rsid w:val="0034397E"/>
    <w:rsid w:val="00380F95"/>
    <w:rsid w:val="003C53B3"/>
    <w:rsid w:val="003D1C53"/>
    <w:rsid w:val="003D6C4D"/>
    <w:rsid w:val="003D7A73"/>
    <w:rsid w:val="003F285A"/>
    <w:rsid w:val="004220EA"/>
    <w:rsid w:val="00431155"/>
    <w:rsid w:val="00437E64"/>
    <w:rsid w:val="004418C5"/>
    <w:rsid w:val="00461DE3"/>
    <w:rsid w:val="00483404"/>
    <w:rsid w:val="00492547"/>
    <w:rsid w:val="00492A00"/>
    <w:rsid w:val="004A021B"/>
    <w:rsid w:val="004B1DD0"/>
    <w:rsid w:val="004B63B1"/>
    <w:rsid w:val="005036E8"/>
    <w:rsid w:val="00531049"/>
    <w:rsid w:val="005512E6"/>
    <w:rsid w:val="00562271"/>
    <w:rsid w:val="00564A01"/>
    <w:rsid w:val="005738CF"/>
    <w:rsid w:val="0057526D"/>
    <w:rsid w:val="00580234"/>
    <w:rsid w:val="00581DEF"/>
    <w:rsid w:val="00594FB1"/>
    <w:rsid w:val="005B102D"/>
    <w:rsid w:val="005C3B4E"/>
    <w:rsid w:val="005F0366"/>
    <w:rsid w:val="006378ED"/>
    <w:rsid w:val="00650DCF"/>
    <w:rsid w:val="00673120"/>
    <w:rsid w:val="006739FA"/>
    <w:rsid w:val="006967AB"/>
    <w:rsid w:val="006973AE"/>
    <w:rsid w:val="006A67DE"/>
    <w:rsid w:val="006B150C"/>
    <w:rsid w:val="006B4538"/>
    <w:rsid w:val="006D74F7"/>
    <w:rsid w:val="006E5E5F"/>
    <w:rsid w:val="007050F5"/>
    <w:rsid w:val="0072739B"/>
    <w:rsid w:val="0074295B"/>
    <w:rsid w:val="00777A2B"/>
    <w:rsid w:val="007A51AE"/>
    <w:rsid w:val="007B4229"/>
    <w:rsid w:val="007E0F59"/>
    <w:rsid w:val="00812C19"/>
    <w:rsid w:val="00837FC8"/>
    <w:rsid w:val="0084503C"/>
    <w:rsid w:val="008450E8"/>
    <w:rsid w:val="00861F17"/>
    <w:rsid w:val="0087387F"/>
    <w:rsid w:val="00883C05"/>
    <w:rsid w:val="00895558"/>
    <w:rsid w:val="008D5866"/>
    <w:rsid w:val="008E2484"/>
    <w:rsid w:val="008F251C"/>
    <w:rsid w:val="008F44E2"/>
    <w:rsid w:val="00913CF0"/>
    <w:rsid w:val="00935320"/>
    <w:rsid w:val="00935EBC"/>
    <w:rsid w:val="00937C62"/>
    <w:rsid w:val="00940891"/>
    <w:rsid w:val="009703EA"/>
    <w:rsid w:val="00992142"/>
    <w:rsid w:val="009934F5"/>
    <w:rsid w:val="009A1F30"/>
    <w:rsid w:val="009C37A0"/>
    <w:rsid w:val="009C4885"/>
    <w:rsid w:val="009D2BB7"/>
    <w:rsid w:val="00A177B2"/>
    <w:rsid w:val="00A21E22"/>
    <w:rsid w:val="00A23C48"/>
    <w:rsid w:val="00A27AEB"/>
    <w:rsid w:val="00A32E42"/>
    <w:rsid w:val="00A53657"/>
    <w:rsid w:val="00A651A8"/>
    <w:rsid w:val="00A710CA"/>
    <w:rsid w:val="00A8298B"/>
    <w:rsid w:val="00A851AE"/>
    <w:rsid w:val="00A878CB"/>
    <w:rsid w:val="00A94F6D"/>
    <w:rsid w:val="00A9628F"/>
    <w:rsid w:val="00AA1E3D"/>
    <w:rsid w:val="00AB2FF7"/>
    <w:rsid w:val="00AC64ED"/>
    <w:rsid w:val="00AD22A9"/>
    <w:rsid w:val="00AE1194"/>
    <w:rsid w:val="00AF7690"/>
    <w:rsid w:val="00B01F92"/>
    <w:rsid w:val="00B07D7A"/>
    <w:rsid w:val="00B127AC"/>
    <w:rsid w:val="00B12830"/>
    <w:rsid w:val="00B33C38"/>
    <w:rsid w:val="00B3538A"/>
    <w:rsid w:val="00B35B3E"/>
    <w:rsid w:val="00B35FAD"/>
    <w:rsid w:val="00B56532"/>
    <w:rsid w:val="00B6472E"/>
    <w:rsid w:val="00B73815"/>
    <w:rsid w:val="00B758DD"/>
    <w:rsid w:val="00B7594E"/>
    <w:rsid w:val="00BE66A0"/>
    <w:rsid w:val="00BE6C1A"/>
    <w:rsid w:val="00C16265"/>
    <w:rsid w:val="00C25B3C"/>
    <w:rsid w:val="00C26A3E"/>
    <w:rsid w:val="00C3782F"/>
    <w:rsid w:val="00C645A5"/>
    <w:rsid w:val="00C87FF9"/>
    <w:rsid w:val="00C902B2"/>
    <w:rsid w:val="00C94956"/>
    <w:rsid w:val="00CA1A05"/>
    <w:rsid w:val="00CA6586"/>
    <w:rsid w:val="00CB67DE"/>
    <w:rsid w:val="00CD1FCB"/>
    <w:rsid w:val="00CD2111"/>
    <w:rsid w:val="00CE0CAE"/>
    <w:rsid w:val="00CE1885"/>
    <w:rsid w:val="00CE287E"/>
    <w:rsid w:val="00D4412D"/>
    <w:rsid w:val="00D4533C"/>
    <w:rsid w:val="00D5406D"/>
    <w:rsid w:val="00D73860"/>
    <w:rsid w:val="00DA361C"/>
    <w:rsid w:val="00DC2BE2"/>
    <w:rsid w:val="00DD0495"/>
    <w:rsid w:val="00DD09A5"/>
    <w:rsid w:val="00DD0B88"/>
    <w:rsid w:val="00DD5466"/>
    <w:rsid w:val="00E16F10"/>
    <w:rsid w:val="00E334DF"/>
    <w:rsid w:val="00E51D6C"/>
    <w:rsid w:val="00E62961"/>
    <w:rsid w:val="00E769CA"/>
    <w:rsid w:val="00E9482C"/>
    <w:rsid w:val="00EC154C"/>
    <w:rsid w:val="00EF741D"/>
    <w:rsid w:val="00F0118D"/>
    <w:rsid w:val="00F15124"/>
    <w:rsid w:val="00F24C37"/>
    <w:rsid w:val="00F328C7"/>
    <w:rsid w:val="00F42ED7"/>
    <w:rsid w:val="00F74575"/>
    <w:rsid w:val="00FA6BAC"/>
    <w:rsid w:val="00FB67B5"/>
    <w:rsid w:val="00FD2D13"/>
    <w:rsid w:val="00FD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E7247"/>
  <w15:chartTrackingRefBased/>
  <w15:docId w15:val="{429C9D4E-D356-5648-8CC5-FAE09F4CF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DE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" w:eastAsia="Batang" w:hAnsi="Times" w:cs="Times New Roman"/>
      <w:sz w:val="20"/>
      <w:lang w:val="en-GB"/>
    </w:rPr>
  </w:style>
  <w:style w:type="paragraph" w:styleId="Heading1">
    <w:name w:val="heading 1"/>
    <w:next w:val="Normal"/>
    <w:link w:val="Heading1Char1"/>
    <w:qFormat/>
    <w:rsid w:val="00B33C3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Tahoma" w:eastAsia="Cambria" w:hAnsi="Tahoma" w:cs="Consolas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3C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B33C38"/>
    <w:pPr>
      <w:keepNext w:val="0"/>
      <w:keepLines w:val="0"/>
      <w:numPr>
        <w:ilvl w:val="2"/>
        <w:numId w:val="1"/>
      </w:numPr>
      <w:spacing w:before="300" w:after="120"/>
      <w:outlineLvl w:val="2"/>
    </w:pPr>
    <w:rPr>
      <w:rFonts w:ascii="Times New Roman" w:eastAsia="Malgun Gothic" w:hAnsi="Times New Roman" w:cs="Times New Roman"/>
      <w:color w:val="auto"/>
      <w:sz w:val="22"/>
      <w:szCs w:val="24"/>
      <w:lang w:val="en-US" w:eastAsia="ko-K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33C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B33C38"/>
    <w:rPr>
      <w:rFonts w:ascii="Times New Roman" w:eastAsia="Malgun Gothic" w:hAnsi="Times New Roman" w:cs="Times New Roman"/>
      <w:sz w:val="22"/>
      <w:lang w:eastAsia="ko-KR"/>
    </w:rPr>
  </w:style>
  <w:style w:type="character" w:customStyle="1" w:styleId="Heading1Char1">
    <w:name w:val="Heading 1 Char1"/>
    <w:link w:val="Heading1"/>
    <w:rsid w:val="00B33C38"/>
    <w:rPr>
      <w:rFonts w:ascii="Tahoma" w:eastAsia="Cambria" w:hAnsi="Tahoma" w:cs="Consolas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33C3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TableGrid">
    <w:name w:val="Table Grid"/>
    <w:basedOn w:val="TableNormal"/>
    <w:uiPriority w:val="39"/>
    <w:rsid w:val="005310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7050F5"/>
    <w:pPr>
      <w:spacing w:before="0" w:after="180"/>
    </w:pPr>
    <w:rPr>
      <w:rFonts w:ascii="Times New Roman" w:hAnsi="Times New Roman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7050F5"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Normal"/>
    <w:rsid w:val="007050F5"/>
    <w:pPr>
      <w:keepNext/>
      <w:keepLines/>
      <w:spacing w:before="0" w:after="0"/>
      <w:jc w:val="center"/>
    </w:pPr>
    <w:rPr>
      <w:rFonts w:ascii="Arial" w:hAnsi="Arial"/>
      <w:b/>
      <w:sz w:val="18"/>
      <w:szCs w:val="20"/>
      <w:lang w:eastAsia="en-GB"/>
    </w:rPr>
  </w:style>
  <w:style w:type="character" w:styleId="CommentReference">
    <w:name w:val="annotation reference"/>
    <w:semiHidden/>
    <w:rsid w:val="007050F5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A8298B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1E15"/>
    <w:pPr>
      <w:spacing w:before="120" w:after="120"/>
    </w:pPr>
    <w:rPr>
      <w:rFonts w:ascii="Times" w:hAnsi="Times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1E15"/>
    <w:rPr>
      <w:rFonts w:ascii="Times" w:eastAsia="Batang" w:hAnsi="Times" w:cs="Times New Roman"/>
      <w:b/>
      <w:bCs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34397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lang w:val="en-US"/>
    </w:rPr>
  </w:style>
  <w:style w:type="paragraph" w:styleId="Revision">
    <w:name w:val="Revision"/>
    <w:hidden/>
    <w:uiPriority w:val="99"/>
    <w:semiHidden/>
    <w:rsid w:val="00C16265"/>
    <w:rPr>
      <w:rFonts w:ascii="Times" w:eastAsia="Batang" w:hAnsi="Times" w:cs="Times New Roma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27AEB"/>
    <w:rPr>
      <w:rFonts w:ascii="Times" w:eastAsia="Batang" w:hAnsi="Times" w:cs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5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20214">
          <w:marLeft w:val="21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3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29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amitav mukherjee</cp:lastModifiedBy>
  <cp:revision>8</cp:revision>
  <dcterms:created xsi:type="dcterms:W3CDTF">2022-04-22T16:18:00Z</dcterms:created>
  <dcterms:modified xsi:type="dcterms:W3CDTF">2022-04-29T04:33:00Z</dcterms:modified>
</cp:coreProperties>
</file>