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5D4B2A50" w:rsidR="00254517" w:rsidRPr="004560F5" w:rsidRDefault="00254517" w:rsidP="007C5531">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A179CB">
        <w:rPr>
          <w:rFonts w:ascii="Arial" w:hAnsi="Arial" w:cs="Arial"/>
          <w:b/>
          <w:sz w:val="24"/>
          <w:lang w:val="en-US"/>
        </w:rPr>
        <w:t>9</w:t>
      </w:r>
      <w:r w:rsidR="00961FB3">
        <w:rPr>
          <w:rFonts w:ascii="Arial" w:hAnsi="Arial" w:cs="Arial"/>
          <w:b/>
          <w:sz w:val="24"/>
          <w:lang w:val="en-US"/>
        </w:rPr>
        <w:t>-e</w:t>
      </w:r>
      <w:r w:rsidRPr="004560F5">
        <w:rPr>
          <w:rFonts w:ascii="Arial" w:hAnsi="Arial" w:cs="Arial"/>
          <w:b/>
          <w:sz w:val="24"/>
          <w:lang w:val="en-US"/>
        </w:rPr>
        <w:tab/>
      </w:r>
      <w:r w:rsidR="005F6206" w:rsidRPr="005F6206">
        <w:rPr>
          <w:rFonts w:ascii="Arial" w:hAnsi="Arial" w:cs="Arial"/>
          <w:b/>
          <w:sz w:val="24"/>
          <w:lang w:val="en-US"/>
        </w:rPr>
        <w:t>R1-2204761</w:t>
      </w:r>
    </w:p>
    <w:p w14:paraId="0877B945" w14:textId="31DE15D6"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EE1531" w:rsidRPr="00BB3B8B">
        <w:rPr>
          <w:rFonts w:ascii="Arial" w:hAnsi="Arial" w:cs="Arial"/>
          <w:b/>
          <w:bCs/>
          <w:sz w:val="24"/>
        </w:rPr>
        <w:t>May 9</w:t>
      </w:r>
      <w:r w:rsidR="00EE1531" w:rsidRPr="00BB3B8B">
        <w:rPr>
          <w:rFonts w:ascii="Arial" w:hAnsi="Arial" w:cs="Arial"/>
          <w:b/>
          <w:bCs/>
          <w:sz w:val="24"/>
          <w:vertAlign w:val="superscript"/>
        </w:rPr>
        <w:t>th</w:t>
      </w:r>
      <w:r w:rsidR="00EE1531">
        <w:rPr>
          <w:rFonts w:ascii="Arial" w:hAnsi="Arial" w:cs="Arial"/>
          <w:b/>
          <w:bCs/>
          <w:sz w:val="24"/>
        </w:rPr>
        <w:t xml:space="preserve"> </w:t>
      </w:r>
      <w:r w:rsidR="00EE1531" w:rsidRPr="00BB3B8B">
        <w:rPr>
          <w:rFonts w:ascii="Arial" w:hAnsi="Arial" w:cs="Arial"/>
          <w:b/>
          <w:bCs/>
          <w:sz w:val="24"/>
        </w:rPr>
        <w:t>– 20</w:t>
      </w:r>
      <w:r w:rsidR="00EE1531" w:rsidRPr="00BB3B8B">
        <w:rPr>
          <w:rFonts w:ascii="Arial" w:hAnsi="Arial" w:cs="Arial"/>
          <w:b/>
          <w:bCs/>
          <w:sz w:val="24"/>
          <w:vertAlign w:val="superscript"/>
        </w:rPr>
        <w:t>th</w:t>
      </w:r>
      <w:r w:rsidR="00EE1531" w:rsidRPr="002C2470">
        <w:rPr>
          <w:rFonts w:ascii="Arial" w:hAnsi="Arial" w:cs="Arial"/>
          <w:b/>
          <w:bCs/>
          <w:sz w:val="24"/>
        </w:rPr>
        <w:t xml:space="preserve">, </w:t>
      </w:r>
      <w:r w:rsidR="00307721">
        <w:rPr>
          <w:rFonts w:ascii="Arial" w:hAnsi="Arial" w:cs="Arial"/>
          <w:b/>
          <w:sz w:val="24"/>
          <w:lang w:val="en-US"/>
        </w:rPr>
        <w:t>2022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1CB408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w:t>
      </w:r>
      <w:r w:rsidR="00835C5E">
        <w:rPr>
          <w:rFonts w:ascii="Arial" w:eastAsia="Malgun Gothic" w:hAnsi="Arial" w:cs="Arial"/>
          <w:b/>
          <w:sz w:val="24"/>
          <w:lang w:val="en-US" w:eastAsia="ko-KR"/>
        </w:rPr>
        <w:t xml:space="preserve"> carrier switching</w:t>
      </w:r>
    </w:p>
    <w:p w14:paraId="442797E2" w14:textId="19E8DED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35C5E">
        <w:rPr>
          <w:rFonts w:ascii="Arial" w:hAnsi="Arial" w:cs="Arial"/>
          <w:b/>
          <w:sz w:val="24"/>
          <w:lang w:val="en-US"/>
        </w:rPr>
        <w:t>7.</w:t>
      </w:r>
      <w:r w:rsidR="00CB23DE">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43FCC09C" w:rsidR="00EA7A31" w:rsidRDefault="000108B0" w:rsidP="00026770">
      <w:pPr>
        <w:ind w:firstLine="284"/>
        <w:jc w:val="both"/>
        <w:rPr>
          <w:sz w:val="22"/>
          <w:lang w:eastAsia="zh-CN"/>
        </w:rPr>
      </w:pPr>
      <w:r>
        <w:rPr>
          <w:sz w:val="22"/>
          <w:lang w:eastAsia="zh-CN"/>
        </w:rPr>
        <w:t xml:space="preserve">In </w:t>
      </w:r>
      <w:r w:rsidR="00CC7D8E">
        <w:rPr>
          <w:sz w:val="22"/>
          <w:lang w:eastAsia="zh-CN"/>
        </w:rPr>
        <w:t>RAN1 #106-e</w:t>
      </w:r>
      <w:r>
        <w:rPr>
          <w:sz w:val="22"/>
          <w:lang w:eastAsia="zh-CN"/>
        </w:rPr>
        <w:t xml:space="preserve">, the following agreements on SRS </w:t>
      </w:r>
      <w:r w:rsidR="00301C0F">
        <w:rPr>
          <w:sz w:val="22"/>
          <w:lang w:eastAsia="zh-CN"/>
        </w:rPr>
        <w:t>carrier switching</w:t>
      </w:r>
      <w:r>
        <w:rPr>
          <w:sz w:val="22"/>
          <w:lang w:eastAsia="zh-CN"/>
        </w:rPr>
        <w:t xml:space="preserve">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191C0264" w14:textId="736F4CB6" w:rsidR="00CC7D8E" w:rsidRPr="00CC7D8E" w:rsidRDefault="00CC7D8E" w:rsidP="00CC7D8E">
            <w:pPr>
              <w:rPr>
                <w:rStyle w:val="Strong"/>
                <w:rFonts w:cs="Times"/>
                <w:i/>
                <w:iCs/>
                <w:szCs w:val="22"/>
                <w:u w:val="single"/>
              </w:rPr>
            </w:pPr>
            <w:r>
              <w:rPr>
                <w:rStyle w:val="Strong"/>
                <w:rFonts w:cs="Times"/>
                <w:i/>
                <w:iCs/>
                <w:szCs w:val="22"/>
                <w:u w:val="single"/>
              </w:rPr>
              <w:t>Agreements f</w:t>
            </w:r>
            <w:r w:rsidRPr="00CC7D8E">
              <w:rPr>
                <w:rStyle w:val="Strong"/>
                <w:rFonts w:cs="Times"/>
                <w:i/>
                <w:iCs/>
                <w:szCs w:val="22"/>
                <w:u w:val="single"/>
              </w:rPr>
              <w:t>rom RAN1 #10</w:t>
            </w:r>
            <w:r>
              <w:rPr>
                <w:rStyle w:val="Strong"/>
                <w:rFonts w:cs="Times"/>
                <w:i/>
                <w:iCs/>
                <w:szCs w:val="22"/>
                <w:u w:val="single"/>
              </w:rPr>
              <w:t>6</w:t>
            </w:r>
            <w:r w:rsidRPr="00CC7D8E">
              <w:rPr>
                <w:rStyle w:val="Strong"/>
                <w:rFonts w:cs="Times"/>
                <w:i/>
                <w:iCs/>
                <w:szCs w:val="22"/>
                <w:u w:val="single"/>
              </w:rPr>
              <w:t>-e</w:t>
            </w:r>
          </w:p>
          <w:p w14:paraId="39A37A9B" w14:textId="77777777" w:rsidR="00CC7D8E" w:rsidRPr="00CC7D8E" w:rsidRDefault="00CC7D8E" w:rsidP="00CC7D8E">
            <w:pPr>
              <w:overflowPunct/>
              <w:autoSpaceDE/>
              <w:autoSpaceDN/>
              <w:adjustRightInd/>
              <w:spacing w:after="0"/>
              <w:textAlignment w:val="auto"/>
              <w:rPr>
                <w:rFonts w:ascii="Times" w:eastAsia="Malgun Gothic" w:hAnsi="Times" w:cs="Times"/>
                <w:b/>
                <w:bCs/>
                <w:szCs w:val="22"/>
                <w:lang w:val="en-US" w:eastAsia="ko-KR"/>
              </w:rPr>
            </w:pPr>
            <w:r w:rsidRPr="00CC7D8E">
              <w:rPr>
                <w:rFonts w:ascii="Times" w:eastAsia="Batang" w:hAnsi="Times" w:cs="Times"/>
                <w:b/>
                <w:bCs/>
                <w:szCs w:val="24"/>
                <w:highlight w:val="green"/>
              </w:rPr>
              <w:t>Agreement</w:t>
            </w:r>
          </w:p>
          <w:p w14:paraId="4FA35F54" w14:textId="77777777" w:rsidR="00CC7D8E" w:rsidRPr="00CC7D8E" w:rsidRDefault="00CC7D8E" w:rsidP="00CC7D8E">
            <w:p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498CFD3F"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1) The behavior depends on the UE implementation</w:t>
            </w:r>
          </w:p>
          <w:p w14:paraId="40DC2AA9"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2) UE stays in the target CC in the period between the SRS resource sets.</w:t>
            </w:r>
          </w:p>
          <w:p w14:paraId="595D67E4"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 xml:space="preserve">Alt 3) If the time period between the SRS resource sets is smaller than the total required RF switching time to the source CC and back to the target CC </w:t>
            </w:r>
            <w:r w:rsidRPr="00CC7D8E">
              <w:rPr>
                <w:rFonts w:ascii="Times" w:eastAsia="Batang" w:hAnsi="Times" w:hint="eastAsia"/>
                <w:bCs/>
                <w:szCs w:val="24"/>
                <w:lang w:eastAsia="x-none"/>
              </w:rPr>
              <w:t>and a higher priority UL transmission and/or DL reception is not scheduled on the source CC in the time period between the two SRS resources sets</w:t>
            </w:r>
            <w:r w:rsidRPr="00CC7D8E">
              <w:rPr>
                <w:rFonts w:ascii="Times" w:eastAsia="Batang" w:hAnsi="Times"/>
                <w:bCs/>
                <w:szCs w:val="24"/>
                <w:lang w:eastAsia="x-none"/>
              </w:rPr>
              <w:t>, the UE stays in the target CC in the period between the SRS resource sets; otherwise, the UE switches back to the source CC after transmitting each SRS resource set.</w:t>
            </w:r>
          </w:p>
          <w:p w14:paraId="6F676F24"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4) UE switches back to source CC between the SRS resource sets</w:t>
            </w:r>
          </w:p>
          <w:p w14:paraId="62A594E3" w14:textId="1F9EED18" w:rsidR="00F07BA0" w:rsidRPr="00301C0F" w:rsidRDefault="00F07BA0" w:rsidP="007F333B">
            <w:pPr>
              <w:overflowPunct/>
              <w:autoSpaceDE/>
              <w:autoSpaceDN/>
              <w:adjustRightInd/>
              <w:spacing w:after="0"/>
              <w:textAlignment w:val="auto"/>
              <w:rPr>
                <w:rFonts w:ascii="Times" w:eastAsia="Calibri" w:hAnsi="Times" w:cs="Times"/>
                <w:iCs/>
                <w:lang w:val="en-US"/>
              </w:rPr>
            </w:pPr>
          </w:p>
        </w:tc>
      </w:tr>
    </w:tbl>
    <w:p w14:paraId="28D0451C" w14:textId="35142651" w:rsidR="00A0767A" w:rsidRPr="0057317F" w:rsidRDefault="008A7CE5" w:rsidP="0057317F">
      <w:pPr>
        <w:spacing w:before="240"/>
        <w:ind w:firstLine="288"/>
        <w:jc w:val="both"/>
        <w:rPr>
          <w:sz w:val="22"/>
          <w:lang w:eastAsia="zh-CN"/>
        </w:rPr>
      </w:pPr>
      <w:r w:rsidRPr="0057317F">
        <w:rPr>
          <w:sz w:val="22"/>
          <w:lang w:eastAsia="zh-CN"/>
        </w:rPr>
        <w:t xml:space="preserve">In this contribution, we provide </w:t>
      </w:r>
      <w:r w:rsidR="0041138F" w:rsidRPr="0057317F">
        <w:rPr>
          <w:sz w:val="22"/>
          <w:lang w:eastAsia="zh-CN"/>
        </w:rPr>
        <w:t xml:space="preserve">our views on </w:t>
      </w:r>
      <w:r w:rsidR="005A2B94">
        <w:rPr>
          <w:sz w:val="22"/>
          <w:lang w:eastAsia="zh-CN"/>
        </w:rPr>
        <w:t xml:space="preserve">the </w:t>
      </w:r>
      <w:r w:rsidR="00301C0F">
        <w:rPr>
          <w:sz w:val="22"/>
          <w:lang w:eastAsia="zh-CN"/>
        </w:rPr>
        <w:t>SRS carrier switching operation</w:t>
      </w:r>
      <w:r w:rsidR="00015B2E" w:rsidRPr="0057317F">
        <w:rPr>
          <w:sz w:val="22"/>
          <w:lang w:eastAsia="zh-CN"/>
        </w:rPr>
        <w:t>.</w:t>
      </w:r>
    </w:p>
    <w:p w14:paraId="58F80269" w14:textId="13D38364" w:rsidR="00332158" w:rsidRDefault="0081588C" w:rsidP="00332158">
      <w:pPr>
        <w:pStyle w:val="Heading1"/>
        <w:numPr>
          <w:ilvl w:val="0"/>
          <w:numId w:val="5"/>
        </w:numPr>
        <w:pBdr>
          <w:top w:val="single" w:sz="12" w:space="4" w:color="auto"/>
        </w:pBdr>
        <w:rPr>
          <w:rFonts w:cs="Arial"/>
          <w:lang w:val="en-US"/>
        </w:rPr>
      </w:pPr>
      <w:r>
        <w:rPr>
          <w:rFonts w:cs="Arial"/>
          <w:lang w:val="en-US"/>
        </w:rPr>
        <w:t xml:space="preserve">Discussion on SRS </w:t>
      </w:r>
      <w:r w:rsidR="00301C0F">
        <w:rPr>
          <w:rFonts w:cs="Arial"/>
          <w:lang w:val="en-US"/>
        </w:rPr>
        <w:t>carrier switching</w:t>
      </w:r>
    </w:p>
    <w:p w14:paraId="6EF0614C" w14:textId="3928095B" w:rsidR="00057AC8" w:rsidRPr="00B928C6" w:rsidRDefault="008072C2" w:rsidP="00B928C6">
      <w:pPr>
        <w:pStyle w:val="Heading2"/>
      </w:pPr>
      <w:r w:rsidRPr="00B928C6">
        <w:t>2.</w:t>
      </w:r>
      <w:r w:rsidR="00316931">
        <w:t>1</w:t>
      </w:r>
      <w:r w:rsidRPr="00B928C6">
        <w:t xml:space="preserve"> </w:t>
      </w:r>
      <w:r w:rsidR="00CE31CF">
        <w:t>UE behaviour between two SRS resource sets for carrier switching</w:t>
      </w:r>
    </w:p>
    <w:p w14:paraId="7FF89944" w14:textId="066462AE" w:rsidR="008B4018" w:rsidRDefault="008B4018" w:rsidP="00F85C00">
      <w:pPr>
        <w:spacing w:before="120" w:after="0"/>
        <w:ind w:firstLine="288"/>
        <w:jc w:val="both"/>
        <w:rPr>
          <w:sz w:val="22"/>
          <w:szCs w:val="22"/>
          <w:lang w:val="en-US"/>
        </w:rPr>
      </w:pPr>
      <w:r>
        <w:rPr>
          <w:sz w:val="22"/>
          <w:szCs w:val="22"/>
          <w:lang w:val="en-US"/>
        </w:rPr>
        <w:t xml:space="preserve">In </w:t>
      </w:r>
      <w:r w:rsidR="00742146" w:rsidRPr="00742146">
        <w:rPr>
          <w:sz w:val="22"/>
          <w:szCs w:val="22"/>
          <w:lang w:val="en-US"/>
        </w:rPr>
        <w:t>RAN1 #106-e meeting</w:t>
      </w:r>
      <w:r>
        <w:rPr>
          <w:sz w:val="22"/>
          <w:szCs w:val="22"/>
          <w:lang w:val="en-US"/>
        </w:rPr>
        <w:t>, it was discussed on the UE behavior when multiple SRS resource sets for carrier switching are triggered by the same DCI. There are four alternatives on the UE behavior during the period between the SRS resource sets.</w:t>
      </w:r>
    </w:p>
    <w:p w14:paraId="133E4581" w14:textId="1407E767"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t>Alt 1) The behavior depends on the UE implementation</w:t>
      </w:r>
    </w:p>
    <w:p w14:paraId="56FD3343" w14:textId="0BDC48BA"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t>Alt 2) UE stays in the target CC in the period between the SRS resource sets.</w:t>
      </w:r>
    </w:p>
    <w:p w14:paraId="4AA48388" w14:textId="283EC716"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t>Alt 3)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90CF76C" w14:textId="3B42AC2A" w:rsidR="008B4018" w:rsidRPr="008B4018" w:rsidRDefault="008B4018" w:rsidP="008B4018">
      <w:pPr>
        <w:pStyle w:val="ListParagraph"/>
        <w:numPr>
          <w:ilvl w:val="0"/>
          <w:numId w:val="21"/>
        </w:numPr>
        <w:spacing w:before="120"/>
        <w:ind w:left="720"/>
        <w:jc w:val="both"/>
        <w:rPr>
          <w:rFonts w:ascii="Times New Roman" w:hAnsi="Times New Roman"/>
          <w:lang w:val="en-GB"/>
        </w:rPr>
      </w:pPr>
      <w:r w:rsidRPr="008B4018">
        <w:rPr>
          <w:rFonts w:ascii="Times New Roman" w:hAnsi="Times New Roman"/>
        </w:rPr>
        <w:lastRenderedPageBreak/>
        <w:t>Alt 4) UE switches back to source CC between the SRS resource sets</w:t>
      </w:r>
    </w:p>
    <w:p w14:paraId="0ACD8A78" w14:textId="57CEBDCA" w:rsidR="008B4018" w:rsidRDefault="008B4018" w:rsidP="00F85C00">
      <w:pPr>
        <w:spacing w:before="120" w:after="0"/>
        <w:ind w:firstLine="288"/>
        <w:jc w:val="both"/>
        <w:rPr>
          <w:sz w:val="22"/>
          <w:szCs w:val="22"/>
          <w:lang w:val="en-US"/>
        </w:rPr>
      </w:pPr>
      <w:r>
        <w:rPr>
          <w:sz w:val="22"/>
          <w:szCs w:val="22"/>
          <w:lang w:val="en-US"/>
        </w:rPr>
        <w:t xml:space="preserve">In our understanding, firstly the UE behavior can’t be up to UE implementation. If it is up to UE implementation, when the </w:t>
      </w:r>
      <w:proofErr w:type="gramStart"/>
      <w:r>
        <w:rPr>
          <w:sz w:val="22"/>
          <w:szCs w:val="22"/>
          <w:lang w:val="en-US"/>
        </w:rPr>
        <w:t>time period</w:t>
      </w:r>
      <w:proofErr w:type="gramEnd"/>
      <w:r>
        <w:rPr>
          <w:sz w:val="22"/>
          <w:szCs w:val="22"/>
          <w:lang w:val="en-US"/>
        </w:rPr>
        <w:t xml:space="preserve"> between SRS resource sets is larger than the RF tuning time, the gNB doesn’t know whether the UE can be scheduled with other uplink transmission over the source CC, since whether the UE is on the source CC is not known to the gNB.</w:t>
      </w:r>
    </w:p>
    <w:p w14:paraId="0E544A25" w14:textId="3FA9F4FC" w:rsidR="008B4018" w:rsidRDefault="00B75818" w:rsidP="00F85C00">
      <w:pPr>
        <w:spacing w:before="120" w:after="0"/>
        <w:ind w:firstLine="288"/>
        <w:jc w:val="both"/>
        <w:rPr>
          <w:sz w:val="22"/>
          <w:szCs w:val="22"/>
          <w:lang w:val="en-US"/>
        </w:rPr>
      </w:pPr>
      <w:r>
        <w:rPr>
          <w:sz w:val="22"/>
          <w:szCs w:val="22"/>
          <w:lang w:val="en-US"/>
        </w:rPr>
        <w:t>Regarding Alt 2, the UE always stay in target CC</w:t>
      </w:r>
      <w:r w:rsidR="00166F3A">
        <w:rPr>
          <w:sz w:val="22"/>
          <w:szCs w:val="22"/>
          <w:lang w:val="en-US"/>
        </w:rPr>
        <w:t xml:space="preserve">. If the </w:t>
      </w:r>
      <w:proofErr w:type="gramStart"/>
      <w:r w:rsidR="00166F3A">
        <w:rPr>
          <w:sz w:val="22"/>
          <w:szCs w:val="22"/>
          <w:lang w:val="en-US"/>
        </w:rPr>
        <w:t>time period</w:t>
      </w:r>
      <w:proofErr w:type="gramEnd"/>
      <w:r w:rsidR="00166F3A">
        <w:rPr>
          <w:sz w:val="22"/>
          <w:szCs w:val="22"/>
          <w:lang w:val="en-US"/>
        </w:rPr>
        <w:t xml:space="preserve"> between SRS resource sets is larger than the RF tuning time, since the UE still stays in target CC, it’s not possible for the gNB to schedule uplink transmission over source CC leading to performance loss.</w:t>
      </w:r>
    </w:p>
    <w:p w14:paraId="762833D2" w14:textId="189389FB" w:rsidR="00166F3A" w:rsidRDefault="00166F3A" w:rsidP="00F85C00">
      <w:pPr>
        <w:spacing w:before="120" w:after="0"/>
        <w:ind w:firstLine="288"/>
        <w:jc w:val="both"/>
        <w:rPr>
          <w:sz w:val="22"/>
          <w:szCs w:val="22"/>
          <w:lang w:val="en-US"/>
        </w:rPr>
      </w:pPr>
      <w:r>
        <w:rPr>
          <w:sz w:val="22"/>
          <w:szCs w:val="22"/>
          <w:lang w:val="en-US"/>
        </w:rPr>
        <w:t xml:space="preserve">Regarding Alt 4, if the UE switches back to source CC between SRS resource sets, when the </w:t>
      </w:r>
      <w:proofErr w:type="gramStart"/>
      <w:r>
        <w:rPr>
          <w:sz w:val="22"/>
          <w:szCs w:val="22"/>
          <w:lang w:val="en-US"/>
        </w:rPr>
        <w:t>time period</w:t>
      </w:r>
      <w:proofErr w:type="gramEnd"/>
      <w:r>
        <w:rPr>
          <w:sz w:val="22"/>
          <w:szCs w:val="22"/>
          <w:lang w:val="en-US"/>
        </w:rPr>
        <w:t xml:space="preserve"> between SRS resource sets is smaller than RF tuning time, it’s not possible for the UE to transmit the next SRS resource set since the time is not sufficient to switch to the target CC.</w:t>
      </w:r>
    </w:p>
    <w:p w14:paraId="072866A2" w14:textId="3C71B806" w:rsidR="00AB1A87" w:rsidRPr="00DC0758" w:rsidRDefault="00166F3A" w:rsidP="00ED0B5E">
      <w:pPr>
        <w:spacing w:before="120" w:after="0"/>
        <w:ind w:firstLine="288"/>
        <w:jc w:val="both"/>
      </w:pPr>
      <w:r>
        <w:rPr>
          <w:sz w:val="22"/>
          <w:szCs w:val="22"/>
          <w:lang w:val="en-US"/>
        </w:rPr>
        <w:t xml:space="preserve">Therefore, it is preferred that </w:t>
      </w:r>
      <w:r w:rsidRPr="00166F3A">
        <w:rPr>
          <w:sz w:val="22"/>
          <w:szCs w:val="22"/>
          <w:lang w:val="en-US"/>
        </w:rPr>
        <w:t xml:space="preserve">if the </w:t>
      </w:r>
      <w:proofErr w:type="gramStart"/>
      <w:r w:rsidRPr="00166F3A">
        <w:rPr>
          <w:sz w:val="22"/>
          <w:szCs w:val="22"/>
          <w:lang w:val="en-US"/>
        </w:rPr>
        <w:t>time period</w:t>
      </w:r>
      <w:proofErr w:type="gramEnd"/>
      <w:r w:rsidRPr="00166F3A">
        <w:rPr>
          <w:sz w:val="22"/>
          <w:szCs w:val="22"/>
          <w:lang w:val="en-US"/>
        </w:rPr>
        <w:t xml:space="preserve"> between the SRS resource sets is smaller than the required RF switching time, the UE stays in the target CC in the period between the SRS resource sets; otherwise, the UE switches back to the source CC after transmitting </w:t>
      </w:r>
      <w:r>
        <w:rPr>
          <w:sz w:val="22"/>
          <w:szCs w:val="22"/>
          <w:lang w:val="en-US"/>
        </w:rPr>
        <w:t>the first</w:t>
      </w:r>
      <w:r w:rsidRPr="00166F3A">
        <w:rPr>
          <w:sz w:val="22"/>
          <w:szCs w:val="22"/>
          <w:lang w:val="en-US"/>
        </w:rPr>
        <w:t xml:space="preserve"> SRS resource </w:t>
      </w:r>
      <w:r>
        <w:rPr>
          <w:sz w:val="22"/>
          <w:szCs w:val="22"/>
          <w:lang w:val="en-US"/>
        </w:rPr>
        <w:t>set</w:t>
      </w:r>
      <w:r w:rsidR="00AB1A87">
        <w:rPr>
          <w:sz w:val="22"/>
          <w:szCs w:val="22"/>
          <w:lang w:val="en-US"/>
        </w:rPr>
        <w:t xml:space="preserve">. </w:t>
      </w:r>
    </w:p>
    <w:p w14:paraId="6475D678" w14:textId="63E337D9" w:rsidR="00850DBB" w:rsidRDefault="0031356D" w:rsidP="008B4018">
      <w:pPr>
        <w:spacing w:before="120" w:after="0"/>
        <w:ind w:firstLine="284"/>
        <w:jc w:val="both"/>
        <w:rPr>
          <w:bCs/>
          <w:iCs/>
          <w:sz w:val="22"/>
          <w:szCs w:val="22"/>
        </w:rPr>
      </w:pPr>
      <w:r>
        <w:rPr>
          <w:bCs/>
          <w:iCs/>
          <w:sz w:val="22"/>
          <w:szCs w:val="22"/>
        </w:rPr>
        <w:t>One issue discussed in previous meeting</w:t>
      </w:r>
      <w:r w:rsidR="00ED0B5E">
        <w:rPr>
          <w:bCs/>
          <w:iCs/>
          <w:sz w:val="22"/>
          <w:szCs w:val="22"/>
        </w:rPr>
        <w:t>s</w:t>
      </w:r>
      <w:r>
        <w:rPr>
          <w:bCs/>
          <w:iCs/>
          <w:sz w:val="22"/>
          <w:szCs w:val="22"/>
        </w:rPr>
        <w:t xml:space="preserve"> is whether current spec supports Alt 3 or Alt 4 operation.</w:t>
      </w:r>
    </w:p>
    <w:p w14:paraId="77069B92" w14:textId="6CA3EFEB" w:rsidR="0066538E" w:rsidRPr="001A0B59" w:rsidRDefault="0066538E" w:rsidP="0066538E">
      <w:pPr>
        <w:pStyle w:val="ListParagraph"/>
        <w:numPr>
          <w:ilvl w:val="0"/>
          <w:numId w:val="41"/>
        </w:numPr>
        <w:spacing w:before="120"/>
        <w:jc w:val="both"/>
        <w:rPr>
          <w:rFonts w:ascii="Times New Roman" w:hAnsi="Times New Roman"/>
          <w:bCs/>
          <w:iCs/>
          <w:u w:val="single"/>
        </w:rPr>
      </w:pPr>
      <w:r w:rsidRPr="001A0B59">
        <w:rPr>
          <w:rFonts w:ascii="Times New Roman" w:hAnsi="Times New Roman"/>
          <w:bCs/>
          <w:iCs/>
          <w:u w:val="single"/>
        </w:rPr>
        <w:t>Whether Alt 4 is current spec operation</w:t>
      </w:r>
    </w:p>
    <w:p w14:paraId="0BBC0E45" w14:textId="3D53978B" w:rsidR="005C1D87" w:rsidRDefault="00AF4C8A" w:rsidP="008B4018">
      <w:pPr>
        <w:spacing w:before="120" w:after="0"/>
        <w:ind w:firstLine="284"/>
        <w:jc w:val="both"/>
        <w:rPr>
          <w:bCs/>
          <w:iCs/>
          <w:sz w:val="22"/>
          <w:szCs w:val="22"/>
        </w:rPr>
      </w:pPr>
      <w:r>
        <w:rPr>
          <w:bCs/>
          <w:iCs/>
          <w:sz w:val="22"/>
          <w:szCs w:val="22"/>
        </w:rPr>
        <w:t>Some company think Alt 4 is the current spec operation</w:t>
      </w:r>
      <w:r w:rsidR="00D71A4D">
        <w:rPr>
          <w:bCs/>
          <w:iCs/>
          <w:sz w:val="22"/>
          <w:szCs w:val="22"/>
        </w:rPr>
        <w:t xml:space="preserve"> as shown by the spec text below.</w:t>
      </w:r>
    </w:p>
    <w:tbl>
      <w:tblPr>
        <w:tblStyle w:val="TableGrid"/>
        <w:tblW w:w="0" w:type="auto"/>
        <w:tblLook w:val="04A0" w:firstRow="1" w:lastRow="0" w:firstColumn="1" w:lastColumn="0" w:noHBand="0" w:noVBand="1"/>
      </w:tblPr>
      <w:tblGrid>
        <w:gridCol w:w="10160"/>
      </w:tblGrid>
      <w:tr w:rsidR="005C1D87" w14:paraId="7BA084B7" w14:textId="77777777" w:rsidTr="0051298D">
        <w:tc>
          <w:tcPr>
            <w:tcW w:w="10160" w:type="dxa"/>
          </w:tcPr>
          <w:p w14:paraId="2A2E419C" w14:textId="77777777" w:rsidR="005C1D87" w:rsidRPr="0048482F" w:rsidRDefault="005C1D87" w:rsidP="0051298D">
            <w:pPr>
              <w:pStyle w:val="Heading4"/>
              <w:outlineLvl w:val="3"/>
              <w:rPr>
                <w:color w:val="000000"/>
              </w:rPr>
            </w:pPr>
            <w:r w:rsidRPr="0048482F">
              <w:rPr>
                <w:color w:val="000000"/>
              </w:rPr>
              <w:t>6.2.1.3</w:t>
            </w:r>
            <w:r w:rsidRPr="0048482F">
              <w:rPr>
                <w:color w:val="000000"/>
              </w:rPr>
              <w:tab/>
              <w:t>UE sounding procedure between component carriers</w:t>
            </w:r>
          </w:p>
          <w:p w14:paraId="4B97BEC9" w14:textId="77777777" w:rsidR="005C1D87" w:rsidRDefault="005C1D87" w:rsidP="0051298D">
            <w:pPr>
              <w:rPr>
                <w:color w:val="000000"/>
              </w:rPr>
            </w:pPr>
            <w:r>
              <w:rPr>
                <w:color w:val="000000"/>
              </w:rPr>
              <w:t>…</w:t>
            </w:r>
          </w:p>
          <w:p w14:paraId="65B9BDDB" w14:textId="77777777" w:rsidR="005C1D87" w:rsidRDefault="005C1D87" w:rsidP="005C1D87">
            <w:pPr>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1B573DF" w14:textId="77777777" w:rsidR="005C1D87" w:rsidRDefault="005C1D87" w:rsidP="005C1D87">
            <w:pPr>
              <w:pStyle w:val="B1"/>
            </w:pPr>
            <w:r w:rsidRPr="0048482F">
              <w:t>-</w:t>
            </w:r>
            <w:r w:rsidRPr="0048482F">
              <w:tab/>
            </w:r>
            <w:r>
              <w:t xml:space="preserve">it is </w:t>
            </w:r>
            <w:r w:rsidRPr="000B30BA">
              <w:t>no earlier than the summation of</w:t>
            </w:r>
          </w:p>
          <w:p w14:paraId="492AE869" w14:textId="77777777" w:rsidR="005C1D87" w:rsidRDefault="005C1D87" w:rsidP="005C1D87">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0E22D90B" w14:textId="77777777" w:rsidR="005C1D87" w:rsidRDefault="005C1D87" w:rsidP="005C1D87">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69ED26C1" w14:textId="77777777" w:rsidR="005C1D87" w:rsidRPr="00D71A4D" w:rsidRDefault="005C1D87" w:rsidP="005C1D87">
            <w:pPr>
              <w:pStyle w:val="B1"/>
              <w:rPr>
                <w:highlight w:val="yellow"/>
              </w:rPr>
            </w:pPr>
            <w:r w:rsidRPr="0048482F">
              <w:t>-</w:t>
            </w:r>
            <w:r w:rsidRPr="0048482F">
              <w:tab/>
            </w:r>
            <w:r w:rsidRPr="00D71A4D">
              <w:rPr>
                <w:highlight w:val="yellow"/>
              </w:rPr>
              <w:t>it does not collide with any previous SRS transmissions, or interruption due to UL or DL RF retuning time.</w:t>
            </w:r>
          </w:p>
          <w:p w14:paraId="49F496F3" w14:textId="77777777" w:rsidR="005C1D87" w:rsidRDefault="005C1D87" w:rsidP="005C1D87">
            <w:pPr>
              <w:pStyle w:val="B1"/>
            </w:pPr>
            <w:r w:rsidRPr="00D71A4D">
              <w:rPr>
                <w:highlight w:val="yellow"/>
              </w:rPr>
              <w:t xml:space="preserve">otherwise, </w:t>
            </w:r>
            <w:r w:rsidRPr="00D71A4D">
              <w:rPr>
                <w:i/>
                <w:highlight w:val="yellow"/>
              </w:rPr>
              <w:t>n</w:t>
            </w:r>
            <w:r w:rsidRPr="00D71A4D">
              <w:rPr>
                <w:highlight w:val="yellow"/>
              </w:rPr>
              <w:t>-th SRS transmission is dropped</w:t>
            </w:r>
            <w:r w:rsidRPr="000B30BA">
              <w:t>, where N is the reported capability as the minimum time interval in unit of symbols, between the DCI triggering and aperiodic SRS transmission</w:t>
            </w:r>
            <w:r>
              <w:t>.</w:t>
            </w:r>
          </w:p>
          <w:p w14:paraId="45702DF9" w14:textId="77777777" w:rsidR="005C1D87" w:rsidRPr="00006623" w:rsidRDefault="005C1D87" w:rsidP="0051298D">
            <w:pPr>
              <w:spacing w:after="0"/>
              <w:rPr>
                <w:sz w:val="22"/>
                <w:szCs w:val="22"/>
              </w:rPr>
            </w:pPr>
            <w:r>
              <w:rPr>
                <w:sz w:val="22"/>
                <w:szCs w:val="22"/>
              </w:rPr>
              <w:t>…</w:t>
            </w:r>
          </w:p>
        </w:tc>
      </w:tr>
    </w:tbl>
    <w:p w14:paraId="3996E13A" w14:textId="3DEE2F82" w:rsidR="005C1D87" w:rsidRDefault="00D71A4D" w:rsidP="008B4018">
      <w:pPr>
        <w:spacing w:before="120" w:after="0"/>
        <w:ind w:firstLine="284"/>
        <w:jc w:val="both"/>
        <w:rPr>
          <w:bCs/>
          <w:iCs/>
          <w:sz w:val="22"/>
          <w:szCs w:val="22"/>
        </w:rPr>
      </w:pPr>
      <w:r>
        <w:rPr>
          <w:bCs/>
          <w:iCs/>
          <w:sz w:val="22"/>
          <w:szCs w:val="22"/>
        </w:rPr>
        <w:t>However, in our understanding, the spec text above just specifies whether n-th aperiodic SRS resource set should be transmitted or not. It doesn’t specify whether the UE should switch back to the source CC after transmitting one SRS resource set when multiple SRS resource sets are triggered by the same DCI.</w:t>
      </w:r>
    </w:p>
    <w:p w14:paraId="75A172C7" w14:textId="1DE68C07" w:rsidR="00D71A4D" w:rsidRDefault="00D71A4D" w:rsidP="008B4018">
      <w:pPr>
        <w:spacing w:before="120" w:after="0"/>
        <w:ind w:firstLine="284"/>
        <w:jc w:val="both"/>
        <w:rPr>
          <w:bCs/>
          <w:iCs/>
          <w:sz w:val="22"/>
          <w:szCs w:val="22"/>
        </w:rPr>
      </w:pPr>
      <w:r>
        <w:rPr>
          <w:bCs/>
          <w:iCs/>
          <w:sz w:val="22"/>
          <w:szCs w:val="22"/>
        </w:rPr>
        <w:t>In addition, Alt 3 can also fulfil the operation as specified above. For example, when the interval between two SRS resource sets is smaller than the required RF tuning time, the UE stays in the target CC after transmitting the first SRS resource set. When determining whether the second SRS resource set should be transmitted, since UE stays in the target CC and there is no need to do RF tuning, then the second SRS resource set could be transmitted (because it doesn’t collide with the first SRS resource set and doesn’t collide with RF tuning time).</w:t>
      </w:r>
    </w:p>
    <w:p w14:paraId="3096ADDA" w14:textId="00B83249" w:rsidR="00D71A4D" w:rsidRDefault="00D71A4D" w:rsidP="008B4018">
      <w:pPr>
        <w:spacing w:before="120" w:after="0"/>
        <w:ind w:firstLine="284"/>
        <w:jc w:val="both"/>
        <w:rPr>
          <w:bCs/>
          <w:iCs/>
          <w:sz w:val="22"/>
          <w:szCs w:val="22"/>
        </w:rPr>
      </w:pPr>
      <w:r>
        <w:rPr>
          <w:bCs/>
          <w:iCs/>
          <w:sz w:val="22"/>
          <w:szCs w:val="22"/>
        </w:rPr>
        <w:t xml:space="preserve">Another point is that the term of “an aperiodic SRS transmission” is also confusing. </w:t>
      </w:r>
      <w:r w:rsidR="00185D02">
        <w:rPr>
          <w:bCs/>
          <w:iCs/>
          <w:sz w:val="22"/>
          <w:szCs w:val="22"/>
        </w:rPr>
        <w:t xml:space="preserve">It’s not clear whether it means the transmission of an SRS resource, an SRS symbol, </w:t>
      </w:r>
      <w:r w:rsidR="00D11804">
        <w:rPr>
          <w:bCs/>
          <w:iCs/>
          <w:sz w:val="22"/>
          <w:szCs w:val="22"/>
        </w:rPr>
        <w:t xml:space="preserve">or </w:t>
      </w:r>
      <w:r w:rsidR="00185D02">
        <w:rPr>
          <w:bCs/>
          <w:iCs/>
          <w:sz w:val="22"/>
          <w:szCs w:val="22"/>
        </w:rPr>
        <w:t>an SRS resource set.</w:t>
      </w:r>
    </w:p>
    <w:p w14:paraId="13D7D2D9" w14:textId="67656850" w:rsidR="0066538E" w:rsidRPr="001A0B59" w:rsidRDefault="0066538E" w:rsidP="0066538E">
      <w:pPr>
        <w:pStyle w:val="ListParagraph"/>
        <w:numPr>
          <w:ilvl w:val="0"/>
          <w:numId w:val="41"/>
        </w:numPr>
        <w:spacing w:before="120"/>
        <w:jc w:val="both"/>
        <w:rPr>
          <w:rFonts w:ascii="Times New Roman" w:hAnsi="Times New Roman"/>
          <w:bCs/>
          <w:iCs/>
          <w:u w:val="single"/>
        </w:rPr>
      </w:pPr>
      <w:r w:rsidRPr="001A0B59">
        <w:rPr>
          <w:rFonts w:ascii="Times New Roman" w:hAnsi="Times New Roman"/>
          <w:bCs/>
          <w:iCs/>
          <w:u w:val="single"/>
        </w:rPr>
        <w:lastRenderedPageBreak/>
        <w:t>Whether Alt 3 is current spec operation</w:t>
      </w:r>
    </w:p>
    <w:p w14:paraId="06522E41" w14:textId="0FFB767A" w:rsidR="005C1D87" w:rsidRPr="0066538E" w:rsidRDefault="0066538E" w:rsidP="008B4018">
      <w:pPr>
        <w:spacing w:before="120" w:after="0"/>
        <w:ind w:firstLine="284"/>
        <w:jc w:val="both"/>
        <w:rPr>
          <w:bCs/>
          <w:iCs/>
          <w:sz w:val="22"/>
          <w:szCs w:val="22"/>
          <w:lang w:val="en-US"/>
        </w:rPr>
      </w:pPr>
      <w:r>
        <w:rPr>
          <w:bCs/>
          <w:iCs/>
          <w:sz w:val="22"/>
          <w:szCs w:val="22"/>
          <w:lang w:val="en-US"/>
        </w:rPr>
        <w:t>Some company think Alt 3 is current spec operation as shown by the spec text below.</w:t>
      </w:r>
      <w:r w:rsidR="001A0B59">
        <w:rPr>
          <w:bCs/>
          <w:iCs/>
          <w:sz w:val="22"/>
          <w:szCs w:val="22"/>
          <w:lang w:val="en-US"/>
        </w:rPr>
        <w:t xml:space="preserve"> The interpretation is w</w:t>
      </w:r>
      <w:r w:rsidR="001A0B59" w:rsidRPr="001A0B59">
        <w:rPr>
          <w:bCs/>
          <w:iCs/>
          <w:sz w:val="22"/>
          <w:szCs w:val="22"/>
          <w:lang w:val="en-US"/>
        </w:rPr>
        <w:t xml:space="preserve">hether UE switches back to source or stay on the target depends on the </w:t>
      </w:r>
      <w:proofErr w:type="gramStart"/>
      <w:r w:rsidR="001A0B59" w:rsidRPr="001A0B59">
        <w:rPr>
          <w:bCs/>
          <w:iCs/>
          <w:sz w:val="22"/>
          <w:szCs w:val="22"/>
          <w:lang w:val="en-US"/>
        </w:rPr>
        <w:t>time period</w:t>
      </w:r>
      <w:proofErr w:type="gramEnd"/>
      <w:r w:rsidR="001A0B59" w:rsidRPr="001A0B59">
        <w:rPr>
          <w:bCs/>
          <w:iCs/>
          <w:sz w:val="22"/>
          <w:szCs w:val="22"/>
          <w:lang w:val="en-US"/>
        </w:rPr>
        <w:t xml:space="preserve"> between the SRS resource sets.</w:t>
      </w:r>
    </w:p>
    <w:tbl>
      <w:tblPr>
        <w:tblStyle w:val="TableGrid"/>
        <w:tblW w:w="0" w:type="auto"/>
        <w:tblLook w:val="04A0" w:firstRow="1" w:lastRow="0" w:firstColumn="1" w:lastColumn="0" w:noHBand="0" w:noVBand="1"/>
      </w:tblPr>
      <w:tblGrid>
        <w:gridCol w:w="10160"/>
      </w:tblGrid>
      <w:tr w:rsidR="005C1D87" w14:paraId="4A368ABB" w14:textId="77777777" w:rsidTr="0051298D">
        <w:tc>
          <w:tcPr>
            <w:tcW w:w="10160" w:type="dxa"/>
          </w:tcPr>
          <w:p w14:paraId="58AE797D" w14:textId="77777777" w:rsidR="005C1D87" w:rsidRPr="0048482F" w:rsidRDefault="005C1D87" w:rsidP="0051298D">
            <w:pPr>
              <w:pStyle w:val="Heading4"/>
              <w:outlineLvl w:val="3"/>
              <w:rPr>
                <w:color w:val="000000"/>
              </w:rPr>
            </w:pPr>
            <w:r w:rsidRPr="0048482F">
              <w:rPr>
                <w:color w:val="000000"/>
              </w:rPr>
              <w:t>6.2.1.3</w:t>
            </w:r>
            <w:r w:rsidRPr="0048482F">
              <w:rPr>
                <w:color w:val="000000"/>
              </w:rPr>
              <w:tab/>
              <w:t>UE sounding procedure between component carriers</w:t>
            </w:r>
          </w:p>
          <w:p w14:paraId="387785C1" w14:textId="77777777" w:rsidR="005C1D87" w:rsidRDefault="005C1D87" w:rsidP="0051298D">
            <w:pPr>
              <w:rPr>
                <w:color w:val="000000"/>
              </w:rPr>
            </w:pPr>
            <w:r>
              <w:rPr>
                <w:color w:val="000000"/>
              </w:rPr>
              <w:t>…</w:t>
            </w:r>
          </w:p>
          <w:p w14:paraId="2CD972CF" w14:textId="4421F6F5" w:rsidR="005C1D87" w:rsidRDefault="005C1D87" w:rsidP="0051298D">
            <w:pPr>
              <w:rPr>
                <w:color w:val="000000"/>
              </w:rPr>
            </w:pPr>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w:t>
            </w:r>
            <w:bookmarkStart w:id="0" w:name="_Hlk95397290"/>
            <w:r w:rsidRPr="00D26AA7">
              <w:rPr>
                <w:color w:val="000000"/>
                <w:szCs w:val="22"/>
                <w:lang w:val="en-US"/>
              </w:rPr>
              <w:t xml:space="preserve">SRS transmission </w:t>
            </w:r>
            <w:bookmarkEnd w:id="0"/>
            <w:r w:rsidRPr="00D26AA7">
              <w:rPr>
                <w:color w:val="000000"/>
                <w:szCs w:val="22"/>
                <w:lang w:val="en-US"/>
              </w:rPr>
              <w:t xml:space="preserve">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 xml:space="preserve">the UE </w:t>
            </w:r>
            <w:proofErr w:type="gramStart"/>
            <w:r>
              <w:rPr>
                <w:color w:val="000000"/>
                <w:szCs w:val="22"/>
                <w:lang w:val="en-US"/>
              </w:rPr>
              <w:t>temporarily suspends</w:t>
            </w:r>
            <w:proofErr w:type="gramEnd"/>
            <w:r>
              <w:rPr>
                <w:color w:val="000000"/>
                <w:szCs w:val="22"/>
                <w:lang w:val="en-US"/>
              </w:rPr>
              <w:t xml:space="preserve">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2D1643DF" w14:textId="77777777" w:rsidR="005C1D87" w:rsidRPr="00006623" w:rsidRDefault="005C1D87" w:rsidP="0051298D">
            <w:pPr>
              <w:spacing w:after="0"/>
              <w:rPr>
                <w:sz w:val="22"/>
                <w:szCs w:val="22"/>
              </w:rPr>
            </w:pPr>
            <w:r>
              <w:rPr>
                <w:sz w:val="22"/>
                <w:szCs w:val="22"/>
              </w:rPr>
              <w:t>…</w:t>
            </w:r>
          </w:p>
        </w:tc>
      </w:tr>
    </w:tbl>
    <w:p w14:paraId="092B0CEF" w14:textId="3A32869A" w:rsidR="005C1D87" w:rsidRDefault="001A0B59" w:rsidP="008B4018">
      <w:pPr>
        <w:spacing w:before="120" w:after="0"/>
        <w:ind w:firstLine="284"/>
        <w:jc w:val="both"/>
        <w:rPr>
          <w:bCs/>
          <w:iCs/>
          <w:sz w:val="22"/>
          <w:szCs w:val="22"/>
        </w:rPr>
      </w:pPr>
      <w:r>
        <w:rPr>
          <w:bCs/>
          <w:iCs/>
          <w:sz w:val="22"/>
          <w:szCs w:val="22"/>
        </w:rPr>
        <w:t>However, in our understanding, the term of “</w:t>
      </w:r>
      <w:r w:rsidRPr="001A0B59">
        <w:rPr>
          <w:bCs/>
          <w:iCs/>
          <w:sz w:val="22"/>
          <w:szCs w:val="22"/>
        </w:rPr>
        <w:t>SRS transmission</w:t>
      </w:r>
      <w:r>
        <w:rPr>
          <w:bCs/>
          <w:iCs/>
          <w:sz w:val="22"/>
          <w:szCs w:val="22"/>
        </w:rPr>
        <w:t>” in the paragraph above is also confusing. Whether it means an SRS symbol, an SRS resource or an SRS resource set is not clear and should be clarified.</w:t>
      </w:r>
    </w:p>
    <w:p w14:paraId="3F62889A" w14:textId="3931AB98" w:rsidR="001A0B59" w:rsidRDefault="001A0B59" w:rsidP="008B4018">
      <w:pPr>
        <w:spacing w:before="120" w:after="0"/>
        <w:ind w:firstLine="284"/>
        <w:jc w:val="both"/>
        <w:rPr>
          <w:bCs/>
          <w:iCs/>
          <w:sz w:val="22"/>
          <w:szCs w:val="22"/>
        </w:rPr>
      </w:pPr>
      <w:r>
        <w:rPr>
          <w:bCs/>
          <w:iCs/>
          <w:sz w:val="22"/>
          <w:szCs w:val="22"/>
        </w:rPr>
        <w:t>In addition, we think the above paragraph applies to one SRS resource set (</w:t>
      </w:r>
      <w:proofErr w:type="gramStart"/>
      <w:r>
        <w:rPr>
          <w:bCs/>
          <w:iCs/>
          <w:sz w:val="22"/>
          <w:szCs w:val="22"/>
        </w:rPr>
        <w:t>assuming that</w:t>
      </w:r>
      <w:proofErr w:type="gramEnd"/>
      <w:r>
        <w:rPr>
          <w:bCs/>
          <w:iCs/>
          <w:sz w:val="22"/>
          <w:szCs w:val="22"/>
        </w:rPr>
        <w:t xml:space="preserve"> SRS transmission means an SRS resource set). It doesn’t specify the UE </w:t>
      </w:r>
      <w:r w:rsidR="00164E22">
        <w:rPr>
          <w:bCs/>
          <w:iCs/>
          <w:sz w:val="22"/>
          <w:szCs w:val="22"/>
        </w:rPr>
        <w:t>behaviour</w:t>
      </w:r>
      <w:r>
        <w:rPr>
          <w:bCs/>
          <w:iCs/>
          <w:sz w:val="22"/>
          <w:szCs w:val="22"/>
        </w:rPr>
        <w:t xml:space="preserve"> between two SRS resource sets triggered by one DCI.</w:t>
      </w:r>
    </w:p>
    <w:p w14:paraId="1DCD9D96" w14:textId="5EC71B9B" w:rsidR="005C1D87" w:rsidRDefault="001A0B59" w:rsidP="008B4018">
      <w:pPr>
        <w:spacing w:before="120" w:after="0"/>
        <w:ind w:firstLine="284"/>
        <w:jc w:val="both"/>
        <w:rPr>
          <w:bCs/>
          <w:iCs/>
          <w:sz w:val="22"/>
          <w:szCs w:val="22"/>
        </w:rPr>
      </w:pPr>
      <w:r>
        <w:rPr>
          <w:bCs/>
          <w:iCs/>
          <w:sz w:val="22"/>
          <w:szCs w:val="22"/>
        </w:rPr>
        <w:t>Therefore, we have the following proposal.</w:t>
      </w:r>
    </w:p>
    <w:p w14:paraId="0E30D0A1" w14:textId="151C6E15" w:rsidR="001A0B59" w:rsidRPr="003D5083" w:rsidRDefault="001A0B59" w:rsidP="001A0B59">
      <w:pPr>
        <w:spacing w:before="120" w:after="0"/>
        <w:ind w:firstLine="284"/>
        <w:jc w:val="both"/>
        <w:rPr>
          <w:b/>
          <w:i/>
          <w:sz w:val="22"/>
          <w:szCs w:val="22"/>
        </w:rPr>
      </w:pPr>
      <w:r w:rsidRPr="003D5083">
        <w:rPr>
          <w:b/>
          <w:i/>
          <w:sz w:val="22"/>
          <w:szCs w:val="22"/>
        </w:rPr>
        <w:t xml:space="preserve">Proposal </w:t>
      </w:r>
      <w:r w:rsidR="00C167DB">
        <w:rPr>
          <w:b/>
          <w:i/>
          <w:sz w:val="22"/>
          <w:szCs w:val="22"/>
        </w:rPr>
        <w:t>1</w:t>
      </w:r>
      <w:r w:rsidRPr="003D5083">
        <w:rPr>
          <w:b/>
          <w:i/>
          <w:sz w:val="22"/>
          <w:szCs w:val="22"/>
        </w:rPr>
        <w:t>:</w:t>
      </w:r>
    </w:p>
    <w:p w14:paraId="01C05761" w14:textId="73D3E7AB" w:rsidR="001A0B59" w:rsidRPr="008B4018" w:rsidRDefault="001A0B59" w:rsidP="001A0B59">
      <w:pPr>
        <w:pStyle w:val="ListParagraph"/>
        <w:numPr>
          <w:ilvl w:val="0"/>
          <w:numId w:val="21"/>
        </w:numPr>
        <w:spacing w:before="120"/>
        <w:jc w:val="both"/>
        <w:rPr>
          <w:rFonts w:ascii="Times New Roman" w:hAnsi="Times New Roman"/>
          <w:i/>
        </w:rPr>
      </w:pPr>
      <w:r w:rsidRPr="008B4018">
        <w:rPr>
          <w:rFonts w:ascii="Times New Roman" w:hAnsi="Times New Roman"/>
          <w:i/>
        </w:rPr>
        <w:t>When multiple aperiodic SRS resource sets for carrier switching are triggered by the same DCI</w:t>
      </w:r>
      <w:r w:rsidR="00164E22">
        <w:rPr>
          <w:rFonts w:ascii="Times New Roman" w:hAnsi="Times New Roman"/>
          <w:i/>
        </w:rPr>
        <w:t>, support Alt. 3 regarding UE behavior between two SRS resource sets.</w:t>
      </w:r>
    </w:p>
    <w:p w14:paraId="09731211" w14:textId="1E88CA1A" w:rsidR="005C1D87" w:rsidRPr="001A0B59" w:rsidRDefault="005C1D87" w:rsidP="008B4018">
      <w:pPr>
        <w:spacing w:before="120" w:after="0"/>
        <w:ind w:firstLine="284"/>
        <w:jc w:val="both"/>
        <w:rPr>
          <w:bCs/>
          <w:iCs/>
          <w:sz w:val="22"/>
          <w:szCs w:val="22"/>
          <w:lang w:val="en-US"/>
        </w:rPr>
      </w:pPr>
    </w:p>
    <w:p w14:paraId="4A41C859" w14:textId="7114A5FF" w:rsidR="00B80D06" w:rsidRDefault="00B80D06" w:rsidP="00B80D06">
      <w:pPr>
        <w:pStyle w:val="Heading1"/>
        <w:numPr>
          <w:ilvl w:val="0"/>
          <w:numId w:val="5"/>
        </w:numPr>
      </w:pPr>
      <w:r>
        <w:t>Conclusion</w:t>
      </w:r>
    </w:p>
    <w:p w14:paraId="33229481" w14:textId="26338557" w:rsidR="000E6355" w:rsidRDefault="00633CAF" w:rsidP="00A65744">
      <w:pPr>
        <w:ind w:firstLine="284"/>
        <w:jc w:val="both"/>
        <w:rPr>
          <w:sz w:val="22"/>
          <w:szCs w:val="22"/>
        </w:rPr>
      </w:pPr>
      <w:r>
        <w:rPr>
          <w:sz w:val="22"/>
          <w:szCs w:val="22"/>
        </w:rPr>
        <w:t xml:space="preserve">In conclusion, we have the following </w:t>
      </w:r>
      <w:r w:rsidR="009E7493">
        <w:rPr>
          <w:sz w:val="22"/>
          <w:szCs w:val="22"/>
        </w:rPr>
        <w:t xml:space="preserve">observations and </w:t>
      </w:r>
      <w:r>
        <w:rPr>
          <w:sz w:val="22"/>
          <w:szCs w:val="22"/>
        </w:rPr>
        <w:t xml:space="preserve">proposals </w:t>
      </w:r>
      <w:r w:rsidR="000B0242">
        <w:rPr>
          <w:sz w:val="22"/>
          <w:szCs w:val="22"/>
        </w:rPr>
        <w:t>on SRS carrier switching operation</w:t>
      </w:r>
      <w:r w:rsidR="00575F55">
        <w:rPr>
          <w:sz w:val="22"/>
          <w:szCs w:val="22"/>
        </w:rPr>
        <w:t>.</w:t>
      </w:r>
    </w:p>
    <w:p w14:paraId="7B32EEA8" w14:textId="6E0F5F47" w:rsidR="00A31451" w:rsidRPr="003D5083" w:rsidRDefault="00A31451" w:rsidP="00A31451">
      <w:pPr>
        <w:spacing w:before="120" w:after="0"/>
        <w:ind w:firstLine="284"/>
        <w:jc w:val="both"/>
        <w:rPr>
          <w:b/>
          <w:i/>
          <w:sz w:val="22"/>
          <w:szCs w:val="22"/>
        </w:rPr>
      </w:pPr>
      <w:r w:rsidRPr="003D5083">
        <w:rPr>
          <w:b/>
          <w:i/>
          <w:sz w:val="22"/>
          <w:szCs w:val="22"/>
        </w:rPr>
        <w:t xml:space="preserve">Proposal </w:t>
      </w:r>
      <w:r w:rsidR="00C167DB">
        <w:rPr>
          <w:b/>
          <w:i/>
          <w:sz w:val="22"/>
          <w:szCs w:val="22"/>
        </w:rPr>
        <w:t>1</w:t>
      </w:r>
      <w:r w:rsidRPr="003D5083">
        <w:rPr>
          <w:b/>
          <w:i/>
          <w:sz w:val="22"/>
          <w:szCs w:val="22"/>
        </w:rPr>
        <w:t>:</w:t>
      </w:r>
    </w:p>
    <w:p w14:paraId="6BFA937F" w14:textId="77777777" w:rsidR="00A31451" w:rsidRPr="008B4018" w:rsidRDefault="00A31451" w:rsidP="00A31451">
      <w:pPr>
        <w:pStyle w:val="ListParagraph"/>
        <w:numPr>
          <w:ilvl w:val="0"/>
          <w:numId w:val="21"/>
        </w:numPr>
        <w:spacing w:before="120"/>
        <w:jc w:val="both"/>
        <w:rPr>
          <w:rFonts w:ascii="Times New Roman" w:hAnsi="Times New Roman"/>
          <w:i/>
        </w:rPr>
      </w:pPr>
      <w:r w:rsidRPr="008B4018">
        <w:rPr>
          <w:rFonts w:ascii="Times New Roman" w:hAnsi="Times New Roman"/>
          <w:i/>
        </w:rPr>
        <w:t>When multiple aperiodic SRS resource sets for carrier switching are triggered by the same DCI</w:t>
      </w:r>
      <w:r>
        <w:rPr>
          <w:rFonts w:ascii="Times New Roman" w:hAnsi="Times New Roman"/>
          <w:i/>
        </w:rPr>
        <w:t>, support Alt. 3 regarding UE behavior between two SRS resource sets.</w:t>
      </w:r>
    </w:p>
    <w:p w14:paraId="48935B27" w14:textId="581CB159" w:rsidR="00A31451" w:rsidRPr="00A31451" w:rsidRDefault="00A31451" w:rsidP="00A65744">
      <w:pPr>
        <w:ind w:firstLine="284"/>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B9BF4E4" w14:textId="3B1F37BE" w:rsidR="00F75CDB" w:rsidRDefault="00F75CDB" w:rsidP="00284428">
      <w:pPr>
        <w:numPr>
          <w:ilvl w:val="0"/>
          <w:numId w:val="2"/>
        </w:numPr>
        <w:rPr>
          <w:sz w:val="22"/>
          <w:szCs w:val="22"/>
          <w:lang w:val="en-US" w:eastAsia="zh-CN"/>
        </w:rPr>
      </w:pPr>
      <w:bookmarkStart w:id="1"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475E75">
        <w:rPr>
          <w:sz w:val="22"/>
          <w:szCs w:val="22"/>
          <w:lang w:val="en-US" w:eastAsia="zh-CN"/>
        </w:rPr>
        <w:t>8</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1"/>
    </w:p>
    <w:p w14:paraId="5BE536AA" w14:textId="632FB2C8" w:rsidR="00445685" w:rsidRPr="00445685" w:rsidRDefault="00445685" w:rsidP="00350D24">
      <w:pPr>
        <w:numPr>
          <w:ilvl w:val="0"/>
          <w:numId w:val="2"/>
        </w:numPr>
        <w:rPr>
          <w:sz w:val="22"/>
          <w:szCs w:val="22"/>
          <w:lang w:val="en-US" w:eastAsia="zh-CN"/>
        </w:rPr>
      </w:pPr>
      <w:r w:rsidRPr="00445685">
        <w:rPr>
          <w:sz w:val="22"/>
          <w:szCs w:val="22"/>
          <w:lang w:val="en-US" w:eastAsia="zh-CN"/>
        </w:rPr>
        <w:t>RAN1 Chairman’s Notes, 3GPP TSG RAN WG1 Meeting #10</w:t>
      </w:r>
      <w:r>
        <w:rPr>
          <w:sz w:val="22"/>
          <w:szCs w:val="22"/>
          <w:lang w:val="en-US" w:eastAsia="zh-CN"/>
        </w:rPr>
        <w:t>6</w:t>
      </w:r>
      <w:r w:rsidRPr="00445685">
        <w:rPr>
          <w:sz w:val="22"/>
          <w:szCs w:val="22"/>
          <w:lang w:val="en-US" w:eastAsia="zh-CN"/>
        </w:rPr>
        <w:t xml:space="preserve">-e, </w:t>
      </w:r>
      <w:r>
        <w:rPr>
          <w:sz w:val="22"/>
          <w:szCs w:val="22"/>
          <w:lang w:val="en-US" w:eastAsia="zh-CN"/>
        </w:rPr>
        <w:t>August</w:t>
      </w:r>
      <w:r w:rsidRPr="00445685">
        <w:rPr>
          <w:sz w:val="22"/>
          <w:szCs w:val="22"/>
          <w:lang w:val="en-US" w:eastAsia="zh-CN"/>
        </w:rPr>
        <w:t xml:space="preserve"> </w:t>
      </w:r>
      <w:r>
        <w:rPr>
          <w:sz w:val="22"/>
          <w:szCs w:val="22"/>
          <w:lang w:val="en-US" w:eastAsia="zh-CN"/>
        </w:rPr>
        <w:t>16</w:t>
      </w:r>
      <w:r w:rsidRPr="00445685">
        <w:rPr>
          <w:sz w:val="22"/>
          <w:szCs w:val="22"/>
          <w:lang w:val="en-US" w:eastAsia="zh-CN"/>
        </w:rPr>
        <w:t xml:space="preserve"> – 27, 2021</w:t>
      </w:r>
    </w:p>
    <w:p w14:paraId="4B643FB1" w14:textId="4E812A58" w:rsidR="00E516E4" w:rsidRDefault="00E516E4" w:rsidP="00E516E4">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107-e</w:t>
      </w:r>
      <w:r w:rsidRPr="0029532F">
        <w:rPr>
          <w:sz w:val="22"/>
          <w:szCs w:val="22"/>
          <w:lang w:val="en-US" w:eastAsia="zh-CN"/>
        </w:rPr>
        <w:t xml:space="preserve">, </w:t>
      </w:r>
      <w:r>
        <w:rPr>
          <w:sz w:val="22"/>
          <w:szCs w:val="22"/>
          <w:lang w:val="en-US" w:eastAsia="zh-CN"/>
        </w:rPr>
        <w:t>November</w:t>
      </w:r>
      <w:r w:rsidRPr="0088295A">
        <w:rPr>
          <w:sz w:val="22"/>
          <w:szCs w:val="22"/>
          <w:lang w:val="en-US" w:eastAsia="zh-CN"/>
        </w:rPr>
        <w:t xml:space="preserve"> </w:t>
      </w:r>
      <w:r>
        <w:rPr>
          <w:sz w:val="22"/>
          <w:szCs w:val="22"/>
          <w:lang w:val="en-US" w:eastAsia="zh-CN"/>
        </w:rPr>
        <w:t>11</w:t>
      </w:r>
      <w:r w:rsidRPr="0088295A">
        <w:rPr>
          <w:sz w:val="22"/>
          <w:szCs w:val="22"/>
          <w:lang w:val="en-US" w:eastAsia="zh-CN"/>
        </w:rPr>
        <w:t xml:space="preserve"> – </w:t>
      </w:r>
      <w:r>
        <w:rPr>
          <w:sz w:val="22"/>
          <w:szCs w:val="22"/>
          <w:lang w:val="en-US" w:eastAsia="zh-CN"/>
        </w:rPr>
        <w:t>19</w:t>
      </w:r>
      <w:r w:rsidRPr="0029532F">
        <w:rPr>
          <w:sz w:val="22"/>
          <w:szCs w:val="22"/>
          <w:lang w:val="en-US" w:eastAsia="zh-CN"/>
        </w:rPr>
        <w:t>, 20</w:t>
      </w:r>
      <w:r>
        <w:rPr>
          <w:sz w:val="22"/>
          <w:szCs w:val="22"/>
          <w:lang w:val="en-US" w:eastAsia="zh-CN"/>
        </w:rPr>
        <w:t>21</w:t>
      </w:r>
    </w:p>
    <w:p w14:paraId="4C424FDA" w14:textId="3E41E99F" w:rsidR="00C12604" w:rsidRDefault="00C12604" w:rsidP="00E516E4">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108-e</w:t>
      </w:r>
      <w:r w:rsidRPr="0029532F">
        <w:rPr>
          <w:sz w:val="22"/>
          <w:szCs w:val="22"/>
          <w:lang w:val="en-US" w:eastAsia="zh-CN"/>
        </w:rPr>
        <w:t xml:space="preserve">, </w:t>
      </w:r>
      <w:r w:rsidRPr="002D4523">
        <w:rPr>
          <w:sz w:val="22"/>
          <w:szCs w:val="22"/>
          <w:lang w:val="en-US" w:eastAsia="zh-CN"/>
        </w:rPr>
        <w:t xml:space="preserve">February 21st – March 3rd, </w:t>
      </w:r>
      <w:r w:rsidRPr="0029532F">
        <w:rPr>
          <w:sz w:val="22"/>
          <w:szCs w:val="22"/>
          <w:lang w:val="en-US" w:eastAsia="zh-CN"/>
        </w:rPr>
        <w:t>20</w:t>
      </w:r>
      <w:r>
        <w:rPr>
          <w:sz w:val="22"/>
          <w:szCs w:val="22"/>
          <w:lang w:val="en-US" w:eastAsia="zh-CN"/>
        </w:rPr>
        <w:t>22</w:t>
      </w:r>
    </w:p>
    <w:p w14:paraId="297DCE2D" w14:textId="77777777" w:rsidR="001605D8" w:rsidRDefault="001605D8" w:rsidP="006C6E3F">
      <w:pPr>
        <w:rPr>
          <w:sz w:val="22"/>
          <w:szCs w:val="22"/>
          <w:lang w:val="en-US" w:eastAsia="zh-CN"/>
        </w:rPr>
      </w:pPr>
    </w:p>
    <w:sectPr w:rsidR="001605D8"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054E" w14:textId="77777777" w:rsidR="002627EB" w:rsidRDefault="002627EB">
      <w:r>
        <w:separator/>
      </w:r>
    </w:p>
  </w:endnote>
  <w:endnote w:type="continuationSeparator" w:id="0">
    <w:p w14:paraId="710C5035" w14:textId="77777777" w:rsidR="002627EB" w:rsidRDefault="0026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B928C6" w:rsidRDefault="00B928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928C6" w:rsidRDefault="00B928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B928C6" w:rsidRDefault="00B928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B928C6" w:rsidRDefault="00B92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32B35" w14:textId="77777777" w:rsidR="002627EB" w:rsidRDefault="002627EB">
      <w:r>
        <w:separator/>
      </w:r>
    </w:p>
  </w:footnote>
  <w:footnote w:type="continuationSeparator" w:id="0">
    <w:p w14:paraId="0125E816" w14:textId="77777777" w:rsidR="002627EB" w:rsidRDefault="00262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B928C6" w:rsidRDefault="00B928C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B928C6" w:rsidRDefault="00B92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B928C6" w:rsidRDefault="00B92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6953"/>
    <w:multiLevelType w:val="hybridMultilevel"/>
    <w:tmpl w:val="C5AAA664"/>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6F52CA"/>
    <w:multiLevelType w:val="hybridMultilevel"/>
    <w:tmpl w:val="0FA6B2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C05B43"/>
    <w:multiLevelType w:val="hybridMultilevel"/>
    <w:tmpl w:val="7AEE893A"/>
    <w:lvl w:ilvl="0" w:tplc="9646A282">
      <w:numFmt w:val="bullet"/>
      <w:lvlText w:val=""/>
      <w:lvlJc w:val="left"/>
      <w:pPr>
        <w:ind w:left="780" w:hanging="420"/>
      </w:pPr>
      <w:rPr>
        <w:rFonts w:ascii="Symbol" w:eastAsia="宋体"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10A2A0D"/>
    <w:multiLevelType w:val="hybridMultilevel"/>
    <w:tmpl w:val="AE8803D4"/>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8374905"/>
    <w:multiLevelType w:val="hybridMultilevel"/>
    <w:tmpl w:val="0AD87C5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2"/>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33"/>
  </w:num>
  <w:num w:numId="8">
    <w:abstractNumId w:val="2"/>
  </w:num>
  <w:num w:numId="9">
    <w:abstractNumId w:val="5"/>
  </w:num>
  <w:num w:numId="10">
    <w:abstractNumId w:val="32"/>
  </w:num>
  <w:num w:numId="11">
    <w:abstractNumId w:val="41"/>
  </w:num>
  <w:num w:numId="12">
    <w:abstractNumId w:val="4"/>
  </w:num>
  <w:num w:numId="13">
    <w:abstractNumId w:val="36"/>
  </w:num>
  <w:num w:numId="14">
    <w:abstractNumId w:val="12"/>
  </w:num>
  <w:num w:numId="15">
    <w:abstractNumId w:val="14"/>
  </w:num>
  <w:num w:numId="16">
    <w:abstractNumId w:val="11"/>
  </w:num>
  <w:num w:numId="17">
    <w:abstractNumId w:val="16"/>
  </w:num>
  <w:num w:numId="18">
    <w:abstractNumId w:val="8"/>
  </w:num>
  <w:num w:numId="19">
    <w:abstractNumId w:val="19"/>
  </w:num>
  <w:num w:numId="20">
    <w:abstractNumId w:val="35"/>
  </w:num>
  <w:num w:numId="21">
    <w:abstractNumId w:val="13"/>
  </w:num>
  <w:num w:numId="22">
    <w:abstractNumId w:val="39"/>
  </w:num>
  <w:num w:numId="23">
    <w:abstractNumId w:val="30"/>
  </w:num>
  <w:num w:numId="24">
    <w:abstractNumId w:val="24"/>
  </w:num>
  <w:num w:numId="25">
    <w:abstractNumId w:val="7"/>
  </w:num>
  <w:num w:numId="26">
    <w:abstractNumId w:val="40"/>
  </w:num>
  <w:num w:numId="27">
    <w:abstractNumId w:val="23"/>
  </w:num>
  <w:num w:numId="28">
    <w:abstractNumId w:val="21"/>
  </w:num>
  <w:num w:numId="29">
    <w:abstractNumId w:val="38"/>
  </w:num>
  <w:num w:numId="30">
    <w:abstractNumId w:val="22"/>
  </w:num>
  <w:num w:numId="31">
    <w:abstractNumId w:val="18"/>
  </w:num>
  <w:num w:numId="32">
    <w:abstractNumId w:val="27"/>
  </w:num>
  <w:num w:numId="33">
    <w:abstractNumId w:val="26"/>
  </w:num>
  <w:num w:numId="34">
    <w:abstractNumId w:val="3"/>
  </w:num>
  <w:num w:numId="35">
    <w:abstractNumId w:val="34"/>
  </w:num>
  <w:num w:numId="36">
    <w:abstractNumId w:val="28"/>
  </w:num>
  <w:num w:numId="37">
    <w:abstractNumId w:val="17"/>
  </w:num>
  <w:num w:numId="38">
    <w:abstractNumId w:val="31"/>
  </w:num>
  <w:num w:numId="39">
    <w:abstractNumId w:val="20"/>
  </w:num>
  <w:num w:numId="40">
    <w:abstractNumId w:val="37"/>
  </w:num>
  <w:num w:numId="41">
    <w:abstractNumId w:val="6"/>
  </w:num>
  <w:num w:numId="42">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623"/>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1D5"/>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C4B"/>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0A"/>
    <w:rsid w:val="000475B5"/>
    <w:rsid w:val="000477BB"/>
    <w:rsid w:val="00047A82"/>
    <w:rsid w:val="0005055B"/>
    <w:rsid w:val="000505E0"/>
    <w:rsid w:val="000509C8"/>
    <w:rsid w:val="00050D32"/>
    <w:rsid w:val="00050FFE"/>
    <w:rsid w:val="00051135"/>
    <w:rsid w:val="00051303"/>
    <w:rsid w:val="00051586"/>
    <w:rsid w:val="00051A22"/>
    <w:rsid w:val="00051D7A"/>
    <w:rsid w:val="00051FEF"/>
    <w:rsid w:val="0005201C"/>
    <w:rsid w:val="00052893"/>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FB"/>
    <w:rsid w:val="00071E9B"/>
    <w:rsid w:val="000721FD"/>
    <w:rsid w:val="000725C2"/>
    <w:rsid w:val="00072E75"/>
    <w:rsid w:val="00072EFA"/>
    <w:rsid w:val="00073239"/>
    <w:rsid w:val="00073785"/>
    <w:rsid w:val="00073A00"/>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42"/>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5F7A"/>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307"/>
    <w:rsid w:val="000E471D"/>
    <w:rsid w:val="000E48CD"/>
    <w:rsid w:val="000E4C9B"/>
    <w:rsid w:val="000E4D01"/>
    <w:rsid w:val="000E5830"/>
    <w:rsid w:val="000E5C4E"/>
    <w:rsid w:val="000E60DD"/>
    <w:rsid w:val="000E633D"/>
    <w:rsid w:val="000E6355"/>
    <w:rsid w:val="000E65A7"/>
    <w:rsid w:val="000E6635"/>
    <w:rsid w:val="000E6EC0"/>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33C"/>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07D08"/>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D5C"/>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27FBC"/>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617"/>
    <w:rsid w:val="001477C4"/>
    <w:rsid w:val="00147D65"/>
    <w:rsid w:val="00147D91"/>
    <w:rsid w:val="00147FC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4E22"/>
    <w:rsid w:val="00165137"/>
    <w:rsid w:val="0016521A"/>
    <w:rsid w:val="0016634F"/>
    <w:rsid w:val="001669F9"/>
    <w:rsid w:val="00166B2C"/>
    <w:rsid w:val="00166F3A"/>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D02"/>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B59"/>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B86"/>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146"/>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A89"/>
    <w:rsid w:val="00253D64"/>
    <w:rsid w:val="00254517"/>
    <w:rsid w:val="00254616"/>
    <w:rsid w:val="002548B7"/>
    <w:rsid w:val="00254A1E"/>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7EB"/>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8F7"/>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D41"/>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6B3"/>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C0F"/>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721"/>
    <w:rsid w:val="00307980"/>
    <w:rsid w:val="00307B27"/>
    <w:rsid w:val="00307F28"/>
    <w:rsid w:val="00310148"/>
    <w:rsid w:val="003101DC"/>
    <w:rsid w:val="0031035A"/>
    <w:rsid w:val="00310693"/>
    <w:rsid w:val="003106D1"/>
    <w:rsid w:val="0031079B"/>
    <w:rsid w:val="00310CC6"/>
    <w:rsid w:val="003111DA"/>
    <w:rsid w:val="003113C9"/>
    <w:rsid w:val="00311642"/>
    <w:rsid w:val="00311761"/>
    <w:rsid w:val="00311941"/>
    <w:rsid w:val="00311AFC"/>
    <w:rsid w:val="00312183"/>
    <w:rsid w:val="003121B8"/>
    <w:rsid w:val="00312357"/>
    <w:rsid w:val="00312D99"/>
    <w:rsid w:val="0031356D"/>
    <w:rsid w:val="003137A0"/>
    <w:rsid w:val="003137ED"/>
    <w:rsid w:val="00313C4F"/>
    <w:rsid w:val="003141C2"/>
    <w:rsid w:val="00314629"/>
    <w:rsid w:val="0031518B"/>
    <w:rsid w:val="0031586B"/>
    <w:rsid w:val="0031599D"/>
    <w:rsid w:val="00315F72"/>
    <w:rsid w:val="00316072"/>
    <w:rsid w:val="00316265"/>
    <w:rsid w:val="00316786"/>
    <w:rsid w:val="00316931"/>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DD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600"/>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C48"/>
    <w:rsid w:val="00380F42"/>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5EC6"/>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5DC9"/>
    <w:rsid w:val="003A6330"/>
    <w:rsid w:val="003A65E0"/>
    <w:rsid w:val="003A6700"/>
    <w:rsid w:val="003A67EA"/>
    <w:rsid w:val="003A6BC9"/>
    <w:rsid w:val="003A76A9"/>
    <w:rsid w:val="003A7747"/>
    <w:rsid w:val="003B0191"/>
    <w:rsid w:val="003B0299"/>
    <w:rsid w:val="003B0901"/>
    <w:rsid w:val="003B0A92"/>
    <w:rsid w:val="003B0B4D"/>
    <w:rsid w:val="003B0EC9"/>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637"/>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4D"/>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2FB"/>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685"/>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69A"/>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E75"/>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5B6"/>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73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0EC6"/>
    <w:rsid w:val="005118DD"/>
    <w:rsid w:val="00511B42"/>
    <w:rsid w:val="00511E67"/>
    <w:rsid w:val="0051227E"/>
    <w:rsid w:val="005124B0"/>
    <w:rsid w:val="00512747"/>
    <w:rsid w:val="0051317C"/>
    <w:rsid w:val="00513789"/>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196"/>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BF"/>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B66"/>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1D87"/>
    <w:rsid w:val="005C2144"/>
    <w:rsid w:val="005C3016"/>
    <w:rsid w:val="005C348E"/>
    <w:rsid w:val="005C376D"/>
    <w:rsid w:val="005C3A65"/>
    <w:rsid w:val="005C3CDF"/>
    <w:rsid w:val="005C4A30"/>
    <w:rsid w:val="005C4B4D"/>
    <w:rsid w:val="005C4DE3"/>
    <w:rsid w:val="005C4EA1"/>
    <w:rsid w:val="005C4F93"/>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DA6"/>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206"/>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2CC5"/>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29E"/>
    <w:rsid w:val="0060632A"/>
    <w:rsid w:val="00606CB6"/>
    <w:rsid w:val="00606D2C"/>
    <w:rsid w:val="00607039"/>
    <w:rsid w:val="006074B1"/>
    <w:rsid w:val="006079D8"/>
    <w:rsid w:val="00607ADE"/>
    <w:rsid w:val="00607E68"/>
    <w:rsid w:val="006101AC"/>
    <w:rsid w:val="006102C6"/>
    <w:rsid w:val="006103F0"/>
    <w:rsid w:val="006105C6"/>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7F1"/>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38E"/>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3A9"/>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38B"/>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D4A"/>
    <w:rsid w:val="006B3E55"/>
    <w:rsid w:val="006B4D4E"/>
    <w:rsid w:val="006B555C"/>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CA5"/>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0D10"/>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0E3"/>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0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29"/>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28B"/>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46"/>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5E"/>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7E1"/>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5B53"/>
    <w:rsid w:val="007861D1"/>
    <w:rsid w:val="00786272"/>
    <w:rsid w:val="007864B2"/>
    <w:rsid w:val="00786620"/>
    <w:rsid w:val="007868B7"/>
    <w:rsid w:val="007869A4"/>
    <w:rsid w:val="00786BC0"/>
    <w:rsid w:val="00786CC1"/>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00"/>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CF9"/>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531"/>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982"/>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33B"/>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C5E"/>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57B"/>
    <w:rsid w:val="00850608"/>
    <w:rsid w:val="00850A70"/>
    <w:rsid w:val="00850DBB"/>
    <w:rsid w:val="00851076"/>
    <w:rsid w:val="008511B7"/>
    <w:rsid w:val="0085130C"/>
    <w:rsid w:val="008519A8"/>
    <w:rsid w:val="00851A14"/>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4CA"/>
    <w:rsid w:val="008B35ED"/>
    <w:rsid w:val="008B4018"/>
    <w:rsid w:val="008B41EF"/>
    <w:rsid w:val="008B4230"/>
    <w:rsid w:val="008B447F"/>
    <w:rsid w:val="008B47A2"/>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2B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AE6"/>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5F8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5A"/>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A2"/>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56E"/>
    <w:rsid w:val="0098172B"/>
    <w:rsid w:val="009817F9"/>
    <w:rsid w:val="0098183B"/>
    <w:rsid w:val="009822AF"/>
    <w:rsid w:val="009823A3"/>
    <w:rsid w:val="009826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783"/>
    <w:rsid w:val="009969A0"/>
    <w:rsid w:val="00996A8B"/>
    <w:rsid w:val="00996B84"/>
    <w:rsid w:val="00996CD1"/>
    <w:rsid w:val="00996CD4"/>
    <w:rsid w:val="00996F9D"/>
    <w:rsid w:val="00997007"/>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ADF"/>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85"/>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C8D"/>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493"/>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5B4"/>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3C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3CE"/>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9CB"/>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51"/>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7FD"/>
    <w:rsid w:val="00A45A3B"/>
    <w:rsid w:val="00A45EEE"/>
    <w:rsid w:val="00A46395"/>
    <w:rsid w:val="00A468D8"/>
    <w:rsid w:val="00A46FAD"/>
    <w:rsid w:val="00A470ED"/>
    <w:rsid w:val="00A47430"/>
    <w:rsid w:val="00A4761F"/>
    <w:rsid w:val="00A47B4B"/>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C2F"/>
    <w:rsid w:val="00A85E66"/>
    <w:rsid w:val="00A85FFF"/>
    <w:rsid w:val="00A865AF"/>
    <w:rsid w:val="00A86736"/>
    <w:rsid w:val="00A86ACD"/>
    <w:rsid w:val="00A86FEF"/>
    <w:rsid w:val="00A8745A"/>
    <w:rsid w:val="00A87482"/>
    <w:rsid w:val="00A875E8"/>
    <w:rsid w:val="00A87C98"/>
    <w:rsid w:val="00A905F1"/>
    <w:rsid w:val="00A90E27"/>
    <w:rsid w:val="00A90F6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A87"/>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6D8C"/>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47C"/>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4C8A"/>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495"/>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0F0F"/>
    <w:rsid w:val="00B21016"/>
    <w:rsid w:val="00B215F9"/>
    <w:rsid w:val="00B217E4"/>
    <w:rsid w:val="00B21A49"/>
    <w:rsid w:val="00B21CA7"/>
    <w:rsid w:val="00B21D72"/>
    <w:rsid w:val="00B21D85"/>
    <w:rsid w:val="00B21DF9"/>
    <w:rsid w:val="00B2251A"/>
    <w:rsid w:val="00B22803"/>
    <w:rsid w:val="00B233A9"/>
    <w:rsid w:val="00B239BD"/>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CE7"/>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DF7"/>
    <w:rsid w:val="00B60E6E"/>
    <w:rsid w:val="00B60E74"/>
    <w:rsid w:val="00B6184F"/>
    <w:rsid w:val="00B619AF"/>
    <w:rsid w:val="00B61B85"/>
    <w:rsid w:val="00B61CFF"/>
    <w:rsid w:val="00B61F53"/>
    <w:rsid w:val="00B61F70"/>
    <w:rsid w:val="00B6237B"/>
    <w:rsid w:val="00B62466"/>
    <w:rsid w:val="00B624C5"/>
    <w:rsid w:val="00B62A18"/>
    <w:rsid w:val="00B62B02"/>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AF"/>
    <w:rsid w:val="00B741DB"/>
    <w:rsid w:val="00B74570"/>
    <w:rsid w:val="00B74572"/>
    <w:rsid w:val="00B74A0D"/>
    <w:rsid w:val="00B74BDD"/>
    <w:rsid w:val="00B74E16"/>
    <w:rsid w:val="00B74EC0"/>
    <w:rsid w:val="00B74F4E"/>
    <w:rsid w:val="00B75667"/>
    <w:rsid w:val="00B75818"/>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1CD8"/>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2EA"/>
    <w:rsid w:val="00B926E0"/>
    <w:rsid w:val="00B928B6"/>
    <w:rsid w:val="00B928C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97FEC"/>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8FA"/>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E8E"/>
    <w:rsid w:val="00BD238C"/>
    <w:rsid w:val="00BD2431"/>
    <w:rsid w:val="00BD2683"/>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374"/>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17F"/>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604"/>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67D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1D3C"/>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806"/>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8E"/>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1CF"/>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72E"/>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04"/>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BAF"/>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A4D"/>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758"/>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4BB"/>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495"/>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6E4"/>
    <w:rsid w:val="00E51A30"/>
    <w:rsid w:val="00E51E23"/>
    <w:rsid w:val="00E52017"/>
    <w:rsid w:val="00E52937"/>
    <w:rsid w:val="00E52CCE"/>
    <w:rsid w:val="00E52DCB"/>
    <w:rsid w:val="00E52F76"/>
    <w:rsid w:val="00E5315C"/>
    <w:rsid w:val="00E538E0"/>
    <w:rsid w:val="00E53EAE"/>
    <w:rsid w:val="00E53FBB"/>
    <w:rsid w:val="00E548A8"/>
    <w:rsid w:val="00E54C37"/>
    <w:rsid w:val="00E54CEC"/>
    <w:rsid w:val="00E54D33"/>
    <w:rsid w:val="00E5515E"/>
    <w:rsid w:val="00E556A3"/>
    <w:rsid w:val="00E55BCA"/>
    <w:rsid w:val="00E55E17"/>
    <w:rsid w:val="00E55F3F"/>
    <w:rsid w:val="00E5711F"/>
    <w:rsid w:val="00E5719D"/>
    <w:rsid w:val="00E5765B"/>
    <w:rsid w:val="00E57A8F"/>
    <w:rsid w:val="00E6000E"/>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D6C"/>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CDD"/>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20"/>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5E"/>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31"/>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BA0"/>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8FA"/>
    <w:rsid w:val="00F35A79"/>
    <w:rsid w:val="00F35E92"/>
    <w:rsid w:val="00F36190"/>
    <w:rsid w:val="00F3647B"/>
    <w:rsid w:val="00F364D1"/>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6E6D"/>
    <w:rsid w:val="00F67026"/>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21B"/>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3AB"/>
    <w:rsid w:val="00FF0502"/>
    <w:rsid w:val="00FF0BBB"/>
    <w:rsid w:val="00FF1455"/>
    <w:rsid w:val="00FF1716"/>
    <w:rsid w:val="00FF17CF"/>
    <w:rsid w:val="00FF1862"/>
    <w:rsid w:val="00FF1E0C"/>
    <w:rsid w:val="00FF1E43"/>
    <w:rsid w:val="00FF2077"/>
    <w:rsid w:val="00FF2A88"/>
    <w:rsid w:val="00FF2E79"/>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character" w:styleId="Strong">
    <w:name w:val="Strong"/>
    <w:uiPriority w:val="22"/>
    <w:qFormat/>
    <w:rsid w:val="00301C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5B1A748F-3209-416F-BBF6-C12DBB3E76DC}"/>
</file>

<file path=docProps/app.xml><?xml version="1.0" encoding="utf-8"?>
<Properties xmlns="http://schemas.openxmlformats.org/officeDocument/2006/extended-properties" xmlns:vt="http://schemas.openxmlformats.org/officeDocument/2006/docPropsVTypes">
  <Template>3gpp_70.dot</Template>
  <TotalTime>1</TotalTime>
  <Pages>3</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8042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cp:revision>
  <cp:lastPrinted>2011-11-09T07:49:00Z</cp:lastPrinted>
  <dcterms:created xsi:type="dcterms:W3CDTF">2022-04-23T03:07:00Z</dcterms:created>
  <dcterms:modified xsi:type="dcterms:W3CDTF">2022-04-23T03:07:00Z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