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tabs>
          <w:tab w:val="right" w:pos="9216" w:leader="none"/>
        </w:tabs>
        <w:spacing w:before="0" w:after="0"/>
        <w:jc w:val="left"/>
        <w:rPr/>
      </w:pPr>
      <w:r>
        <w:rPr>
          <w:b/>
        </w:rPr>
        <w:t>3GPP TSG RAN WG1 Meeting #109-e</w:t>
        <w:tab/>
        <w:t>R1-2204756</w:t>
      </w:r>
    </w:p>
    <w:p>
      <w:pPr>
        <w:pStyle w:val="Normal"/>
        <w:jc w:val="left"/>
        <w:rPr/>
      </w:pPr>
      <w:r>
        <w:rPr>
          <w:b/>
        </w:rPr>
        <w:t>May 9</w:t>
      </w:r>
      <w:r>
        <w:rPr>
          <w:b/>
          <w:vertAlign w:val="superscript"/>
        </w:rPr>
        <w:t>th</w:t>
      </w:r>
      <w:r>
        <w:rPr>
          <w:b/>
        </w:rPr>
        <w:t xml:space="preserve"> – May 20</w:t>
      </w:r>
      <w:r>
        <w:rPr>
          <w:b/>
          <w:vertAlign w:val="superscript"/>
        </w:rPr>
        <w:t>th</w:t>
      </w:r>
      <w:r>
        <w:rPr>
          <w:b/>
        </w:rPr>
        <w:t>, 2022</w:t>
      </w:r>
    </w:p>
    <w:p>
      <w:pPr>
        <w:pStyle w:val="Normal"/>
        <w:pBdr>
          <w:top w:val="single" w:sz="4" w:space="1" w:color="000001"/>
        </w:pBdr>
        <w:spacing w:before="0" w:after="0"/>
        <w:jc w:val="left"/>
        <w:rPr>
          <w:b/>
          <w:b/>
          <w:sz w:val="16"/>
          <w:szCs w:val="16"/>
        </w:rPr>
      </w:pPr>
      <w:r>
        <w:rPr>
          <w:b/>
          <w:sz w:val="16"/>
          <w:szCs w:val="16"/>
        </w:rPr>
      </w:r>
    </w:p>
    <w:p>
      <w:pPr>
        <w:pStyle w:val="Normal"/>
        <w:spacing w:before="0" w:after="60"/>
        <w:ind w:left="1555" w:hanging="1555"/>
        <w:jc w:val="left"/>
        <w:rPr/>
      </w:pPr>
      <w:r>
        <w:rPr>
          <w:b/>
        </w:rPr>
        <w:t>Agenda Item:</w:t>
        <w:tab/>
        <w:t>9.7.2</w:t>
      </w:r>
    </w:p>
    <w:p>
      <w:pPr>
        <w:pStyle w:val="Normal"/>
        <w:spacing w:before="0" w:after="60"/>
        <w:ind w:left="1555" w:hanging="1555"/>
        <w:jc w:val="left"/>
        <w:rPr/>
      </w:pPr>
      <w:r>
        <w:rPr>
          <w:b/>
        </w:rPr>
        <w:t>Source:</w:t>
        <w:tab/>
        <w:t xml:space="preserve">CEWiT, </w:t>
      </w:r>
      <w:r>
        <w:rPr>
          <w:b/>
        </w:rPr>
        <w:t>IIT-M, IIT-K, Reliance Jio, Saankhya Labs</w:t>
      </w:r>
    </w:p>
    <w:p>
      <w:pPr>
        <w:pStyle w:val="Normal"/>
        <w:spacing w:before="0" w:after="60"/>
        <w:ind w:left="1555" w:hanging="1555"/>
        <w:jc w:val="left"/>
        <w:rPr/>
      </w:pPr>
      <w:r>
        <w:rPr>
          <w:b/>
        </w:rPr>
        <w:t>Title:</w:t>
        <w:tab/>
      </w:r>
      <w:r>
        <w:rPr>
          <w:b/>
          <w:lang w:val="en-GB"/>
        </w:rPr>
        <w:t>Network energy saving techniques</w:t>
      </w:r>
      <w:r>
        <w:rPr>
          <w:b/>
        </w:rPr>
        <w:t xml:space="preserve"> </w:t>
      </w:r>
    </w:p>
    <w:p>
      <w:pPr>
        <w:pStyle w:val="Normal"/>
        <w:spacing w:before="0" w:after="60"/>
        <w:ind w:left="1555" w:hanging="1555"/>
        <w:jc w:val="left"/>
        <w:rPr/>
      </w:pPr>
      <w:r>
        <w:rPr>
          <w:b/>
        </w:rPr>
        <w:t>Document for:</w:t>
        <w:tab/>
        <w:t xml:space="preserve">Discussion </w:t>
      </w:r>
    </w:p>
    <w:p>
      <w:pPr>
        <w:pStyle w:val="Normal"/>
        <w:pBdr>
          <w:bottom w:val="single" w:sz="4" w:space="1" w:color="000001"/>
        </w:pBdr>
        <w:spacing w:before="0" w:after="0"/>
        <w:jc w:val="left"/>
        <w:rPr>
          <w:b/>
          <w:b/>
          <w:sz w:val="16"/>
          <w:szCs w:val="16"/>
        </w:rPr>
      </w:pPr>
      <w:r>
        <w:rPr>
          <w:b/>
          <w:sz w:val="16"/>
          <w:szCs w:val="16"/>
        </w:rPr>
      </w:r>
    </w:p>
    <w:p>
      <w:pPr>
        <w:pStyle w:val="Heading1"/>
        <w:numPr>
          <w:ilvl w:val="0"/>
          <w:numId w:val="2"/>
        </w:numPr>
        <w:rPr/>
      </w:pPr>
      <w:bookmarkStart w:id="0" w:name="_Ref129681862"/>
      <w:bookmarkStart w:id="1" w:name="_Ref124589705"/>
      <w:bookmarkEnd w:id="0"/>
      <w:bookmarkEnd w:id="1"/>
      <w:r>
        <w:rPr/>
        <w:t>Introduction</w:t>
      </w:r>
    </w:p>
    <w:p>
      <w:pPr>
        <w:pStyle w:val="Normal"/>
        <w:rPr/>
      </w:pPr>
      <w:r>
        <w:rPr/>
        <w:t>A new study item on “Study on network energy savings for NR” was approved in RAN#94-e [1] with following objective:</w:t>
      </w:r>
    </w:p>
    <w:p>
      <w:pPr>
        <w:pStyle w:val="Normal"/>
        <w:rPr/>
      </w:pPr>
      <w:r>
        <w:rPr>
          <w:bCs/>
          <w:lang w:val="en-GB"/>
        </w:rPr>
        <w:t>The objectives of the study are the following:</w:t>
      </w:r>
    </w:p>
    <w:p>
      <w:pPr>
        <w:pStyle w:val="Normal"/>
        <w:numPr>
          <w:ilvl w:val="0"/>
          <w:numId w:val="4"/>
        </w:numPr>
        <w:ind w:left="640" w:hanging="420"/>
        <w:rPr/>
      </w:pPr>
      <w:r>
        <w:rPr>
          <w:bCs/>
          <w:lang w:val="en-GB"/>
        </w:rPr>
        <w:t>Definition of a base station energy consumption model [RAN1]</w:t>
      </w:r>
    </w:p>
    <w:p>
      <w:pPr>
        <w:pStyle w:val="Normal"/>
        <w:numPr>
          <w:ilvl w:val="0"/>
          <w:numId w:val="5"/>
        </w:numPr>
        <w:rPr/>
      </w:pPr>
      <w:r>
        <w:rPr>
          <w:bCs/>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pPr>
        <w:pStyle w:val="Normal"/>
        <w:numPr>
          <w:ilvl w:val="0"/>
          <w:numId w:val="4"/>
        </w:numPr>
        <w:ind w:left="640" w:hanging="420"/>
        <w:rPr/>
      </w:pPr>
      <w:r>
        <w:rPr>
          <w:bCs/>
          <w:lang w:val="en-GB"/>
        </w:rPr>
        <w:t>Definition of an evaluation methodology and KPIs [RAN1]</w:t>
      </w:r>
    </w:p>
    <w:p>
      <w:pPr>
        <w:pStyle w:val="Normal"/>
        <w:numPr>
          <w:ilvl w:val="0"/>
          <w:numId w:val="5"/>
        </w:numPr>
        <w:rPr/>
      </w:pPr>
      <w:r>
        <w:rPr>
          <w:bCs/>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lang w:val="en-GB"/>
        </w:rPr>
        <w:t>SLA assurance related KPIs</w:t>
      </w:r>
      <w:r>
        <w:rPr>
          <w:bCs/>
        </w:rPr>
        <w:t>), energy efficiency, and UE power consumption, complexity. The evaluation methodology should not focus on a single KPI, and should reuse existing KPIs whenever applicable; where existing KPIs are found to be insufficient new KPIs may be developed as needed.</w:t>
      </w:r>
    </w:p>
    <w:p>
      <w:pPr>
        <w:pStyle w:val="Normal"/>
        <w:ind w:left="425" w:hanging="0"/>
        <w:rPr/>
      </w:pPr>
      <w:r>
        <w:rPr>
          <w:bCs/>
        </w:rPr>
        <w:t>Note: WGs will decide KPIs to evaluate and how.</w:t>
      </w:r>
    </w:p>
    <w:p>
      <w:pPr>
        <w:pStyle w:val="Normal"/>
        <w:numPr>
          <w:ilvl w:val="0"/>
          <w:numId w:val="4"/>
        </w:numPr>
        <w:ind w:left="640" w:hanging="420"/>
        <w:rPr/>
      </w:pPr>
      <w:r>
        <w:rPr>
          <w:bCs/>
          <w:lang w:val="en-GB"/>
        </w:rPr>
        <w:t xml:space="preserve">Study and identify techniques </w:t>
      </w:r>
      <w:bookmarkStart w:id="2" w:name="_Hlk99357162"/>
      <w:r>
        <w:rPr>
          <w:bCs/>
          <w:lang w:val="en-GB"/>
        </w:rPr>
        <w:t xml:space="preserve">on the gNB and UE side to improve network energy savings </w:t>
      </w:r>
      <w:bookmarkEnd w:id="2"/>
      <w:r>
        <w:rPr>
          <w:bCs/>
          <w:lang w:val="en-GB"/>
        </w:rPr>
        <w:t>in terms of both BS transmission and reception, which may include:</w:t>
      </w:r>
    </w:p>
    <w:p>
      <w:pPr>
        <w:pStyle w:val="Normal"/>
        <w:numPr>
          <w:ilvl w:val="0"/>
          <w:numId w:val="5"/>
        </w:numPr>
        <w:rPr/>
      </w:pPr>
      <w:r>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Pr>
          <w:lang w:val="en-GB"/>
        </w:rPr>
        <w:t>and potential UE assistance information</w:t>
      </w:r>
      <w:r>
        <w:rPr>
          <w:bCs/>
        </w:rPr>
        <w:t xml:space="preserve"> [RAN1, RAN2]</w:t>
      </w:r>
    </w:p>
    <w:p>
      <w:pPr>
        <w:pStyle w:val="Normal"/>
        <w:numPr>
          <w:ilvl w:val="0"/>
          <w:numId w:val="5"/>
        </w:numPr>
        <w:rPr/>
      </w:pPr>
      <w:r>
        <w:rPr>
          <w:bCs/>
        </w:rPr>
        <w:t>Information exchange/coordination over network interfaces [RAN3]</w:t>
      </w:r>
    </w:p>
    <w:p>
      <w:pPr>
        <w:pStyle w:val="Normal"/>
        <w:ind w:left="425" w:hanging="0"/>
        <w:rPr/>
      </w:pPr>
      <w:r>
        <w:rPr>
          <w:lang w:val="en-GB"/>
        </w:rPr>
        <w:t>Note: Other techniques are not precluded</w:t>
      </w:r>
    </w:p>
    <w:p>
      <w:pPr>
        <w:pStyle w:val="Normal"/>
        <w:ind w:left="425" w:hanging="0"/>
        <w:rPr/>
      </w:pPr>
      <w:r>
        <w:rPr>
          <w:bCs/>
        </w:rPr>
        <w:t xml:space="preserve">The study should prioritize idle/empty and low/medium load scenarios (the exact definition of such loads is left to the study), and different loads among carriers and neighbor cells are allowed. </w:t>
      </w:r>
    </w:p>
    <w:p>
      <w:pPr>
        <w:pStyle w:val="Normal"/>
        <w:rPr/>
      </w:pPr>
      <w:r>
        <w:rPr/>
        <w:t xml:space="preserve">In this contribution, we </w:t>
      </w:r>
      <w:r>
        <w:rPr>
          <w:bCs/>
          <w:lang w:val="en-GB"/>
        </w:rPr>
        <w:t xml:space="preserve">focus on third objective of the study item and </w:t>
      </w:r>
      <w:r>
        <w:rPr/>
        <w:t xml:space="preserve">present </w:t>
      </w:r>
      <w:bookmarkStart w:id="3" w:name="_Ref129681832"/>
      <w:r>
        <w:rPr/>
        <w:t xml:space="preserve">techniques </w:t>
      </w:r>
      <w:r>
        <w:rPr>
          <w:rFonts w:eastAsia="Times New Roman"/>
          <w:lang w:eastAsia="en-US"/>
        </w:rPr>
        <w:t xml:space="preserve">required </w:t>
      </w:r>
      <w:r>
        <w:rPr>
          <w:bCs/>
          <w:lang w:val="en-GB"/>
        </w:rPr>
        <w:t>to improve network energy savings (NES).</w:t>
      </w:r>
    </w:p>
    <w:p>
      <w:pPr>
        <w:pStyle w:val="Normal"/>
        <w:rPr>
          <w:rFonts w:eastAsia="Times New Roman"/>
          <w:bCs/>
          <w:lang w:val="en-GB" w:eastAsia="en-US"/>
        </w:rPr>
      </w:pPr>
      <w:r>
        <w:rPr/>
      </w:r>
    </w:p>
    <w:p>
      <w:pPr>
        <w:pStyle w:val="Heading1"/>
        <w:numPr>
          <w:ilvl w:val="0"/>
          <w:numId w:val="2"/>
        </w:numPr>
        <w:rPr/>
      </w:pPr>
      <w:r>
        <w:rPr/>
        <w:t>Techniques for NES at gNB</w:t>
      </w:r>
    </w:p>
    <w:p>
      <w:pPr>
        <w:pStyle w:val="Normal"/>
        <w:rPr/>
      </w:pPr>
      <w:r>
        <w:rPr/>
        <w:t xml:space="preserve">In NR, irrespective of the load and number of connected UEs, the gNB has to perform set of mandatory operations (e.g., transmission of SSB) to ensure the availability of the cell to the UEs and for maintenance of the link. These mandatory operations consume energy at the gNB even when gNB is not serving any active UE. The gNB cannot avoid or skip these operations otherwise it will adversely affect the initial access, synchronization procedures, and user performance. For e.g., increasing the periodicity of SSB transmission can cause delay at UE in accessing the cell. Simplifying the signals associated with the mandatory set of operations and optimizing the operations in terms of energy consumption and performance helps in power saving at the gNB without creating much effect in performance. Assistance information defined in the standards or provided by the neighboring gNBs or connected UEs helps in reducing the impact of simplified set of operations on performance. </w:t>
      </w:r>
    </w:p>
    <w:p>
      <w:pPr>
        <w:pStyle w:val="Normal"/>
        <w:rPr/>
      </w:pPr>
      <w:r>
        <w:rPr>
          <w:b/>
          <w:bCs/>
        </w:rPr>
        <w:t>Observation 1:</w:t>
      </w:r>
      <w:r>
        <w:rPr/>
        <w:t xml:space="preserve"> Mandatory set operations consume energy at the gNB irrespective of the load.</w:t>
      </w:r>
    </w:p>
    <w:p>
      <w:pPr>
        <w:pStyle w:val="Normal"/>
        <w:rPr/>
      </w:pPr>
      <w:r>
        <w:rPr>
          <w:rFonts w:eastAsia="Wingdings" w:cs="Wingdings"/>
          <w:b/>
          <w:iCs/>
        </w:rPr>
        <w:t>Proposal 1:</w:t>
      </w:r>
      <w:r>
        <w:rPr>
          <w:rFonts w:eastAsia="Wingdings" w:cs="Wingdings"/>
          <w:iCs/>
        </w:rPr>
        <w:t xml:space="preserve"> Reducing the complexity of signals associated with </w:t>
      </w:r>
      <w:r>
        <w:rPr/>
        <w:t>mandatory set of operations at the gNB</w:t>
      </w:r>
      <w:r>
        <w:rPr>
          <w:rFonts w:eastAsia="Wingdings" w:cs="Wingdings"/>
          <w:iCs/>
        </w:rPr>
        <w:t xml:space="preserve"> </w:t>
      </w:r>
      <w:r>
        <w:rPr/>
        <w:t>and optimizing the operations in terms of energy consumption</w:t>
      </w:r>
      <w:r>
        <w:rPr>
          <w:rFonts w:eastAsia="Wingdings" w:cs="Wingdings"/>
          <w:iCs/>
        </w:rPr>
        <w:t xml:space="preserve"> is supported.</w:t>
      </w:r>
    </w:p>
    <w:p>
      <w:pPr>
        <w:pStyle w:val="Normal"/>
        <w:rPr/>
      </w:pPr>
      <w:r>
        <w:rPr>
          <w:rFonts w:eastAsia="Wingdings" w:cs="Wingdings"/>
          <w:iCs/>
        </w:rPr>
        <w:t xml:space="preserve">The energy saving at the gNB can be achieved by </w:t>
      </w:r>
      <w:r>
        <w:rPr/>
        <w:t xml:space="preserve">enabling sleep states without any transmission and reception or by deactivating some components e.g., RF components or cells or beams. The gNB can activate sleep state for a cell requiring no communication in UL or DL for certain duration of time in dynamic and/or semi-static way based on UE traffic and arrival rate. Adaption of sleep state can be in symbol, slot, sub-frame, frame level. The longer sleep state provides dormancy for more RF components and operations, thereby providing more energy saving. However, it causes delay and degradation in system performance, whereas and the shorter sleep states have quick activation/de-activation of the cell causing lower delay and less impact in the user experience and system performance. Therefore, it is necessary to study and define sleep states for gNB. Further, the sleep states will have an impact on the  </w:t>
      </w:r>
      <w:r>
        <w:rPr>
          <w:rFonts w:ascii="Liberation Serif" w:hAnsi="Liberation Serif"/>
          <w:b w:val="false"/>
          <w:i w:val="false"/>
          <w:strike w:val="false"/>
          <w:dstrike w:val="false"/>
          <w:outline w:val="false"/>
          <w:shadow w:val="false"/>
          <w:color w:val="000000"/>
          <w:spacing w:val="0"/>
          <w:sz w:val="24"/>
          <w:u w:val="none"/>
          <w:em w:val="none"/>
        </w:rPr>
        <w:t>legacy operations e.g.,</w:t>
      </w:r>
      <w:r>
        <w:rPr/>
        <w:t xml:space="preserve"> mobility measurements. Therefore, it is essential to study the impact of sleep mode on legacy operation.</w:t>
      </w:r>
    </w:p>
    <w:p>
      <w:pPr>
        <w:pStyle w:val="PreformattedText"/>
        <w:rPr/>
      </w:pPr>
      <w:r>
        <w:rPr>
          <w:b/>
          <w:bCs/>
          <w:iCs/>
        </w:rPr>
        <w:t>Proposal 2:</w:t>
      </w:r>
      <w:r>
        <w:rPr>
          <w:iCs/>
        </w:rPr>
        <w:t xml:space="preserve"> Define sleep state for gNB and study the specification impact.</w:t>
      </w:r>
    </w:p>
    <w:p>
      <w:pPr>
        <w:pStyle w:val="Normal"/>
        <w:spacing w:lineRule="auto" w:line="252" w:before="120" w:after="120"/>
        <w:rPr/>
      </w:pPr>
      <w:r>
        <w:rPr>
          <w:iCs/>
        </w:rPr>
        <w:t>In NR, with the usage of higher frequencies and requirement for narrow beams the usage of number of antenna, TRX chains and antenna elements has increased which is a dominant contributor for energy consumption at the gNB. The energy consumption at gNB can be reduced by adapting number of the antenna components used for transmission or receptions based on parameters like Channel condition, QoS requirement and traffic load. For e.g., the gNB can deactivate some of antenna elements and t</w:t>
      </w:r>
      <w:r>
        <w:rPr>
          <w:rFonts w:ascii="Liberation Serif" w:hAnsi="Liberation Serif"/>
          <w:b w:val="false"/>
          <w:i w:val="false"/>
          <w:strike w:val="false"/>
          <w:dstrike w:val="false"/>
          <w:outline w:val="false"/>
          <w:shadow w:val="false"/>
          <w:color w:val="00000A"/>
          <w:spacing w:val="0"/>
          <w:sz w:val="24"/>
          <w:u w:val="none"/>
          <w:em w:val="none"/>
        </w:rPr>
        <w:t>ransmit or receive</w:t>
      </w:r>
      <w:r>
        <w:rPr>
          <w:iCs/>
        </w:rPr>
        <w:t xml:space="preserve"> with less number of antenna ports as shown in Figure 1. The adaptation of antenna components based on channel condition, UE arrival rate, user density etc can reduce the network energy consumption in an optimal way. The adaptation of antenna components will have an impact on the transmission/reception of channels/signals. For e.g., CSI-RS.</w:t>
      </w:r>
    </w:p>
    <w:p>
      <w:pPr>
        <w:pStyle w:val="Normal"/>
        <w:jc w:val="center"/>
        <w:rPr/>
      </w:pPr>
      <w:r>
        <w:rPr/>
        <mc:AlternateContent>
          <mc:Choice Requires="wpg">
            <w:drawing>
              <wp:anchor behindDoc="0" distT="0" distB="0" distL="114935" distR="114935" simplePos="0" locked="0" layoutInCell="1" allowOverlap="1" relativeHeight="2">
                <wp:simplePos x="0" y="0"/>
                <wp:positionH relativeFrom="column">
                  <wp:posOffset>280670</wp:posOffset>
                </wp:positionH>
                <wp:positionV relativeFrom="paragraph">
                  <wp:posOffset>102870</wp:posOffset>
                </wp:positionV>
                <wp:extent cx="3524885" cy="1482725"/>
                <wp:effectExtent l="0" t="0" r="0" b="0"/>
                <wp:wrapTopAndBottom/>
                <wp:docPr id="1" name="Shape1"/>
                <a:graphic xmlns:a="http://schemas.openxmlformats.org/drawingml/2006/main">
                  <a:graphicData uri="http://schemas.microsoft.com/office/word/2010/wordprocessingGroup">
                    <wpg:wgp>
                      <wpg:cNvGrpSpPr/>
                      <wpg:grpSpPr>
                        <a:xfrm>
                          <a:off x="0" y="0"/>
                          <a:ext cx="3524400" cy="1482120"/>
                        </a:xfrm>
                      </wpg:grpSpPr>
                      <wps:wsp>
                        <wps:cNvSpPr/>
                        <wps:spPr>
                          <a:xfrm>
                            <a:off x="0" y="0"/>
                            <a:ext cx="21924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520" y="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0280" y="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49320" y="72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0" y="266040"/>
                            <a:ext cx="219600" cy="17964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266760"/>
                            <a:ext cx="2196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266760"/>
                            <a:ext cx="2196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49320" y="266760"/>
                            <a:ext cx="22032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53460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6880" y="53460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000" y="53460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50040" y="53532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720" y="800640"/>
                            <a:ext cx="219600" cy="17784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327600" y="80136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621720" y="80136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950040" y="80136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354040" y="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682720" y="720"/>
                            <a:ext cx="21924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976840" y="72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03360" y="72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54040" y="266760"/>
                            <a:ext cx="2196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682720" y="266760"/>
                            <a:ext cx="2196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976840" y="266760"/>
                            <a:ext cx="2196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04080" y="267480"/>
                            <a:ext cx="219600" cy="1789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54040" y="53460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683440" y="53532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976840" y="53532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04080" y="53532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2354760" y="80136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683440" y="80136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2976840" y="801360"/>
                            <a:ext cx="22032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3304440" y="802080"/>
                            <a:ext cx="219600" cy="1771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s:wsp>
                        <wps:cNvSpPr/>
                        <wps:spPr>
                          <a:xfrm>
                            <a:off x="93960" y="1198080"/>
                            <a:ext cx="1005120" cy="28368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eastAsia="Noto Sans CJK SC Regular" w:cs="Liberation Sans;Arial" w:ascii="Liberation Sans;Arial" w:hAnsi="Liberation Sans;Arial"/>
                                  <w:color w:val="00000A"/>
                                  <w:lang w:val="en-IN" w:bidi="hi-IN"/>
                                </w:rPr>
                                <w:t>a) 32 Ports</w:t>
                              </w:r>
                            </w:p>
                          </w:txbxContent>
                        </wps:txbx>
                        <wps:bodyPr lIns="90000" rIns="90000" tIns="45000" bIns="45000">
                          <a:noAutofit/>
                        </wps:bodyPr>
                      </wps:wsp>
                      <wps:wsp>
                        <wps:cNvSpPr/>
                        <wps:spPr>
                          <a:xfrm>
                            <a:off x="2481120" y="1198080"/>
                            <a:ext cx="1005840" cy="28368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eastAsia="Noto Sans CJK SC Regular" w:cs="FreeSans;Calibri" w:ascii="Liberation Sans;Arial" w:hAnsi="Liberation Sans;Arial"/>
                                  <w:color w:val="00000A"/>
                                  <w:lang w:val="en-IN" w:bidi="hi-IN"/>
                                </w:rPr>
                                <w:t>b) 16 Ports</w:t>
                              </w:r>
                            </w:p>
                          </w:txbxContent>
                        </wps:txbx>
                        <wps:bodyPr lIns="90000" rIns="90000" tIns="45000" bIns="45000">
                          <a:noAutofit/>
                        </wps:bodyPr>
                      </wps:wsp>
                    </wpg:wgp>
                  </a:graphicData>
                </a:graphic>
              </wp:anchor>
            </w:drawing>
          </mc:Choice>
          <mc:Fallback>
            <w:pict>
              <v:group id="shape_0" alt="Shape1" style="position:absolute;margin-left:22.1pt;margin-top:8.1pt;width:277.5pt;height:116.7pt" coordorigin="442,162" coordsize="5550,2334">
                <v:rect id="shape_0" stroked="f" style="position:absolute;left:590;top:2049;width:1582;height:446">
                  <v:textbox>
                    <w:txbxContent>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eastAsia="Noto Sans CJK SC Regular" w:cs="Liberation Sans;Arial" w:ascii="Liberation Sans;Arial" w:hAnsi="Liberation Sans;Arial"/>
                            <w:color w:val="00000A"/>
                            <w:lang w:val="en-IN" w:bidi="hi-IN"/>
                          </w:rPr>
                          <w:t>a) 32 Ports</w:t>
                        </w:r>
                      </w:p>
                    </w:txbxContent>
                  </v:textbox>
                  <w10:wrap type="square"/>
                  <v:fill o:detectmouseclick="t" on="false"/>
                  <v:stroke color="#3465a4" joinstyle="round" endcap="flat"/>
                </v:rect>
                <v:rect id="shape_0" stroked="f" style="position:absolute;left:4349;top:2049;width:1583;height:446">
                  <v:textbox>
                    <w:txbxContent>
                      <w:p>
                        <w:pPr>
                          <w:overflowPunct w:val="false"/>
                          <w:spacing w:before="0" w:after="0" w:lineRule="auto" w:line="240"/>
                          <w:jc w:val="left"/>
                          <w:rPr/>
                        </w:pPr>
                        <w:r>
                          <w:rPr>
                            <w:smallCaps w:val="false"/>
                            <w:caps w:val="false"/>
                            <w:iCs w:val="false"/>
                            <w:bCs w:val="false"/>
                            <w:szCs w:val="24"/>
                            <w:spacing w:val="0"/>
                            <w:vertAlign w:val="baseline"/>
                            <w:position w:val="0"/>
                            <w:sz w:val="24"/>
                            <w:i w:val="false"/>
                            <w:dstrike w:val="false"/>
                            <w:strike w:val="false"/>
                            <w:u w:val="none"/>
                            <w:b w:val="false"/>
                            <w:sz w:val="24"/>
                            <w:rFonts w:eastAsia="Noto Sans CJK SC Regular" w:cs="FreeSans;Calibri" w:ascii="Liberation Sans;Arial" w:hAnsi="Liberation Sans;Arial"/>
                            <w:color w:val="00000A"/>
                            <w:lang w:val="en-IN" w:bidi="hi-IN"/>
                          </w:rPr>
                          <w:t>b) 16 Ports</w:t>
                        </w:r>
                      </w:p>
                    </w:txbxContent>
                  </v:textbox>
                  <w10:wrap type="square"/>
                  <v:fill o:detectmouseclick="t" on="false"/>
                  <v:stroke color="#3465a4" joinstyle="round" endcap="flat"/>
                </v:rect>
              </v:group>
            </w:pict>
          </mc:Fallback>
        </mc:AlternateContent>
        <mc:AlternateContent>
          <mc:Choice Requires="wpg">
            <w:drawing>
              <wp:anchor behindDoc="0" distT="0" distB="0" distL="114935" distR="114935" simplePos="0" locked="0" layoutInCell="1" allowOverlap="1" relativeHeight="3">
                <wp:simplePos x="0" y="0"/>
                <wp:positionH relativeFrom="column">
                  <wp:posOffset>4258945</wp:posOffset>
                </wp:positionH>
                <wp:positionV relativeFrom="paragraph">
                  <wp:posOffset>329565</wp:posOffset>
                </wp:positionV>
                <wp:extent cx="1749425" cy="518160"/>
                <wp:effectExtent l="0" t="0" r="0" b="0"/>
                <wp:wrapNone/>
                <wp:docPr id="2" name="Shape2"/>
                <a:graphic xmlns:a="http://schemas.openxmlformats.org/drawingml/2006/main">
                  <a:graphicData uri="http://schemas.microsoft.com/office/word/2010/wordprocessingGroup">
                    <wpg:wgp>
                      <wpg:cNvGrpSpPr/>
                      <wpg:grpSpPr>
                        <a:xfrm>
                          <a:off x="0" y="0"/>
                          <a:ext cx="1748880" cy="517680"/>
                        </a:xfrm>
                      </wpg:grpSpPr>
                      <wps:wsp>
                        <wps:cNvSpPr/>
                        <wps:spPr>
                          <a:xfrm>
                            <a:off x="257040" y="0"/>
                            <a:ext cx="1388880" cy="30096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mallCaps w:val="false"/>
                                  <w:caps w:val="false"/>
                                  <w:iCs w:val="false"/>
                                  <w:bCs w:val="false"/>
                                  <w:szCs w:val="16"/>
                                  <w:spacing w:val="0"/>
                                  <w:vertAlign w:val="baseline"/>
                                  <w:position w:val="0"/>
                                  <w:sz w:val="16"/>
                                  <w:i w:val="false"/>
                                  <w:dstrike w:val="false"/>
                                  <w:strike w:val="false"/>
                                  <w:u w:val="none"/>
                                  <w:b w:val="false"/>
                                  <w:sz w:val="16"/>
                                  <w:rFonts w:eastAsia="Noto Sans CJK SC Regular" w:cs="FreeSans;Calibri" w:ascii="Liberation Sans;Arial" w:hAnsi="Liberation Sans;Arial"/>
                                  <w:color w:val="00000A"/>
                                  <w:lang w:val="en-IN" w:bidi="hi-IN"/>
                                </w:rPr>
                                <w:t>Active antenna elements</w:t>
                              </w:r>
                            </w:p>
                          </w:txbxContent>
                        </wps:txbx>
                        <wps:bodyPr lIns="90000" rIns="90000" tIns="45000" bIns="45000">
                          <a:noAutofit/>
                        </wps:bodyPr>
                      </wps:wsp>
                      <wps:wsp>
                        <wps:cNvSpPr/>
                        <wps:spPr>
                          <a:xfrm>
                            <a:off x="256680" y="216360"/>
                            <a:ext cx="1492200" cy="300960"/>
                          </a:xfrm>
                          <a:prstGeom prst="rect">
                            <a:avLst/>
                          </a:prstGeom>
                          <a:noFill/>
                          <a:ln>
                            <a:noFill/>
                          </a:ln>
                        </wps:spPr>
                        <wps:style>
                          <a:lnRef idx="0"/>
                          <a:fillRef idx="0"/>
                          <a:effectRef idx="0"/>
                          <a:fontRef idx="minor"/>
                        </wps:style>
                        <wps:txbx>
                          <w:txbxContent>
                            <w:p>
                              <w:pPr>
                                <w:overflowPunct w:val="false"/>
                                <w:spacing w:before="0" w:after="0" w:lineRule="auto" w:line="240"/>
                                <w:jc w:val="left"/>
                                <w:rPr/>
                              </w:pPr>
                              <w:r>
                                <w:rPr>
                                  <w:smallCaps w:val="false"/>
                                  <w:caps w:val="false"/>
                                  <w:iCs w:val="false"/>
                                  <w:bCs w:val="false"/>
                                  <w:szCs w:val="16"/>
                                  <w:spacing w:val="0"/>
                                  <w:vertAlign w:val="baseline"/>
                                  <w:position w:val="0"/>
                                  <w:sz w:val="16"/>
                                  <w:i w:val="false"/>
                                  <w:dstrike w:val="false"/>
                                  <w:strike w:val="false"/>
                                  <w:u w:val="none"/>
                                  <w:b w:val="false"/>
                                  <w:sz w:val="16"/>
                                  <w:rFonts w:eastAsia="Noto Sans CJK SC Regular" w:cs="FreeSans;Calibri" w:ascii="Liberation Sans;Arial" w:hAnsi="Liberation Sans;Arial"/>
                                  <w:color w:val="00000A"/>
                                  <w:lang w:val="en-IN" w:bidi="hi-IN"/>
                                </w:rPr>
                                <w:t>De-active Antenna elements</w:t>
                              </w:r>
                            </w:p>
                          </w:txbxContent>
                        </wps:txbx>
                        <wps:bodyPr lIns="90000" rIns="90000" tIns="45000" bIns="45000">
                          <a:noAutofit/>
                        </wps:bodyPr>
                      </wps:wsp>
                      <wps:wsp>
                        <wps:cNvSpPr/>
                        <wps:spPr>
                          <a:xfrm>
                            <a:off x="0" y="37440"/>
                            <a:ext cx="113040" cy="11052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729fcf"/>
                          </a:solidFill>
                          <a:ln w="9360">
                            <a:solidFill>
                              <a:srgbClr val="3465a4"/>
                            </a:solidFill>
                            <a:round/>
                          </a:ln>
                        </wps:spPr>
                        <wps:style>
                          <a:lnRef idx="0"/>
                          <a:fillRef idx="0"/>
                          <a:effectRef idx="0"/>
                          <a:fontRef idx="minor"/>
                        </wps:style>
                        <wps:bodyPr/>
                      </wps:wsp>
                      <wps:wsp>
                        <wps:cNvSpPr/>
                        <wps:spPr>
                          <a:xfrm>
                            <a:off x="17280" y="237960"/>
                            <a:ext cx="113760" cy="109080"/>
                          </a:xfrm>
                          <a:custGeom>
                            <a:avLst/>
                            <a:gdLst/>
                            <a:ahLst/>
                            <a:rect l="l" t="t" r="r" b="b"/>
                            <a:pathLst>
                              <a:path w="21600" h="21600">
                                <a:moveTo>
                                  <a:pt x="10800" y="0"/>
                                </a:moveTo>
                                <a:lnTo>
                                  <a:pt x="21600" y="10800"/>
                                </a:lnTo>
                                <a:lnTo>
                                  <a:pt x="10800" y="21600"/>
                                </a:lnTo>
                                <a:lnTo>
                                  <a:pt x="0" y="10800"/>
                                </a:lnTo>
                                <a:lnTo>
                                  <a:pt x="10800" y="0"/>
                                </a:lnTo>
                                <a:close/>
                              </a:path>
                            </a:pathLst>
                          </a:custGeom>
                          <a:solidFill>
                            <a:srgbClr val="aea79f"/>
                          </a:solidFill>
                          <a:ln w="9360">
                            <a:solidFill>
                              <a:srgbClr val="3465a4"/>
                            </a:solidFill>
                            <a:round/>
                          </a:ln>
                        </wps:spPr>
                        <wps:style>
                          <a:lnRef idx="0"/>
                          <a:fillRef idx="0"/>
                          <a:effectRef idx="0"/>
                          <a:fontRef idx="minor"/>
                        </wps:style>
                        <wps:bodyPr/>
                      </wps:wsp>
                    </wpg:wgp>
                  </a:graphicData>
                </a:graphic>
              </wp:anchor>
            </w:drawing>
          </mc:Choice>
          <mc:Fallback>
            <w:pict>
              <v:group id="shape_0" alt="Shape2" style="position:absolute;margin-left:335.35pt;margin-top:25.95pt;width:137.7pt;height:40.7pt" coordorigin="6707,519" coordsize="2754,814">
                <v:rect id="shape_0" stroked="f" style="position:absolute;left:7112;top:519;width:2186;height:473">
                  <v:textbox>
                    <w:txbxContent>
                      <w:p>
                        <w:pPr>
                          <w:overflowPunct w:val="false"/>
                          <w:spacing w:before="0" w:after="0" w:lineRule="auto" w:line="240"/>
                          <w:jc w:val="left"/>
                          <w:rPr/>
                        </w:pPr>
                        <w:r>
                          <w:rPr>
                            <w:smallCaps w:val="false"/>
                            <w:caps w:val="false"/>
                            <w:iCs w:val="false"/>
                            <w:bCs w:val="false"/>
                            <w:szCs w:val="16"/>
                            <w:spacing w:val="0"/>
                            <w:vertAlign w:val="baseline"/>
                            <w:position w:val="0"/>
                            <w:sz w:val="16"/>
                            <w:i w:val="false"/>
                            <w:dstrike w:val="false"/>
                            <w:strike w:val="false"/>
                            <w:u w:val="none"/>
                            <w:b w:val="false"/>
                            <w:sz w:val="16"/>
                            <w:rFonts w:eastAsia="Noto Sans CJK SC Regular" w:cs="FreeSans;Calibri" w:ascii="Liberation Sans;Arial" w:hAnsi="Liberation Sans;Arial"/>
                            <w:color w:val="00000A"/>
                            <w:lang w:val="en-IN" w:bidi="hi-IN"/>
                          </w:rPr>
                          <w:t>Active antenna elements</w:t>
                        </w:r>
                      </w:p>
                    </w:txbxContent>
                  </v:textbox>
                  <w10:wrap type="square"/>
                  <v:fill o:detectmouseclick="t" on="false"/>
                  <v:stroke color="#3465a4" joinstyle="round" endcap="flat"/>
                </v:rect>
                <v:rect id="shape_0" stroked="f" style="position:absolute;left:7111;top:859;width:2349;height:473">
                  <v:textbox>
                    <w:txbxContent>
                      <w:p>
                        <w:pPr>
                          <w:overflowPunct w:val="false"/>
                          <w:spacing w:before="0" w:after="0" w:lineRule="auto" w:line="240"/>
                          <w:jc w:val="left"/>
                          <w:rPr/>
                        </w:pPr>
                        <w:r>
                          <w:rPr>
                            <w:smallCaps w:val="false"/>
                            <w:caps w:val="false"/>
                            <w:iCs w:val="false"/>
                            <w:bCs w:val="false"/>
                            <w:szCs w:val="16"/>
                            <w:spacing w:val="0"/>
                            <w:vertAlign w:val="baseline"/>
                            <w:position w:val="0"/>
                            <w:sz w:val="16"/>
                            <w:i w:val="false"/>
                            <w:dstrike w:val="false"/>
                            <w:strike w:val="false"/>
                            <w:u w:val="none"/>
                            <w:b w:val="false"/>
                            <w:sz w:val="16"/>
                            <w:rFonts w:eastAsia="Noto Sans CJK SC Regular" w:cs="FreeSans;Calibri" w:ascii="Liberation Sans;Arial" w:hAnsi="Liberation Sans;Arial"/>
                            <w:color w:val="00000A"/>
                            <w:lang w:val="en-IN" w:bidi="hi-IN"/>
                          </w:rPr>
                          <w:t>De-active Antenna elements</w:t>
                        </w:r>
                      </w:p>
                    </w:txbxContent>
                  </v:textbox>
                  <w10:wrap type="square"/>
                  <v:fill o:detectmouseclick="t" on="false"/>
                  <v:stroke color="#3465a4" joinstyle="round" endcap="flat"/>
                </v:rect>
              </v:group>
            </w:pict>
          </mc:Fallback>
        </mc:AlternateContent>
      </w:r>
    </w:p>
    <w:p>
      <w:pPr>
        <w:pStyle w:val="Normal"/>
        <w:jc w:val="center"/>
        <w:rPr/>
      </w:pPr>
      <w:r>
        <w:rPr/>
        <w:t>Figure 1: Antenna panel with 32 and 16 ports in (a) and (b) respectively</w:t>
      </w:r>
    </w:p>
    <w:p>
      <w:pPr>
        <w:pStyle w:val="Normal"/>
        <w:rPr/>
      </w:pPr>
      <w:r>
        <w:rPr>
          <w:b/>
          <w:bCs/>
          <w:iCs/>
        </w:rPr>
        <w:t>Proposal 3:</w:t>
      </w:r>
      <w:r>
        <w:rPr>
          <w:iCs/>
        </w:rPr>
        <w:t xml:space="preserve"> Adapting the active antenna </w:t>
      </w:r>
      <w:r>
        <w:rPr>
          <w:rFonts w:ascii="Liberation Serif" w:hAnsi="Liberation Serif"/>
          <w:b w:val="false"/>
          <w:i w:val="false"/>
          <w:iCs/>
          <w:strike w:val="false"/>
          <w:dstrike w:val="false"/>
          <w:outline w:val="false"/>
          <w:shadow w:val="false"/>
          <w:color w:val="000000"/>
          <w:spacing w:val="0"/>
          <w:sz w:val="24"/>
          <w:u w:val="none"/>
          <w:em w:val="none"/>
        </w:rPr>
        <w:t>components</w:t>
      </w:r>
      <w:r>
        <w:rPr>
          <w:iCs/>
        </w:rPr>
        <w:t xml:space="preserve"> is supported for NES and study the impact on specifications.</w:t>
      </w:r>
    </w:p>
    <w:p>
      <w:pPr>
        <w:pStyle w:val="Normal"/>
        <w:rPr/>
      </w:pPr>
      <w:r>
        <w:rPr>
          <w:rStyle w:val="CommentReference"/>
          <w:rFonts w:eastAsia="Wingdings" w:cs="Wingdings"/>
          <w:sz w:val="22"/>
          <w:szCs w:val="22"/>
        </w:rPr>
        <w:t xml:space="preserve">In NR, the EPRE of downlink signals and channels is derived from the downlink transmit power provided by higher layers to the UE. The EPRE is same across all the resource elements and bandwidth of the signal/channel. The semi static updation of the downlink transmit power which is provided to the UE causes unnecessarily power consumption at gNB in certain cases. For example, in a good channel condition or in a case of UEs near to the gNB, dynamic reduction in the transmit power will help to conserve energy at the gNB. Thus, dynamic adaptation of downlink transmission power is supported for NES. The adaptation should take into account the dynamic variations like variable channel condition, UE density, traffic arrival rate, etc. to achieve an optimized transmission power. Some assistance information from the UE, e.g., location information, helps in the dynamic adaptation of DL power at gNB. </w:t>
      </w:r>
    </w:p>
    <w:p>
      <w:pPr>
        <w:pStyle w:val="Normal"/>
        <w:rPr/>
      </w:pPr>
      <w:r>
        <w:rPr>
          <w:rStyle w:val="CommentReference"/>
          <w:rFonts w:eastAsia="Wingdings" w:cs="Wingdings"/>
          <w:b/>
          <w:bCs/>
          <w:iCs/>
          <w:sz w:val="22"/>
          <w:szCs w:val="22"/>
        </w:rPr>
        <w:t>Proposal 4:</w:t>
      </w:r>
      <w:r>
        <w:rPr>
          <w:rStyle w:val="CommentReference"/>
          <w:rFonts w:eastAsia="Wingdings" w:cs="Wingdings"/>
          <w:iCs/>
          <w:sz w:val="22"/>
          <w:szCs w:val="22"/>
        </w:rPr>
        <w:t xml:space="preserve"> Dynamically adapting the DL transmission power at gNB utilizing assistance information from the UE is supported.</w:t>
      </w:r>
    </w:p>
    <w:p>
      <w:pPr>
        <w:pStyle w:val="Normal"/>
        <w:rPr>
          <w:rStyle w:val="CommentReference"/>
          <w:rFonts w:eastAsia="Wingdings" w:cs="Wingdings"/>
          <w:iCs/>
          <w:sz w:val="22"/>
          <w:szCs w:val="22"/>
        </w:rPr>
      </w:pPr>
      <w:r>
        <w:rPr>
          <w:rFonts w:eastAsia="Wingdings" w:cs="Wingdings"/>
          <w:iCs/>
          <w:sz w:val="22"/>
          <w:szCs w:val="22"/>
        </w:rPr>
      </w:r>
    </w:p>
    <w:p>
      <w:pPr>
        <w:pStyle w:val="Heading1"/>
        <w:numPr>
          <w:ilvl w:val="0"/>
          <w:numId w:val="2"/>
        </w:numPr>
        <w:rPr>
          <w:rFonts w:eastAsia="Wingdings" w:cs="Wingdings"/>
        </w:rPr>
      </w:pPr>
      <w:r>
        <w:rPr>
          <w:rFonts w:eastAsia="Wingdings" w:cs="Wingdings"/>
        </w:rPr>
        <w:t>Conclusion</w:t>
      </w:r>
    </w:p>
    <w:p>
      <w:pPr>
        <w:pStyle w:val="Normal"/>
        <w:rPr/>
      </w:pPr>
      <w:r>
        <w:rPr>
          <w:rFonts w:eastAsia="Wingdings" w:cs="Wingdings"/>
          <w:lang w:val="en-GB"/>
        </w:rPr>
        <w:t xml:space="preserve">In this contribution, we discussed the techniques required for NES. According to the technical analysis, the following proposals are made, </w:t>
      </w:r>
    </w:p>
    <w:p>
      <w:pPr>
        <w:pStyle w:val="Normal"/>
        <w:rPr/>
      </w:pPr>
      <w:r>
        <w:rPr>
          <w:b/>
          <w:bCs/>
        </w:rPr>
        <w:t>Observation 1:</w:t>
      </w:r>
      <w:r>
        <w:rPr/>
        <w:t xml:space="preserve"> Mandatory set operations consume energy at the gNB irrespective of the load.</w:t>
      </w:r>
    </w:p>
    <w:p>
      <w:pPr>
        <w:pStyle w:val="Normal"/>
        <w:rPr/>
      </w:pPr>
      <w:r>
        <w:rPr>
          <w:rFonts w:eastAsia="Wingdings" w:cs="Wingdings"/>
          <w:b/>
          <w:iCs/>
        </w:rPr>
        <w:t>Proposal 1:</w:t>
      </w:r>
      <w:r>
        <w:rPr>
          <w:rFonts w:eastAsia="Wingdings" w:cs="Wingdings"/>
          <w:iCs/>
        </w:rPr>
        <w:t xml:space="preserve"> Reducing the complexity of signals associated with mandatory set of operations at the gNB and optimizing the operations in terms of energy consumption is supported.</w:t>
      </w:r>
    </w:p>
    <w:p>
      <w:pPr>
        <w:pStyle w:val="Normal"/>
        <w:rPr/>
      </w:pPr>
      <w:r>
        <w:rPr>
          <w:rFonts w:eastAsia="Wingdings" w:cs="Wingdings"/>
          <w:b/>
          <w:bCs/>
          <w:iCs/>
          <w:lang w:val="en-GB"/>
        </w:rPr>
        <w:t>Proposal 2:</w:t>
      </w:r>
      <w:r>
        <w:rPr>
          <w:rFonts w:eastAsia="Wingdings" w:cs="Wingdings"/>
          <w:iCs/>
          <w:lang w:val="en-GB"/>
        </w:rPr>
        <w:t xml:space="preserve"> Define sleep state for gNB and study the specification impact.</w:t>
      </w:r>
    </w:p>
    <w:p>
      <w:pPr>
        <w:pStyle w:val="Normal"/>
        <w:rPr/>
      </w:pPr>
      <w:r>
        <w:rPr>
          <w:rFonts w:eastAsia="Wingdings" w:cs="Wingdings"/>
          <w:b/>
          <w:bCs/>
          <w:iCs/>
          <w:lang w:val="en-GB"/>
        </w:rPr>
        <w:t>Proposal 3:</w:t>
      </w:r>
      <w:r>
        <w:rPr>
          <w:rFonts w:eastAsia="Wingdings" w:cs="Wingdings"/>
          <w:iCs/>
          <w:lang w:val="en-GB"/>
        </w:rPr>
        <w:t xml:space="preserve"> Adapting the active antenna </w:t>
      </w:r>
      <w:r>
        <w:rPr>
          <w:rFonts w:eastAsia="Wingdings" w:cs="Wingdings" w:ascii="Liberation Serif" w:hAnsi="Liberation Serif"/>
          <w:b w:val="false"/>
          <w:i w:val="false"/>
          <w:iCs/>
          <w:strike w:val="false"/>
          <w:dstrike w:val="false"/>
          <w:outline w:val="false"/>
          <w:shadow w:val="false"/>
          <w:color w:val="000000"/>
          <w:spacing w:val="0"/>
          <w:sz w:val="24"/>
          <w:u w:val="none"/>
          <w:em w:val="none"/>
          <w:lang w:val="en-GB"/>
        </w:rPr>
        <w:t>components</w:t>
      </w:r>
      <w:r>
        <w:rPr>
          <w:rFonts w:eastAsia="Wingdings" w:cs="Wingdings"/>
          <w:iCs/>
          <w:lang w:val="en-GB"/>
        </w:rPr>
        <w:t xml:space="preserve"> is supported for NES and study the impact on specifications.</w:t>
      </w:r>
    </w:p>
    <w:p>
      <w:pPr>
        <w:pStyle w:val="Normal"/>
        <w:rPr/>
      </w:pPr>
      <w:r>
        <w:rPr>
          <w:rStyle w:val="CommentReference"/>
          <w:rFonts w:eastAsia="Wingdings" w:cs="Wingdings"/>
          <w:b/>
          <w:bCs/>
          <w:iCs/>
          <w:sz w:val="22"/>
          <w:szCs w:val="22"/>
          <w:lang w:val="en-GB"/>
        </w:rPr>
        <w:t>Proposal 4:</w:t>
      </w:r>
      <w:r>
        <w:rPr>
          <w:rStyle w:val="CommentReference"/>
          <w:rFonts w:eastAsia="Wingdings" w:cs="Wingdings"/>
          <w:iCs/>
          <w:sz w:val="22"/>
          <w:szCs w:val="22"/>
          <w:lang w:val="en-GB"/>
        </w:rPr>
        <w:t xml:space="preserve"> Dynamically adapting the DL transmission power at gNB utilizing assistance information from the UE is supported.</w:t>
      </w:r>
    </w:p>
    <w:p>
      <w:pPr>
        <w:pStyle w:val="Normal"/>
        <w:rPr>
          <w:rFonts w:eastAsia="Wingdings" w:cs="Wingdings"/>
          <w:iCs/>
          <w:lang w:val="en-GB"/>
        </w:rPr>
      </w:pPr>
      <w:r>
        <w:rPr>
          <w:rFonts w:eastAsia="Wingdings" w:cs="Wingdings"/>
          <w:iCs/>
          <w:lang w:val="en-GB"/>
        </w:rPr>
      </w:r>
    </w:p>
    <w:p>
      <w:pPr>
        <w:pStyle w:val="Heading1"/>
        <w:numPr>
          <w:ilvl w:val="0"/>
          <w:numId w:val="2"/>
        </w:numPr>
        <w:ind w:left="432" w:hanging="432"/>
        <w:rPr>
          <w:sz w:val="22"/>
          <w:szCs w:val="22"/>
        </w:rPr>
      </w:pPr>
      <w:bookmarkStart w:id="4" w:name="_Ref124671424"/>
      <w:bookmarkStart w:id="5" w:name="_Ref71620620"/>
      <w:bookmarkStart w:id="6" w:name="_Ref124589665"/>
      <w:bookmarkEnd w:id="4"/>
      <w:bookmarkEnd w:id="5"/>
      <w:bookmarkEnd w:id="6"/>
      <w:r>
        <w:rPr>
          <w:rFonts w:eastAsia="Wingdings" w:cs="Wingdings"/>
        </w:rPr>
        <w:t>References</w:t>
      </w:r>
    </w:p>
    <w:p>
      <w:pPr>
        <w:pStyle w:val="References"/>
        <w:numPr>
          <w:ilvl w:val="0"/>
          <w:numId w:val="3"/>
        </w:numPr>
        <w:rPr>
          <w:sz w:val="22"/>
          <w:szCs w:val="22"/>
        </w:rPr>
      </w:pPr>
      <w:bookmarkStart w:id="7" w:name="_Ref485833320"/>
      <w:bookmarkStart w:id="8" w:name="_Ref446582201"/>
      <w:bookmarkStart w:id="9" w:name="_Ref1246714241"/>
      <w:bookmarkStart w:id="10" w:name="_Ref716206201"/>
      <w:bookmarkStart w:id="11" w:name="_Ref1245896651"/>
      <w:bookmarkEnd w:id="9"/>
      <w:bookmarkEnd w:id="10"/>
      <w:bookmarkEnd w:id="11"/>
      <w:r>
        <w:rPr>
          <w:rFonts w:eastAsia="Wingdings" w:cs="Wingdings"/>
          <w:sz w:val="22"/>
          <w:szCs w:val="22"/>
          <w:lang w:eastAsia="ko-KR"/>
        </w:rPr>
        <w:t xml:space="preserve">RP-213554, </w:t>
      </w:r>
      <w:bookmarkEnd w:id="3"/>
      <w:bookmarkEnd w:id="7"/>
      <w:bookmarkEnd w:id="8"/>
      <w:r>
        <w:rPr>
          <w:bCs/>
          <w:sz w:val="22"/>
          <w:szCs w:val="22"/>
          <w:lang w:val="en-GB"/>
        </w:rPr>
        <w:t>New SI: Study on network energy savings for NR, RAN#94-e, Dec. 2021</w:t>
      </w:r>
    </w:p>
    <w:p>
      <w:pPr>
        <w:pStyle w:val="Normal"/>
        <w:numPr>
          <w:ilvl w:val="0"/>
          <w:numId w:val="3"/>
        </w:numPr>
        <w:rPr/>
      </w:pPr>
      <w:r>
        <w:rPr>
          <w:sz w:val="22"/>
          <w:szCs w:val="22"/>
        </w:rPr>
        <w:t>RP-213488, Moderator’s summary for [94e-08-R18-NetworkEnergy] Network energy savings.</w:t>
      </w:r>
    </w:p>
    <w:p>
      <w:pPr>
        <w:pStyle w:val="Normal"/>
        <w:tabs>
          <w:tab w:val="left" w:pos="6945" w:leader="none"/>
        </w:tabs>
        <w:rPr/>
      </w:pPr>
      <w:r>
        <w:rPr>
          <w:bCs/>
          <w:sz w:val="20"/>
          <w:szCs w:val="16"/>
          <w:lang w:val="en-GB"/>
        </w:rPr>
        <w:tab/>
      </w:r>
    </w:p>
    <w:p>
      <w:pPr>
        <w:pStyle w:val="Normal"/>
        <w:widowControl/>
        <w:suppressAutoHyphens w:val="true"/>
        <w:bidi w:val="0"/>
        <w:snapToGrid w:val="false"/>
        <w:spacing w:before="0" w:after="120"/>
        <w:jc w:val="both"/>
        <w:rPr/>
      </w:pPr>
      <w:r>
        <w:rPr/>
      </w:r>
    </w:p>
    <w:sectPr>
      <w:type w:val="nextPage"/>
      <w:pgSz w:w="11906" w:h="16838"/>
      <w:pgMar w:left="1440" w:right="1152"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Symbol">
    <w:charset w:val="01"/>
    <w:family w:val="roman"/>
    <w:pitch w:val="variable"/>
  </w:font>
  <w:font w:name="Wingdings">
    <w:charset w:val="01"/>
    <w:family w:val="roman"/>
    <w:pitch w:val="variable"/>
  </w:font>
  <w:font w:name="Tahoma">
    <w:charset w:val="01"/>
    <w:family w:val="roman"/>
    <w:pitch w:val="variable"/>
  </w:font>
  <w:font w:name="Courier New">
    <w:charset w:val="01"/>
    <w:family w:val="roman"/>
    <w:pitch w:val="variable"/>
  </w:font>
  <w:font w:name="SimSun">
    <w:altName w:val="宋体"/>
    <w:charset w:val="01"/>
    <w:family w:val="roman"/>
    <w:pitch w:val="variable"/>
  </w:font>
  <w:font w:name="Liberation Sans">
    <w:altName w:val="Arial"/>
    <w:charset w:val="01"/>
    <w:family w:val="roman"/>
    <w:pitch w:val="variable"/>
  </w:font>
  <w:font w:name="Liberation Sans">
    <w:altName w:val="Arial"/>
    <w:charset w:val="01"/>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tabs>
          <w:tab w:val="num" w:pos="432"/>
        </w:tabs>
        <w:ind w:left="432" w:hanging="432"/>
      </w:pPr>
      <w:rPr>
        <w:sz w:val="22"/>
        <w:i w:val="false"/>
        <w:lang w:val="en-US"/>
      </w:rPr>
    </w:lvl>
    <w:lvl w:ilvl="1">
      <w:start w:val="1"/>
      <w:pStyle w:val="Heading2"/>
      <w:numFmt w:val="decimal"/>
      <w:lvlText w:val="%1.%2"/>
      <w:lvlJc w:val="left"/>
      <w:pPr>
        <w:tabs>
          <w:tab w:val="num" w:pos="576"/>
        </w:tabs>
        <w:ind w:left="576" w:hanging="576"/>
      </w:pPr>
      <w:rPr>
        <w:sz w:val="24"/>
        <w:i w:val="false"/>
        <w:b/>
        <w:rFonts w:cs="Times New Roman"/>
      </w:rPr>
    </w:lvl>
    <w:lvl w:ilvl="2">
      <w:start w:val="1"/>
      <w:pStyle w:val="Heading3"/>
      <w:numFmt w:val="decimal"/>
      <w:lvlText w:val="%1.%2.%3"/>
      <w:lvlJc w:val="left"/>
      <w:pPr>
        <w:tabs>
          <w:tab w:val="num" w:pos="720"/>
        </w:tabs>
        <w:ind w:left="720" w:hanging="720"/>
      </w:pPr>
    </w:lvl>
    <w:lvl w:ilvl="3">
      <w:start w:val="1"/>
      <w:pStyle w:val="Heading4"/>
      <w:numFmt w:val="decimal"/>
      <w:lvlText w:val="%1.%2.%3.%4"/>
      <w:lvlJc w:val="left"/>
      <w:pPr>
        <w:tabs>
          <w:tab w:val="num" w:pos="864"/>
        </w:tabs>
        <w:ind w:left="864" w:hanging="864"/>
      </w:pPr>
    </w:lvl>
    <w:lvl w:ilvl="4">
      <w:start w:val="1"/>
      <w:pStyle w:val="Heading5"/>
      <w:numFmt w:val="decimal"/>
      <w:lvlText w:val="%1.%2.%3.%4.%5"/>
      <w:lvlJc w:val="left"/>
      <w:pPr>
        <w:tabs>
          <w:tab w:val="num" w:pos="1008"/>
        </w:tabs>
        <w:ind w:left="1008" w:hanging="1008"/>
      </w:pPr>
    </w:lvl>
    <w:lvl w:ilvl="5">
      <w:start w:val="1"/>
      <w:pStyle w:val="Heading6"/>
      <w:numFmt w:val="decimal"/>
      <w:lvlText w:val="%1.%2.%3.%4.%5.%6"/>
      <w:lvlJc w:val="left"/>
      <w:pPr>
        <w:tabs>
          <w:tab w:val="num" w:pos="1152"/>
        </w:tabs>
        <w:ind w:left="1152" w:hanging="1152"/>
      </w:pPr>
    </w:lvl>
    <w:lvl w:ilvl="6">
      <w:start w:val="1"/>
      <w:pStyle w:val="Heading7"/>
      <w:numFmt w:val="decimal"/>
      <w:lvlText w:val="%1.%2.%3.%4.%5.%6.%7"/>
      <w:lvlJc w:val="left"/>
      <w:pPr>
        <w:tabs>
          <w:tab w:val="num" w:pos="1296"/>
        </w:tabs>
        <w:ind w:left="1296" w:hanging="1296"/>
      </w:pPr>
    </w:lvl>
    <w:lvl w:ilvl="7">
      <w:start w:val="1"/>
      <w:pStyle w:val="Heading8"/>
      <w:numFmt w:val="decimal"/>
      <w:lvlText w:val="%1.%2.%3.%4.%5.%6.%7.%8"/>
      <w:lvlJc w:val="left"/>
      <w:pPr>
        <w:tabs>
          <w:tab w:val="num" w:pos="1440"/>
        </w:tabs>
        <w:ind w:left="1440" w:hanging="1440"/>
      </w:pPr>
    </w:lvl>
    <w:lvl w:ilvl="8">
      <w:start w:val="1"/>
      <w:pStyle w:val="Heading9"/>
      <w:numFmt w:val="decimal"/>
      <w:lvlText w:val="%1.%2.%3.%4.%5.%6.%7.%8.%9"/>
      <w:lvlJc w:val="left"/>
      <w:pPr>
        <w:tabs>
          <w:tab w:val="num" w:pos="1584"/>
        </w:tabs>
        <w:ind w:left="1584" w:hanging="1584"/>
      </w:pPr>
    </w:lvl>
  </w:abstractNum>
  <w:abstractNum w:abstractNumId="2">
    <w:lvl w:ilvl="0">
      <w:start w:val="1"/>
      <w:numFmt w:val="decimal"/>
      <w:lvlText w:val="%1"/>
      <w:lvlJc w:val="left"/>
      <w:pPr>
        <w:tabs>
          <w:tab w:val="num" w:pos="432"/>
        </w:tabs>
        <w:ind w:left="432" w:hanging="432"/>
      </w:pPr>
      <w:rPr>
        <w:i w:val="false"/>
        <w:lang w:val="en-US"/>
      </w:rPr>
    </w:lvl>
    <w:lvl w:ilvl="1">
      <w:start w:val="1"/>
      <w:numFmt w:val="decimal"/>
      <w:lvlText w:val="%1.%2"/>
      <w:lvlJc w:val="left"/>
      <w:pPr>
        <w:tabs>
          <w:tab w:val="num" w:pos="576"/>
        </w:tabs>
        <w:ind w:left="576" w:hanging="576"/>
      </w:pPr>
      <w:rPr>
        <w:sz w:val="24"/>
        <w:i w:val="false"/>
        <w:b/>
        <w:rFonts w:cs="Times New Roman"/>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ind w:left="420" w:hanging="420"/>
      </w:pPr>
      <w:rPr>
        <w:b/>
        <w:bCs/>
        <w:lang w:val="en-G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ind w:left="1040" w:hanging="420"/>
      </w:pPr>
      <w:rPr>
        <w:rFonts w:ascii="Symbol" w:hAnsi="Symbol" w:cs="Symbol" w:hint="default"/>
        <w:b/>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isplayBackgroundShape/>
  <w:defaultTabStop w:val="864"/>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 w:val="24"/>
        <w:szCs w:val="24"/>
        <w:lang w:val="en-IN" w:eastAsia="zh-CN" w:bidi="hi-IN"/>
      </w:rPr>
    </w:rPrDefault>
    <w:pPrDefault>
      <w:pPr/>
    </w:pPrDefault>
  </w:docDefaults>
  <w:style w:type="paragraph" w:styleId="Normal">
    <w:name w:val="Normal"/>
    <w:qFormat/>
    <w:pPr>
      <w:widowControl/>
      <w:suppressAutoHyphens w:val="true"/>
      <w:bidi w:val="0"/>
      <w:snapToGrid w:val="false"/>
      <w:spacing w:before="0" w:after="120"/>
      <w:jc w:val="both"/>
    </w:pPr>
    <w:rPr>
      <w:rFonts w:ascii="Times New Roman" w:hAnsi="Times New Roman" w:eastAsia="SimSun;宋体" w:cs="Times New Roman"/>
      <w:color w:val="00000A"/>
      <w:sz w:val="22"/>
      <w:szCs w:val="22"/>
      <w:lang w:val="en-US" w:eastAsia="zh-CN" w:bidi="ar-SA"/>
    </w:rPr>
  </w:style>
  <w:style w:type="paragraph" w:styleId="Heading1">
    <w:name w:val="Heading 1"/>
    <w:basedOn w:val="Normal"/>
    <w:next w:val="Normal"/>
    <w:qFormat/>
    <w:pPr>
      <w:keepNext/>
      <w:numPr>
        <w:ilvl w:val="0"/>
        <w:numId w:val="1"/>
      </w:numPr>
      <w:spacing w:before="120" w:after="120"/>
      <w:outlineLvl w:val="0"/>
      <w:outlineLvl w:val="0"/>
    </w:pPr>
    <w:rPr>
      <w:b/>
      <w:bCs/>
      <w:sz w:val="28"/>
      <w:szCs w:val="28"/>
    </w:rPr>
  </w:style>
  <w:style w:type="paragraph" w:styleId="Heading2">
    <w:name w:val="Heading 2"/>
    <w:basedOn w:val="Normal"/>
    <w:next w:val="Normal"/>
    <w:qFormat/>
    <w:pPr>
      <w:keepNext/>
      <w:numPr>
        <w:ilvl w:val="1"/>
        <w:numId w:val="1"/>
      </w:numPr>
      <w:spacing w:before="120" w:after="120"/>
      <w:outlineLvl w:val="1"/>
      <w:outlineLvl w:val="1"/>
    </w:pPr>
    <w:rPr>
      <w:b/>
      <w:bCs/>
      <w:sz w:val="24"/>
    </w:rPr>
  </w:style>
  <w:style w:type="paragraph" w:styleId="Heading3">
    <w:name w:val="Heading 3"/>
    <w:basedOn w:val="Normal"/>
    <w:next w:val="Normal"/>
    <w:qFormat/>
    <w:pPr>
      <w:keepNext/>
      <w:numPr>
        <w:ilvl w:val="2"/>
        <w:numId w:val="1"/>
      </w:numPr>
      <w:spacing w:before="120" w:after="120"/>
      <w:outlineLvl w:val="2"/>
      <w:outlineLvl w:val="2"/>
    </w:pPr>
    <w:rPr>
      <w:b/>
    </w:rPr>
  </w:style>
  <w:style w:type="paragraph" w:styleId="Heading4">
    <w:name w:val="Heading 4"/>
    <w:basedOn w:val="Normal"/>
    <w:next w:val="Normal"/>
    <w:qFormat/>
    <w:pPr>
      <w:keepNext/>
      <w:numPr>
        <w:ilvl w:val="3"/>
        <w:numId w:val="1"/>
      </w:numPr>
      <w:spacing w:before="120" w:after="120"/>
      <w:ind w:left="720" w:right="0" w:hanging="720"/>
      <w:outlineLvl w:val="3"/>
      <w:outlineLvl w:val="3"/>
    </w:pPr>
    <w:rPr>
      <w:b/>
      <w:bCs/>
      <w:szCs w:val="28"/>
    </w:rPr>
  </w:style>
  <w:style w:type="paragraph" w:styleId="Heading5">
    <w:name w:val="Heading 5"/>
    <w:basedOn w:val="Normal"/>
    <w:next w:val="Normal"/>
    <w:qFormat/>
    <w:pPr>
      <w:keepNext/>
      <w:numPr>
        <w:ilvl w:val="4"/>
        <w:numId w:val="1"/>
      </w:numPr>
      <w:spacing w:before="120" w:after="120"/>
      <w:ind w:left="720" w:right="0" w:hanging="720"/>
      <w:outlineLvl w:val="4"/>
      <w:outlineLvl w:val="4"/>
    </w:pPr>
    <w:rPr>
      <w:b/>
      <w:bCs/>
      <w:i/>
      <w:iCs/>
      <w:szCs w:val="26"/>
    </w:rPr>
  </w:style>
  <w:style w:type="paragraph" w:styleId="Heading6">
    <w:name w:val="Heading 6"/>
    <w:basedOn w:val="Normal"/>
    <w:next w:val="Normal"/>
    <w:qFormat/>
    <w:pPr>
      <w:numPr>
        <w:ilvl w:val="5"/>
        <w:numId w:val="1"/>
      </w:numPr>
      <w:spacing w:before="240" w:after="60"/>
      <w:outlineLvl w:val="5"/>
      <w:outlineLvl w:val="5"/>
    </w:pPr>
    <w:rPr>
      <w:b/>
      <w:bCs/>
    </w:rPr>
  </w:style>
  <w:style w:type="paragraph" w:styleId="Heading7">
    <w:name w:val="Heading 7"/>
    <w:basedOn w:val="Normal"/>
    <w:next w:val="Normal"/>
    <w:qFormat/>
    <w:pPr>
      <w:numPr>
        <w:ilvl w:val="6"/>
        <w:numId w:val="1"/>
      </w:numPr>
      <w:spacing w:before="240" w:after="60"/>
      <w:outlineLvl w:val="6"/>
      <w:outlineLvl w:val="6"/>
    </w:pPr>
    <w:rPr>
      <w:sz w:val="24"/>
      <w:szCs w:val="24"/>
    </w:rPr>
  </w:style>
  <w:style w:type="paragraph" w:styleId="Heading8">
    <w:name w:val="Heading 8"/>
    <w:basedOn w:val="Normal"/>
    <w:next w:val="Normal"/>
    <w:qFormat/>
    <w:pPr>
      <w:numPr>
        <w:ilvl w:val="7"/>
        <w:numId w:val="1"/>
      </w:numPr>
      <w:spacing w:before="240" w:after="60"/>
      <w:outlineLvl w:val="7"/>
      <w:outlineLvl w:val="7"/>
    </w:pPr>
    <w:rPr>
      <w:i/>
      <w:iCs/>
      <w:sz w:val="24"/>
      <w:szCs w:val="24"/>
    </w:rPr>
  </w:style>
  <w:style w:type="paragraph" w:styleId="Heading9">
    <w:name w:val="Heading 9"/>
    <w:basedOn w:val="Normal"/>
    <w:next w:val="Normal"/>
    <w:qFormat/>
    <w:pPr>
      <w:numPr>
        <w:ilvl w:val="8"/>
        <w:numId w:val="1"/>
      </w:numPr>
      <w:spacing w:before="240" w:after="60"/>
      <w:outlineLvl w:val="8"/>
      <w:outlineLvl w:val="8"/>
    </w:pPr>
    <w:rPr>
      <w:rFonts w:ascii="Arial" w:hAnsi="Arial" w:cs="Arial"/>
    </w:rPr>
  </w:style>
  <w:style w:type="character" w:styleId="WW8Num1z0">
    <w:name w:val="WW8Num1z0"/>
    <w:qFormat/>
    <w:rPr>
      <w:i w:val="false"/>
      <w:lang w:val="en-US"/>
    </w:rPr>
  </w:style>
  <w:style w:type="character" w:styleId="WW8Num1z1">
    <w:name w:val="WW8Num1z1"/>
    <w:qFormat/>
    <w:rPr>
      <w:rFonts w:ascii="Times New Roman" w:hAnsi="Times New Roman" w:cs="Times New Roman"/>
      <w:b/>
      <w:i w:val="false"/>
      <w:sz w:val="24"/>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3z0">
    <w:name w:val="WW8Num3z0"/>
    <w:qFormat/>
    <w:rPr>
      <w:bCs/>
      <w:lang w:val="en-GB"/>
    </w:rPr>
  </w:style>
  <w:style w:type="character" w:styleId="WW8Num4z0">
    <w:name w:val="WW8Num4z0"/>
    <w:qFormat/>
    <w:rPr>
      <w:rFonts w:ascii="Symbol" w:hAnsi="Symbol" w:cs="Symbol"/>
    </w:rPr>
  </w:style>
  <w:style w:type="character" w:styleId="DefaultParagraphFont">
    <w:name w:val="Default Paragraph Font"/>
    <w:qFormat/>
    <w:rPr/>
  </w:style>
  <w:style w:type="character" w:styleId="WWDefaultParagraphFont">
    <w:name w:val="WW-Default Paragraph Font"/>
    <w:qFormat/>
    <w:rPr/>
  </w:style>
  <w:style w:type="character" w:styleId="WW8Num3z1">
    <w:name w:val="WW8Num3z1"/>
    <w:qFormat/>
    <w:rPr>
      <w:rFonts w:ascii="Wingdings" w:hAnsi="Wingdings" w:cs="Wingdings"/>
    </w:rPr>
  </w:style>
  <w:style w:type="character" w:styleId="WW8Num5z0">
    <w:name w:val="WW8Num5z0"/>
    <w:qFormat/>
    <w:rPr>
      <w:rFonts w:ascii="Tahoma" w:hAnsi="Tahoma" w:cs="Tahoma"/>
      <w:lang w:eastAsia="zh-CN"/>
    </w:rPr>
  </w:style>
  <w:style w:type="character" w:styleId="WW8Num5z1">
    <w:name w:val="WW8Num5z1"/>
    <w:qFormat/>
    <w:rPr>
      <w:rFonts w:ascii="Wingdings" w:hAnsi="Wingdings" w:cs="Wingdings"/>
    </w:rPr>
  </w:style>
  <w:style w:type="character" w:styleId="WW8Num6z0">
    <w:name w:val="WW8Num6z0"/>
    <w:qFormat/>
    <w:rPr/>
  </w:style>
  <w:style w:type="character" w:styleId="WW8Num7z0">
    <w:name w:val="WW8Num7z0"/>
    <w:qFormat/>
    <w:rPr>
      <w:rFonts w:eastAsia="Wingdings" w:cs="Wingdings"/>
    </w:rPr>
  </w:style>
  <w:style w:type="character" w:styleId="WW8Num8z0">
    <w:name w:val="WW8Num8z0"/>
    <w:qFormat/>
    <w:rPr>
      <w:lang w:eastAsia="zh-CN"/>
    </w:rPr>
  </w:style>
  <w:style w:type="character" w:styleId="WW8Num9z0">
    <w:name w:val="WW8Num9z0"/>
    <w:qFormat/>
    <w:rPr>
      <w:rFonts w:ascii="Courier New" w:hAnsi="Courier New" w:cs="Courier New"/>
    </w:rPr>
  </w:style>
  <w:style w:type="character" w:styleId="WW8Num9z2">
    <w:name w:val="WW8Num9z2"/>
    <w:qFormat/>
    <w:rPr>
      <w:rFonts w:ascii="Wingdings" w:hAnsi="Wingdings" w:cs="Wingdings"/>
    </w:rPr>
  </w:style>
  <w:style w:type="character" w:styleId="WW8Num9z3">
    <w:name w:val="WW8Num9z3"/>
    <w:qFormat/>
    <w:rPr>
      <w:rFonts w:ascii="Symbol" w:hAnsi="Symbol" w:cs="Symbol"/>
    </w:rPr>
  </w:style>
  <w:style w:type="character" w:styleId="WW8Num10z0">
    <w:name w:val="WW8Num10z0"/>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rFonts w:ascii="Courier New" w:hAnsi="Courier New" w:cs="Courier New"/>
    </w:rPr>
  </w:style>
  <w:style w:type="character" w:styleId="WW8Num11z2">
    <w:name w:val="WW8Num11z2"/>
    <w:qFormat/>
    <w:rPr>
      <w:rFonts w:ascii="Wingdings" w:hAnsi="Wingdings" w:cs="Wingdings"/>
    </w:rPr>
  </w:style>
  <w:style w:type="character" w:styleId="WW8Num11z3">
    <w:name w:val="WW8Num11z3"/>
    <w:qFormat/>
    <w:rPr>
      <w:rFonts w:ascii="Symbol" w:hAnsi="Symbol" w:cs="Symbol"/>
    </w:rPr>
  </w:style>
  <w:style w:type="character" w:styleId="WW8Num12z0">
    <w:name w:val="WW8Num12z0"/>
    <w:qFormat/>
    <w:rPr>
      <w:rFonts w:ascii="Courier New" w:hAnsi="Courier New" w:cs="Courier New"/>
    </w:rPr>
  </w:style>
  <w:style w:type="character" w:styleId="WW8Num12z2">
    <w:name w:val="WW8Num12z2"/>
    <w:qFormat/>
    <w:rPr>
      <w:rFonts w:ascii="Wingdings" w:hAnsi="Wingdings" w:cs="Wingdings"/>
    </w:rPr>
  </w:style>
  <w:style w:type="character" w:styleId="WW8Num12z3">
    <w:name w:val="WW8Num12z3"/>
    <w:qFormat/>
    <w:rPr>
      <w:rFonts w:ascii="Symbol" w:hAnsi="Symbol" w:cs="Symbol"/>
    </w:rPr>
  </w:style>
  <w:style w:type="character" w:styleId="WW8Num13z0">
    <w:name w:val="WW8Num13z0"/>
    <w:qFormat/>
    <w:rPr>
      <w:rFonts w:ascii="Courier New" w:hAnsi="Courier New" w:cs="Courier New"/>
    </w:rPr>
  </w:style>
  <w:style w:type="character" w:styleId="WW8Num13z2">
    <w:name w:val="WW8Num13z2"/>
    <w:qFormat/>
    <w:rPr>
      <w:rFonts w:ascii="Wingdings" w:hAnsi="Wingdings" w:cs="Wingdings"/>
    </w:rPr>
  </w:style>
  <w:style w:type="character" w:styleId="WW8Num13z3">
    <w:name w:val="WW8Num13z3"/>
    <w:qFormat/>
    <w:rPr>
      <w:rFonts w:ascii="Symbol" w:hAnsi="Symbol" w:cs="Symbol"/>
    </w:rPr>
  </w:style>
  <w:style w:type="character" w:styleId="WW8Num14z0">
    <w:name w:val="WW8Num14z0"/>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rFonts w:ascii="Courier New" w:hAnsi="Courier New" w:cs="Courier New"/>
    </w:rPr>
  </w:style>
  <w:style w:type="character" w:styleId="WW8Num15z2">
    <w:name w:val="WW8Num15z2"/>
    <w:qFormat/>
    <w:rPr>
      <w:rFonts w:ascii="Wingdings" w:hAnsi="Wingdings" w:cs="Wingdings"/>
    </w:rPr>
  </w:style>
  <w:style w:type="character" w:styleId="WW8Num15z3">
    <w:name w:val="WW8Num15z3"/>
    <w:qFormat/>
    <w:rPr>
      <w:rFonts w:ascii="Symbol" w:hAnsi="Symbol" w:cs="Symbol"/>
    </w:rPr>
  </w:style>
  <w:style w:type="character" w:styleId="WW8Num16z0">
    <w:name w:val="WW8Num16z0"/>
    <w:qFormat/>
    <w:rPr>
      <w:bCs/>
      <w:lang w:val="en-GB"/>
    </w:rPr>
  </w:style>
  <w:style w:type="character" w:styleId="WW8Num16z1">
    <w:name w:val="WW8Num16z1"/>
    <w:qFormat/>
    <w:rPr>
      <w:rFonts w:ascii="Wingdings" w:hAnsi="Wingdings" w:cs="Wingdings"/>
    </w:rPr>
  </w:style>
  <w:style w:type="character" w:styleId="WW8Num17z0">
    <w:name w:val="WW8Num17z0"/>
    <w:qFormat/>
    <w:rPr>
      <w:rFonts w:ascii="Symbol" w:hAnsi="Symbol" w:cs="Symbol"/>
    </w:rPr>
  </w:style>
  <w:style w:type="character" w:styleId="WW8Num17z1">
    <w:name w:val="WW8Num17z1"/>
    <w:qFormat/>
    <w:rPr>
      <w:rFonts w:ascii="Wingdings" w:hAnsi="Wingdings" w:cs="Wingdings"/>
    </w:rPr>
  </w:style>
  <w:style w:type="character" w:styleId="WWDefaultParagraphFont1">
    <w:name w:val="WW-Default Paragraph Font1"/>
    <w:qFormat/>
    <w:rPr/>
  </w:style>
  <w:style w:type="character" w:styleId="WW8Num2z1">
    <w:name w:val="WW8Num2z1"/>
    <w:qFormat/>
    <w:rPr>
      <w:rFonts w:ascii="Wingdings" w:hAnsi="Wingdings" w:cs="Wingdings"/>
    </w:rPr>
  </w:style>
  <w:style w:type="character" w:styleId="WW8Num4z1">
    <w:name w:val="WW8Num4z1"/>
    <w:qFormat/>
    <w:rPr>
      <w:rFonts w:ascii="Wingdings" w:hAnsi="Wingdings" w:cs="Wingdings"/>
    </w:rPr>
  </w:style>
  <w:style w:type="character" w:styleId="WW8Num5z2">
    <w:name w:val="WW8Num5z2"/>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1">
    <w:name w:val="WW8Num9z1"/>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1">
    <w:name w:val="WW8Num10z1"/>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Style5">
    <w:name w:val="默认段落字体"/>
    <w:qFormat/>
    <w:rPr/>
  </w:style>
  <w:style w:type="character" w:styleId="Char">
    <w:name w:val="正文文本 Char"/>
    <w:qFormat/>
    <w:rPr>
      <w:lang w:val="en-GB" w:eastAsia="zh-CN" w:bidi="ar-SA"/>
    </w:rPr>
  </w:style>
  <w:style w:type="character" w:styleId="InternetLink">
    <w:name w:val="Internet Link"/>
    <w:rPr>
      <w:color w:val="0000FF"/>
      <w:u w:val="single"/>
      <w:lang w:val="en-GB" w:eastAsia="zh-CN" w:bidi="ar-SA"/>
    </w:rPr>
  </w:style>
  <w:style w:type="character" w:styleId="Char1">
    <w:name w:val="题注 Char"/>
    <w:qFormat/>
    <w:rPr>
      <w:b/>
      <w:bCs/>
      <w:lang w:val="en-GB" w:eastAsia="zh-CN" w:bidi="ar-SA"/>
    </w:rPr>
  </w:style>
  <w:style w:type="character" w:styleId="1">
    <w:name w:val="已访问的超链接1"/>
    <w:qFormat/>
    <w:rPr>
      <w:color w:val="800080"/>
      <w:u w:val="single"/>
      <w:lang w:val="en-GB" w:eastAsia="zh-CN" w:bidi="ar-SA"/>
    </w:rPr>
  </w:style>
  <w:style w:type="character" w:styleId="FootnoteCharacters">
    <w:name w:val="Footnote Characters"/>
    <w:qFormat/>
    <w:rPr>
      <w:vertAlign w:val="superscript"/>
      <w:lang w:val="en-GB" w:eastAsia="zh-CN" w:bidi="ar-SA"/>
    </w:rPr>
  </w:style>
  <w:style w:type="character" w:styleId="Char2">
    <w:name w:val="页眉 Char"/>
    <w:qFormat/>
    <w:rPr>
      <w:sz w:val="22"/>
      <w:szCs w:val="22"/>
      <w:lang w:val="en-GB" w:eastAsia="zh-CN" w:bidi="ar-SA"/>
    </w:rPr>
  </w:style>
  <w:style w:type="character" w:styleId="Char3">
    <w:name w:val="页脚 Char"/>
    <w:qFormat/>
    <w:rPr>
      <w:sz w:val="22"/>
      <w:szCs w:val="22"/>
      <w:lang w:val="en-GB" w:eastAsia="zh-CN" w:bidi="ar-SA"/>
    </w:rPr>
  </w:style>
  <w:style w:type="character" w:styleId="Char4">
    <w:name w:val="文档结构图 Char"/>
    <w:qFormat/>
    <w:rPr>
      <w:rFonts w:ascii="SimSun;宋体" w:hAnsi="SimSun;宋体" w:cs="SimSun;宋体"/>
      <w:sz w:val="18"/>
      <w:szCs w:val="18"/>
      <w:lang w:val="en-GB" w:bidi="ar-SA"/>
    </w:rPr>
  </w:style>
  <w:style w:type="character" w:styleId="MaintextChar">
    <w:name w:val="main text Char"/>
    <w:qFormat/>
    <w:rPr>
      <w:rFonts w:eastAsia="Malgun Gothic" w:cs="Batang;바탕"/>
      <w:lang w:val="en-GB" w:eastAsia="ko-KR"/>
    </w:rPr>
  </w:style>
  <w:style w:type="character" w:styleId="2222Char">
    <w:name w:val="스타일 스타일 스타일 스타일 양쪽 첫 줄:  2 글자 + 첫 줄:  2 글자 + 첫 줄:  2 글자 + 첫 줄:  2... Char"/>
    <w:qFormat/>
    <w:rPr>
      <w:rFonts w:eastAsia="Malgun Gothic" w:cs="Batang;바탕"/>
      <w:lang w:val="en-GB"/>
    </w:rPr>
  </w:style>
  <w:style w:type="character" w:styleId="Style6">
    <w:name w:val="批注引用"/>
    <w:qFormat/>
    <w:rPr>
      <w:sz w:val="21"/>
      <w:szCs w:val="21"/>
      <w:lang w:val="en-GB" w:eastAsia="zh-CN" w:bidi="ar-SA"/>
    </w:rPr>
  </w:style>
  <w:style w:type="character" w:styleId="Char5">
    <w:name w:val="批注文字 Char"/>
    <w:qFormat/>
    <w:rPr>
      <w:sz w:val="22"/>
      <w:szCs w:val="22"/>
      <w:lang w:val="en-GB" w:bidi="ar-SA"/>
    </w:rPr>
  </w:style>
  <w:style w:type="character" w:styleId="Char6">
    <w:name w:val="批注主题 Char"/>
    <w:qFormat/>
    <w:rPr>
      <w:b/>
      <w:bCs/>
      <w:sz w:val="22"/>
      <w:szCs w:val="22"/>
      <w:lang w:val="en-GB" w:bidi="ar-SA"/>
    </w:rPr>
  </w:style>
  <w:style w:type="character" w:styleId="CommentReference">
    <w:name w:val="Comment Reference"/>
    <w:qFormat/>
    <w:rPr>
      <w:sz w:val="16"/>
      <w:szCs w:val="16"/>
    </w:rPr>
  </w:style>
  <w:style w:type="character" w:styleId="CommentTextChar">
    <w:name w:val="Comment Text Char"/>
    <w:qFormat/>
    <w:rPr>
      <w:rFonts w:eastAsia="SimSun;宋体"/>
      <w:lang w:eastAsia="zh-CN"/>
    </w:rPr>
  </w:style>
  <w:style w:type="character" w:styleId="CommentSubjectChar">
    <w:name w:val="Comment Subject Char"/>
    <w:qFormat/>
    <w:rPr>
      <w:rFonts w:eastAsia="SimSun;宋体"/>
      <w:b/>
      <w:bCs/>
      <w:lang w:eastAsia="zh-CN"/>
    </w:rPr>
  </w:style>
  <w:style w:type="character" w:styleId="ListLabel1">
    <w:name w:val="ListLabel 1"/>
    <w:qFormat/>
    <w:rPr>
      <w:i w:val="false"/>
      <w:lang w:val="en-US"/>
    </w:rPr>
  </w:style>
  <w:style w:type="character" w:styleId="ListLabel2">
    <w:name w:val="ListLabel 2"/>
    <w:qFormat/>
    <w:rPr>
      <w:rFonts w:cs="Times New Roman"/>
      <w:b/>
      <w:i w:val="false"/>
      <w:sz w:val="24"/>
    </w:rPr>
  </w:style>
  <w:style w:type="character" w:styleId="ListLabel3">
    <w:name w:val="ListLabel 3"/>
    <w:qFormat/>
    <w:rPr>
      <w:b/>
      <w:bCs/>
      <w:lang w:val="en-GB"/>
    </w:rPr>
  </w:style>
  <w:style w:type="character" w:styleId="ListLabel4">
    <w:name w:val="ListLabel 4"/>
    <w:qFormat/>
    <w:rPr>
      <w:rFonts w:cs="Symbol"/>
      <w:b/>
    </w:rPr>
  </w:style>
  <w:style w:type="character" w:styleId="ListLabel5">
    <w:name w:val="ListLabel 5"/>
    <w:qFormat/>
    <w:rPr>
      <w:i w:val="false"/>
      <w:lang w:val="en-US"/>
    </w:rPr>
  </w:style>
  <w:style w:type="character" w:styleId="ListLabel6">
    <w:name w:val="ListLabel 6"/>
    <w:qFormat/>
    <w:rPr>
      <w:rFonts w:cs="Times New Roman"/>
      <w:b/>
      <w:i w:val="false"/>
      <w:sz w:val="24"/>
    </w:rPr>
  </w:style>
  <w:style w:type="character" w:styleId="ListLabel7">
    <w:name w:val="ListLabel 7"/>
    <w:qFormat/>
    <w:rPr>
      <w:i w:val="false"/>
      <w:lang w:val="en-US"/>
    </w:rPr>
  </w:style>
  <w:style w:type="character" w:styleId="ListLabel8">
    <w:name w:val="ListLabel 8"/>
    <w:qFormat/>
    <w:rPr>
      <w:rFonts w:cs="Times New Roman"/>
      <w:b/>
      <w:i w:val="false"/>
      <w:sz w:val="24"/>
    </w:rPr>
  </w:style>
  <w:style w:type="character" w:styleId="ListLabel9">
    <w:name w:val="ListLabel 9"/>
    <w:qFormat/>
    <w:rPr>
      <w:b/>
      <w:bCs/>
      <w:lang w:val="en-GB"/>
    </w:rPr>
  </w:style>
  <w:style w:type="character" w:styleId="ListLabel10">
    <w:name w:val="ListLabel 10"/>
    <w:qFormat/>
    <w:rPr>
      <w:rFonts w:cs="Symbol"/>
      <w:b/>
    </w:rPr>
  </w:style>
  <w:style w:type="character" w:styleId="ListLabel11">
    <w:name w:val="ListLabel 11"/>
    <w:qFormat/>
    <w:rPr>
      <w:i w:val="false"/>
      <w:sz w:val="22"/>
      <w:lang w:val="en-US"/>
    </w:rPr>
  </w:style>
  <w:style w:type="character" w:styleId="ListLabel12">
    <w:name w:val="ListLabel 12"/>
    <w:qFormat/>
    <w:rPr>
      <w:rFonts w:cs="Times New Roman"/>
      <w:b/>
      <w:i w:val="false"/>
      <w:sz w:val="24"/>
    </w:rPr>
  </w:style>
  <w:style w:type="character" w:styleId="ListLabel13">
    <w:name w:val="ListLabel 13"/>
    <w:qFormat/>
    <w:rPr>
      <w:i w:val="false"/>
      <w:lang w:val="en-US"/>
    </w:rPr>
  </w:style>
  <w:style w:type="character" w:styleId="ListLabel14">
    <w:name w:val="ListLabel 14"/>
    <w:qFormat/>
    <w:rPr>
      <w:rFonts w:cs="Times New Roman"/>
      <w:b/>
      <w:i w:val="false"/>
      <w:sz w:val="24"/>
    </w:rPr>
  </w:style>
  <w:style w:type="character" w:styleId="ListLabel15">
    <w:name w:val="ListLabel 15"/>
    <w:qFormat/>
    <w:rPr>
      <w:b/>
      <w:bCs/>
      <w:lang w:val="en-GB"/>
    </w:rPr>
  </w:style>
  <w:style w:type="character" w:styleId="ListLabel16">
    <w:name w:val="ListLabel 16"/>
    <w:qFormat/>
    <w:rPr>
      <w:rFonts w:cs="Symbol"/>
      <w:b/>
    </w:rPr>
  </w:style>
  <w:style w:type="paragraph" w:styleId="Heading">
    <w:name w:val="Heading"/>
    <w:basedOn w:val="Normal"/>
    <w:next w:val="TextBody"/>
    <w:qFormat/>
    <w:pPr>
      <w:keepNext/>
      <w:spacing w:before="240" w:after="120"/>
    </w:pPr>
    <w:rPr>
      <w:rFonts w:ascii="Liberation Sans;Arial" w:hAnsi="Liberation Sans;Arial" w:eastAsia="Noto Sans CJK SC Regular" w:cs="FreeSans;Calibri"/>
      <w:sz w:val="28"/>
      <w:szCs w:val="28"/>
    </w:rPr>
  </w:style>
  <w:style w:type="paragraph" w:styleId="TextBody">
    <w:name w:val="Body Text"/>
    <w:basedOn w:val="Normal"/>
    <w:pPr/>
    <w:rPr>
      <w:sz w:val="20"/>
      <w:szCs w:val="20"/>
      <w:lang w:val="en-GB" w:eastAsia="zh-CN"/>
    </w:rPr>
  </w:style>
  <w:style w:type="paragraph" w:styleId="List">
    <w:name w:val="List"/>
    <w:basedOn w:val="Normal"/>
    <w:pPr>
      <w:ind w:left="360" w:right="0" w:hanging="360"/>
    </w:pPr>
    <w:rPr/>
  </w:style>
  <w:style w:type="paragraph" w:styleId="Caption">
    <w:name w:val="Caption"/>
    <w:basedOn w:val="Normal"/>
    <w:qFormat/>
    <w:pPr>
      <w:suppressLineNumbers/>
      <w:spacing w:before="120" w:after="120"/>
    </w:pPr>
    <w:rPr>
      <w:rFonts w:cs="FreeSans;Calibri"/>
      <w:i/>
      <w:iCs/>
      <w:sz w:val="24"/>
      <w:szCs w:val="24"/>
    </w:rPr>
  </w:style>
  <w:style w:type="paragraph" w:styleId="Index">
    <w:name w:val="Index"/>
    <w:basedOn w:val="Normal"/>
    <w:qFormat/>
    <w:pPr>
      <w:suppressLineNumbers/>
    </w:pPr>
    <w:rPr>
      <w:rFonts w:cs="FreeSans;Calibri"/>
    </w:rPr>
  </w:style>
  <w:style w:type="paragraph" w:styleId="Style7">
    <w:name w:val="题注"/>
    <w:basedOn w:val="Normal"/>
    <w:next w:val="Normal"/>
    <w:qFormat/>
    <w:pPr>
      <w:jc w:val="center"/>
    </w:pPr>
    <w:rPr>
      <w:b/>
      <w:bCs/>
      <w:sz w:val="20"/>
      <w:szCs w:val="20"/>
      <w:lang w:val="en-GB" w:eastAsia="zh-CN"/>
    </w:rPr>
  </w:style>
  <w:style w:type="paragraph" w:styleId="Style8">
    <w:name w:val="列表项目符号"/>
    <w:basedOn w:val="List"/>
    <w:qFormat/>
    <w:pPr>
      <w:spacing w:before="0" w:after="180"/>
      <w:ind w:left="568" w:right="0" w:hanging="284"/>
      <w:jc w:val="left"/>
    </w:pPr>
    <w:rPr>
      <w:sz w:val="20"/>
      <w:szCs w:val="20"/>
      <w:lang w:val="en-GB"/>
    </w:rPr>
  </w:style>
  <w:style w:type="paragraph" w:styleId="2">
    <w:name w:val="正文文本 2"/>
    <w:basedOn w:val="Normal"/>
    <w:qFormat/>
    <w:pPr>
      <w:spacing w:before="0" w:after="0"/>
      <w:jc w:val="left"/>
    </w:pPr>
    <w:rPr>
      <w:szCs w:val="20"/>
    </w:rPr>
  </w:style>
  <w:style w:type="paragraph" w:styleId="Style9">
    <w:name w:val="批注框文本"/>
    <w:basedOn w:val="Normal"/>
    <w:qFormat/>
    <w:pPr/>
    <w:rPr>
      <w:rFonts w:ascii="Tahoma" w:hAnsi="Tahoma" w:cs="Tahoma"/>
      <w:sz w:val="16"/>
      <w:szCs w:val="16"/>
    </w:rPr>
  </w:style>
  <w:style w:type="paragraph" w:styleId="References">
    <w:name w:val="References"/>
    <w:basedOn w:val="Normal"/>
    <w:qFormat/>
    <w:pPr>
      <w:spacing w:before="0" w:after="60"/>
    </w:pPr>
    <w:rPr>
      <w:sz w:val="20"/>
      <w:szCs w:val="16"/>
    </w:rPr>
  </w:style>
  <w:style w:type="paragraph" w:styleId="Footnote">
    <w:name w:val="Footnote Text"/>
    <w:basedOn w:val="Normal"/>
    <w:pPr/>
    <w:rPr>
      <w:sz w:val="20"/>
      <w:szCs w:val="20"/>
    </w:rPr>
  </w:style>
  <w:style w:type="paragraph" w:styleId="Figure">
    <w:name w:val="Figure"/>
    <w:basedOn w:val="Normal"/>
    <w:qFormat/>
    <w:pPr>
      <w:keepNext/>
      <w:jc w:val="center"/>
    </w:pPr>
    <w:rPr/>
  </w:style>
  <w:style w:type="paragraph" w:styleId="Eqn">
    <w:name w:val="Eqn"/>
    <w:basedOn w:val="Normal"/>
    <w:qFormat/>
    <w:pPr/>
    <w:rPr>
      <w:lang w:eastAsia="ja-JP"/>
    </w:rPr>
  </w:style>
  <w:style w:type="paragraph" w:styleId="Tablecell">
    <w:name w:val="tablecell"/>
    <w:basedOn w:val="Normal"/>
    <w:qFormat/>
    <w:pPr>
      <w:spacing w:before="20" w:after="20"/>
      <w:jc w:val="left"/>
    </w:pPr>
    <w:rPr/>
  </w:style>
  <w:style w:type="paragraph" w:styleId="HeaderandFooter">
    <w:name w:val="Header and Footer"/>
    <w:basedOn w:val="Normal"/>
    <w:qFormat/>
    <w:pPr>
      <w:suppressLineNumbers/>
      <w:tabs>
        <w:tab w:val="center" w:pos="4986" w:leader="none"/>
        <w:tab w:val="right" w:pos="9972" w:leader="none"/>
      </w:tabs>
    </w:pPr>
    <w:rPr/>
  </w:style>
  <w:style w:type="paragraph" w:styleId="Header">
    <w:name w:val="Header"/>
    <w:basedOn w:val="Normal"/>
    <w:pPr/>
    <w:rPr>
      <w:lang w:val="en-GB" w:eastAsia="zh-CN"/>
    </w:rPr>
  </w:style>
  <w:style w:type="paragraph" w:styleId="Footer">
    <w:name w:val="Footer"/>
    <w:basedOn w:val="Normal"/>
    <w:pPr/>
    <w:rPr>
      <w:lang w:val="en-GB" w:eastAsia="zh-CN"/>
    </w:rPr>
  </w:style>
  <w:style w:type="paragraph" w:styleId="Tablecol">
    <w:name w:val="tablecol"/>
    <w:basedOn w:val="Tablecell"/>
    <w:qFormat/>
    <w:pPr>
      <w:jc w:val="center"/>
    </w:pPr>
    <w:rPr>
      <w:b/>
    </w:rPr>
  </w:style>
  <w:style w:type="paragraph" w:styleId="Style10">
    <w:name w:val="文档结构图"/>
    <w:basedOn w:val="Normal"/>
    <w:qFormat/>
    <w:pPr/>
    <w:rPr>
      <w:rFonts w:ascii="SimSun;宋体" w:hAnsi="SimSun;宋体" w:cs="SimSun;宋体"/>
      <w:sz w:val="18"/>
      <w:szCs w:val="18"/>
      <w:lang w:val="en-GB"/>
    </w:rPr>
  </w:style>
  <w:style w:type="paragraph" w:styleId="Maintext">
    <w:name w:val="main text"/>
    <w:basedOn w:val="Normal"/>
    <w:qFormat/>
    <w:pPr>
      <w:snapToGrid w:val="true"/>
      <w:spacing w:lineRule="auto" w:line="288" w:before="60" w:after="60"/>
      <w:ind w:left="0" w:right="0" w:firstLine="200"/>
    </w:pPr>
    <w:rPr>
      <w:rFonts w:eastAsia="Malgun Gothic"/>
      <w:sz w:val="20"/>
      <w:szCs w:val="20"/>
      <w:lang w:val="en-GB" w:eastAsia="ko-KR"/>
    </w:rPr>
  </w:style>
  <w:style w:type="paragraph" w:styleId="2222">
    <w:name w:val="스타일 스타일 스타일 스타일 양쪽 첫 줄:  2 글자 + 첫 줄:  2 글자 + 첫 줄:  2 글자 + 첫 줄:  2..."/>
    <w:basedOn w:val="Normal"/>
    <w:qFormat/>
    <w:pPr>
      <w:snapToGrid w:val="true"/>
      <w:spacing w:lineRule="auto" w:line="336" w:before="0" w:after="180"/>
      <w:ind w:left="0" w:right="0" w:firstLine="200"/>
    </w:pPr>
    <w:rPr>
      <w:rFonts w:eastAsia="Malgun Gothic"/>
      <w:sz w:val="20"/>
      <w:szCs w:val="20"/>
      <w:lang w:val="en-GB"/>
    </w:rPr>
  </w:style>
  <w:style w:type="paragraph" w:styleId="Style11">
    <w:name w:val="批注文字"/>
    <w:basedOn w:val="Normal"/>
    <w:qFormat/>
    <w:pPr>
      <w:jc w:val="left"/>
    </w:pPr>
    <w:rPr>
      <w:lang w:val="en-GB"/>
    </w:rPr>
  </w:style>
  <w:style w:type="paragraph" w:styleId="Style12">
    <w:name w:val="批注主题"/>
    <w:basedOn w:val="Style11"/>
    <w:qFormat/>
    <w:pPr/>
    <w:rPr>
      <w:b/>
      <w:bCs/>
    </w:rPr>
  </w:style>
  <w:style w:type="paragraph" w:styleId="Style13">
    <w:name w:val="列出段落"/>
    <w:basedOn w:val="Normal"/>
    <w:qFormat/>
    <w:pPr>
      <w:spacing w:before="0" w:after="120"/>
      <w:ind w:left="720" w:right="0" w:hanging="0"/>
      <w:contextualSpacing/>
    </w:pPr>
    <w:rPr/>
  </w:style>
  <w:style w:type="paragraph" w:styleId="CommentText">
    <w:name w:val="Comment Text"/>
    <w:basedOn w:val="Normal"/>
    <w:qFormat/>
    <w:pPr/>
    <w:rPr>
      <w:sz w:val="20"/>
      <w:szCs w:val="20"/>
    </w:rPr>
  </w:style>
  <w:style w:type="paragraph" w:styleId="CommentSubject">
    <w:name w:val="Comment Subject"/>
    <w:basedOn w:val="CommentText"/>
    <w:qFormat/>
    <w:pPr/>
    <w:rPr>
      <w:b/>
      <w:bCs/>
    </w:rPr>
  </w:style>
  <w:style w:type="paragraph" w:styleId="PreformattedText">
    <w:name w:val="Preformatted Text"/>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274</TotalTime>
  <Application>LibreOffice/5.1.6.2$Linux_X86_64 LibreOffice_project/10m0$Build-2</Application>
  <Pages>3</Pages>
  <Words>1210</Words>
  <Characters>6612</Characters>
  <CharactersWithSpaces>7777</CharactersWithSpaces>
  <Paragraphs>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2022-03-21T12:01:00Z</dcterms:created>
  <dc:creator>Brian Classon</dc:creator>
  <dc:description/>
  <dc:language>en-IN</dc:language>
  <cp:lastModifiedBy>Deepak Agarwal </cp:lastModifiedBy>
  <cp:lastPrinted>2007-06-18T17:08:00Z</cp:lastPrinted>
  <dcterms:modified xsi:type="dcterms:W3CDTF">2022-04-29T14:48:32Z</dcterms:modified>
  <cp:revision>63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
NUkxuEPw1S2C2kT05vGJ3MRbTPq2HHQ5EIFdj+r/U27eDM7Au9J2C4qEziqv40QybXjei0bu
mYCL3V1Bkj6SSUME2k7qTb1VErnBpairRjETp9UabKVMqEWV+osNdnc806CL3GtnVovpJVyE
UPZKOiRaFnZ7fjU4VY</vt:lpwstr>
  </property>
  <property fmtid="{D5CDD505-2E9C-101B-9397-08002B2CF9AE}" pid="3" name="_2015_ms_pID_7253431">
    <vt:lpwstr>96HbNWILQ9YTEEPZZg62tYX9waDwbAKem3MSBEO2wIsQmvlJQn0Ws+
m+nc+PT3UuvRJ1T/8+yat5ds36/WX/v9V9XpguFE1iHNxoafwtQDWeQopJLa+AdKtoutqvGk
hlT57uJMspTEYIM2NXshMpXuJ++Mh9W8eEgrBBHsyltaXepOIRKSefkRpsRl5XG67wk4bCGo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ms_pID_725343">
    <vt:lpwstr>(2)ynyNSsmuLVVbEwBBE74W73lrlVMlxVofueZugsFDU8Nz3Lj/N2gGQ0i9VC+o4OgTwt7XRZKx
We0ae6AgoseCeWCQYZQxP4ppIL/GMvp8Uuc4vR8fyJEyR2qxMKKRtCNZju6G9BnFJ5lycdhv
LT8JZEvLYHJq2DrpOgFaElnDcLjLcOXzs3Xc7it0g1Q+6cxfgNes2sOHez1dRveQG/lpbK4I
/q1YHtprBZymCi2PEv</vt:lpwstr>
  </property>
  <property fmtid="{D5CDD505-2E9C-101B-9397-08002B2CF9AE}" pid="9" name="_ms_pID_7253431">
    <vt:lpwstr>M/pVKASJiOhRTVyPLa1+Gb9wEtOYPIbRkHtOc/4FWhIVQT2UTy8bYh
/hDevSuu5XKS7fNRsTEDU/3UHqU8pbPip+a0294CmFGIn8SEx373GiyffwxSZ4ph6FmRREBw
elBS404g+CjMBGbJVlphlKaN3ce4ccm/RWoa4PhJdFmQqVFw3mQLPJfqj/4K6XWtoL3292jP
m24IwFZiz8aZM7kr</vt:lpwstr>
  </property>
  <property fmtid="{D5CDD505-2E9C-101B-9397-08002B2CF9AE}" pid="10" name="_ms_pID_7253431_00">
    <vt:lpwstr>_ms_pID_7253431</vt:lpwstr>
  </property>
  <property fmtid="{D5CDD505-2E9C-101B-9397-08002B2CF9AE}" pid="11" name="_ms_pID_725343_00">
    <vt:lpwstr>_ms_pID_725343</vt:lpwstr>
  </property>
  <property fmtid="{D5CDD505-2E9C-101B-9397-08002B2CF9AE}" pid="12" name="_new_ms_pID_72543">
    <vt:lpwstr>(3)jsTZA6CJm1XEdjxm/Gu85lZPpOwHS5I/pZ0onJwl+lNy0ks8F3+hn5oIuQZhW9DUGn36DXft
IB1EYuHuikqkM3/aunzOpGMxUYQ9XvozxW7KQurko5hHFpePnrdz5GljqqpHHW789KFX9e02
GDo8SUrNq1reI9YPr75cI1RlHqsRzBcRYhEwh2t0wc1HBYfsPaAL0qywgVzxTHKo/aT+tqfW
z0+6YVCD5IHDLAgLE5</vt:lpwstr>
  </property>
  <property fmtid="{D5CDD505-2E9C-101B-9397-08002B2CF9AE}" pid="13" name="_new_ms_pID_725431">
    <vt:lpwstr>5+0hXGCAgLg5vdVZrxhms8XSFYkVnMeBoECtMJs0PyLXX0YHRYbCYq
EUHjjlq6OAoidDnHZkmGfbg8B97F0DEaR5OTuzTTdtad37LKacxkHHICm09ZmWZqYpzuz/Ni
1/Q3MKIrDHqpoTRyl9HOWe347HPLqYzy3xGqnirGgS9SczzUYCxIhZjS2DFO1eZq2f305m3g
kX7yf+ARUTDTr5xuOp7bL7u4tYkAD/AF2Uor</vt:lpwstr>
  </property>
  <property fmtid="{D5CDD505-2E9C-101B-9397-08002B2CF9AE}" pid="14" name="_new_ms_pID_725431_00">
    <vt:lpwstr>_new_ms_pID_725431</vt:lpwstr>
  </property>
  <property fmtid="{D5CDD505-2E9C-101B-9397-08002B2CF9AE}" pid="15" name="_new_ms_pID_725432">
    <vt:lpwstr>5ODSr9xM8Xe/xX3rgoOAg9xBQQRuph+xauB2
+Uz1cw0AjCoGCO2oa+/H2hSUl4V/TuAc1JprpjrQiCnOJfR4pc0=</vt:lpwstr>
  </property>
  <property fmtid="{D5CDD505-2E9C-101B-9397-08002B2CF9AE}" pid="16" name="_new_ms_pID_725432_00">
    <vt:lpwstr>_new_ms_pID_725432</vt:lpwstr>
  </property>
  <property fmtid="{D5CDD505-2E9C-101B-9397-08002B2CF9AE}" pid="17" name="_new_ms_pID_72543_00">
    <vt:lpwstr>_new_ms_pID_72543</vt:lpwstr>
  </property>
  <property fmtid="{D5CDD505-2E9C-101B-9397-08002B2CF9AE}" pid="18" name="sflag">
    <vt:lpwstr>1510973513</vt:lpwstr>
  </property>
</Properties>
</file>