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B75AF4F" w14:textId="77777777" w:rsidR="002F1E51" w:rsidRDefault="004F1ACE">
      <w:pPr>
        <w:tabs>
          <w:tab w:val="right" w:pos="9216"/>
        </w:tabs>
        <w:spacing w:after="0"/>
        <w:jc w:val="left"/>
      </w:pPr>
      <w:r w:rsidRPr="37541D6F">
        <w:rPr>
          <w:b/>
          <w:bCs/>
          <w:kern w:val="2"/>
        </w:rPr>
        <w:t>3GPP TSG RAN WG1 Meeting #109-e</w:t>
      </w:r>
      <w:r>
        <w:rPr>
          <w:b/>
          <w:kern w:val="2"/>
        </w:rPr>
        <w:tab/>
      </w:r>
      <w:r w:rsidRPr="37541D6F">
        <w:rPr>
          <w:b/>
          <w:bCs/>
          <w:kern w:val="2"/>
        </w:rPr>
        <w:t>R1-2204752</w:t>
      </w:r>
    </w:p>
    <w:p w14:paraId="3CD31D53" w14:textId="77777777" w:rsidR="002F1E51" w:rsidRDefault="004F1ACE">
      <w:pPr>
        <w:jc w:val="left"/>
      </w:pPr>
      <w:r>
        <w:rPr>
          <w:b/>
          <w:kern w:val="2"/>
        </w:rPr>
        <w:t>May 9</w:t>
      </w:r>
      <w:r>
        <w:rPr>
          <w:b/>
          <w:kern w:val="2"/>
          <w:vertAlign w:val="superscript"/>
        </w:rPr>
        <w:t>th</w:t>
      </w:r>
      <w:r>
        <w:rPr>
          <w:b/>
          <w:kern w:val="2"/>
        </w:rPr>
        <w:t xml:space="preserve"> – May 20</w:t>
      </w:r>
      <w:r>
        <w:rPr>
          <w:b/>
          <w:kern w:val="2"/>
          <w:vertAlign w:val="superscript"/>
        </w:rPr>
        <w:t>th</w:t>
      </w:r>
      <w:r>
        <w:rPr>
          <w:b/>
          <w:kern w:val="2"/>
        </w:rPr>
        <w:t>, 2022</w:t>
      </w:r>
    </w:p>
    <w:p w14:paraId="0A18D8C4" w14:textId="77777777" w:rsidR="002F1E51" w:rsidRDefault="002F1E51">
      <w:pPr>
        <w:pBdr>
          <w:top w:val="single" w:sz="4" w:space="1" w:color="000000"/>
          <w:left w:val="none" w:sz="0" w:space="0" w:color="000000"/>
          <w:bottom w:val="none" w:sz="0" w:space="0" w:color="000000"/>
          <w:right w:val="none" w:sz="0" w:space="0" w:color="000000"/>
        </w:pBdr>
        <w:spacing w:after="0"/>
        <w:jc w:val="left"/>
        <w:rPr>
          <w:b/>
          <w:kern w:val="2"/>
          <w:sz w:val="16"/>
          <w:szCs w:val="16"/>
        </w:rPr>
      </w:pPr>
    </w:p>
    <w:p w14:paraId="764081FC" w14:textId="77777777" w:rsidR="002F1E51" w:rsidRDefault="004F1ACE">
      <w:pPr>
        <w:spacing w:after="60"/>
        <w:ind w:left="1555" w:hanging="1555"/>
        <w:jc w:val="left"/>
      </w:pPr>
      <w:r>
        <w:rPr>
          <w:b/>
          <w:kern w:val="2"/>
        </w:rPr>
        <w:t>Agenda Item:</w:t>
      </w:r>
      <w:r>
        <w:rPr>
          <w:b/>
          <w:kern w:val="2"/>
        </w:rPr>
        <w:tab/>
        <w:t>9.3.3</w:t>
      </w:r>
    </w:p>
    <w:p w14:paraId="23C795E3" w14:textId="34536104" w:rsidR="002F1E51" w:rsidRDefault="004F1ACE">
      <w:pPr>
        <w:spacing w:after="60"/>
        <w:ind w:left="1555" w:hanging="1555"/>
        <w:jc w:val="left"/>
      </w:pPr>
      <w:r>
        <w:rPr>
          <w:b/>
          <w:kern w:val="2"/>
        </w:rPr>
        <w:t>Source:</w:t>
      </w:r>
      <w:r>
        <w:rPr>
          <w:b/>
          <w:kern w:val="2"/>
        </w:rPr>
        <w:tab/>
        <w:t>CEWiT</w:t>
      </w:r>
      <w:r w:rsidR="008A1247">
        <w:rPr>
          <w:b/>
          <w:kern w:val="2"/>
        </w:rPr>
        <w:t xml:space="preserve">, IIT-M, IIT-K, Reliance Jio, </w:t>
      </w:r>
      <w:proofErr w:type="spellStart"/>
      <w:r w:rsidR="008A1247">
        <w:rPr>
          <w:b/>
          <w:kern w:val="2"/>
        </w:rPr>
        <w:t>Saankhya</w:t>
      </w:r>
      <w:proofErr w:type="spellEnd"/>
      <w:r w:rsidR="008A1247">
        <w:rPr>
          <w:b/>
          <w:kern w:val="2"/>
        </w:rPr>
        <w:t xml:space="preserve"> Labs</w:t>
      </w:r>
    </w:p>
    <w:p w14:paraId="3ACDEA53" w14:textId="77777777" w:rsidR="002F1E51" w:rsidRDefault="004F1ACE">
      <w:pPr>
        <w:spacing w:after="60"/>
        <w:ind w:left="1555" w:hanging="1555"/>
        <w:jc w:val="left"/>
      </w:pPr>
      <w:r>
        <w:rPr>
          <w:b/>
          <w:kern w:val="2"/>
        </w:rPr>
        <w:t>Title:</w:t>
      </w:r>
      <w:r>
        <w:rPr>
          <w:b/>
          <w:kern w:val="2"/>
        </w:rPr>
        <w:tab/>
        <w:t xml:space="preserve">Discussion on </w:t>
      </w:r>
      <w:r>
        <w:rPr>
          <w:rFonts w:eastAsia="Malgun Gothic"/>
          <w:b/>
          <w:kern w:val="2"/>
          <w:lang w:eastAsia="ko-KR"/>
        </w:rPr>
        <w:t>enhancements on dynamic/flexible TDD</w:t>
      </w:r>
    </w:p>
    <w:p w14:paraId="08A34939" w14:textId="77777777" w:rsidR="002F1E51" w:rsidRDefault="004F1ACE">
      <w:pPr>
        <w:spacing w:after="60"/>
        <w:ind w:left="1555" w:hanging="1555"/>
        <w:jc w:val="left"/>
      </w:pPr>
      <w:r>
        <w:rPr>
          <w:b/>
          <w:kern w:val="2"/>
        </w:rPr>
        <w:t>Document for:</w:t>
      </w:r>
      <w:r>
        <w:rPr>
          <w:b/>
          <w:kern w:val="2"/>
        </w:rPr>
        <w:tab/>
        <w:t xml:space="preserve">Discussion </w:t>
      </w:r>
    </w:p>
    <w:p w14:paraId="7B3CC5BA" w14:textId="77777777" w:rsidR="002F1E51" w:rsidRDefault="002F1E51">
      <w:pPr>
        <w:pBdr>
          <w:top w:val="none" w:sz="0" w:space="0" w:color="000000"/>
          <w:left w:val="none" w:sz="0" w:space="0" w:color="000000"/>
          <w:bottom w:val="single" w:sz="4" w:space="1" w:color="000000"/>
          <w:right w:val="none" w:sz="0" w:space="0" w:color="000000"/>
        </w:pBdr>
        <w:spacing w:after="0"/>
        <w:jc w:val="left"/>
        <w:rPr>
          <w:b/>
          <w:kern w:val="2"/>
          <w:sz w:val="16"/>
          <w:szCs w:val="16"/>
        </w:rPr>
      </w:pPr>
    </w:p>
    <w:p w14:paraId="657A6F59" w14:textId="77777777" w:rsidR="002F1E51" w:rsidRDefault="004F1ACE">
      <w:pPr>
        <w:pStyle w:val="Heading1"/>
      </w:pPr>
      <w:bookmarkStart w:id="0" w:name="_Ref124589705"/>
      <w:bookmarkStart w:id="1" w:name="_Ref129681862"/>
      <w:r>
        <w:t>Introduction</w:t>
      </w:r>
      <w:bookmarkEnd w:id="0"/>
      <w:bookmarkEnd w:id="1"/>
    </w:p>
    <w:p w14:paraId="250E9010" w14:textId="77777777" w:rsidR="002F1E51" w:rsidRDefault="37541D6F">
      <w:r>
        <w:t>A new study item on “Study on evolution of NR duplex operation” was approved in RAN#94-e [1] with following objectives:</w:t>
      </w:r>
    </w:p>
    <w:p w14:paraId="3AB96A6A" w14:textId="77777777" w:rsidR="002F1E51" w:rsidRDefault="004F1ACE">
      <w:pPr>
        <w:ind w:right="-99"/>
      </w:pPr>
      <w:r>
        <w:rPr>
          <w:i/>
          <w:iCs/>
        </w:rPr>
        <w:t>The objective of this study is to identify and evaluate the potential enhancements to support duplex evolution for NR TDD in unpaired spectrum.</w:t>
      </w:r>
    </w:p>
    <w:p w14:paraId="4A7A0E56" w14:textId="77777777" w:rsidR="002F1E51" w:rsidRDefault="004F1ACE">
      <w:pPr>
        <w:ind w:right="-99"/>
      </w:pPr>
      <w:r>
        <w:rPr>
          <w:bCs/>
          <w:i/>
          <w:iCs/>
          <w:lang w:eastAsia="ko-KR"/>
        </w:rPr>
        <w:t>In this study, the followings are assumed:</w:t>
      </w:r>
    </w:p>
    <w:p w14:paraId="4784CD16" w14:textId="77777777" w:rsidR="002F1E51" w:rsidRDefault="37541D6F">
      <w:pPr>
        <w:numPr>
          <w:ilvl w:val="0"/>
          <w:numId w:val="4"/>
        </w:numPr>
      </w:pPr>
      <w:r w:rsidRPr="37541D6F">
        <w:rPr>
          <w:rFonts w:eastAsia="Malgun Gothic"/>
          <w:i/>
          <w:iCs/>
          <w:lang w:eastAsia="ko-KR"/>
        </w:rPr>
        <w:t>Duplex enhancement at the gNB side</w:t>
      </w:r>
    </w:p>
    <w:p w14:paraId="4CBCA8A5" w14:textId="77777777" w:rsidR="002F1E51" w:rsidRDefault="004F1ACE">
      <w:pPr>
        <w:numPr>
          <w:ilvl w:val="0"/>
          <w:numId w:val="4"/>
        </w:numPr>
      </w:pPr>
      <w:r>
        <w:rPr>
          <w:rFonts w:eastAsia="Malgun Gothic"/>
          <w:bCs/>
          <w:i/>
          <w:iCs/>
          <w:lang w:eastAsia="ko-KR"/>
        </w:rPr>
        <w:t>Half duplex operation at the UE side</w:t>
      </w:r>
    </w:p>
    <w:p w14:paraId="7C9EB21B" w14:textId="77777777" w:rsidR="002F1E51" w:rsidRDefault="004F1ACE">
      <w:pPr>
        <w:numPr>
          <w:ilvl w:val="0"/>
          <w:numId w:val="4"/>
        </w:numPr>
      </w:pPr>
      <w:r>
        <w:rPr>
          <w:rFonts w:eastAsia="Malgun Gothic"/>
          <w:bCs/>
          <w:i/>
          <w:iCs/>
          <w:lang w:eastAsia="ko-KR"/>
        </w:rPr>
        <w:t>No restriction on frequency ranges</w:t>
      </w:r>
    </w:p>
    <w:p w14:paraId="478EC853" w14:textId="77777777" w:rsidR="002F1E51" w:rsidRDefault="004F1ACE">
      <w:pPr>
        <w:ind w:right="-99"/>
      </w:pPr>
      <w:r>
        <w:rPr>
          <w:bCs/>
          <w:i/>
          <w:iCs/>
          <w:lang w:eastAsia="ko-KR"/>
        </w:rPr>
        <w:t>The detailed objectives are as follows:</w:t>
      </w:r>
    </w:p>
    <w:p w14:paraId="4BA7E301" w14:textId="77777777" w:rsidR="002F1E51" w:rsidRDefault="004F1ACE">
      <w:pPr>
        <w:numPr>
          <w:ilvl w:val="0"/>
          <w:numId w:val="5"/>
        </w:numPr>
      </w:pPr>
      <w:r>
        <w:rPr>
          <w:i/>
          <w:iCs/>
        </w:rPr>
        <w:t>Identify applicable and relevant deployment scenarios (RAN1).</w:t>
      </w:r>
    </w:p>
    <w:p w14:paraId="02BC88D1" w14:textId="77777777" w:rsidR="002F1E51" w:rsidRDefault="37541D6F">
      <w:pPr>
        <w:numPr>
          <w:ilvl w:val="0"/>
          <w:numId w:val="5"/>
        </w:numPr>
      </w:pPr>
      <w:r w:rsidRPr="37541D6F">
        <w:rPr>
          <w:i/>
          <w:iCs/>
        </w:rPr>
        <w:t>Develop evaluation methodology for duplex enhancement (RAN1).</w:t>
      </w:r>
    </w:p>
    <w:p w14:paraId="15D9592C" w14:textId="77777777" w:rsidR="002F1E51" w:rsidRDefault="37541D6F">
      <w:pPr>
        <w:numPr>
          <w:ilvl w:val="0"/>
          <w:numId w:val="5"/>
        </w:numPr>
      </w:pPr>
      <w:r w:rsidRPr="37541D6F">
        <w:rPr>
          <w:rFonts w:eastAsia="Malgun Gothic"/>
          <w:i/>
          <w:iCs/>
          <w:lang w:eastAsia="ko-KR"/>
        </w:rPr>
        <w:t xml:space="preserve">Study the </w:t>
      </w:r>
      <w:proofErr w:type="spellStart"/>
      <w:r w:rsidRPr="37541D6F">
        <w:rPr>
          <w:rFonts w:eastAsia="Malgun Gothic"/>
          <w:i/>
          <w:iCs/>
          <w:lang w:eastAsia="ko-KR"/>
        </w:rPr>
        <w:t>subband</w:t>
      </w:r>
      <w:proofErr w:type="spellEnd"/>
      <w:r w:rsidRPr="37541D6F">
        <w:rPr>
          <w:rFonts w:eastAsia="Malgun Gothic"/>
          <w:i/>
          <w:iCs/>
          <w:lang w:eastAsia="ko-KR"/>
        </w:rPr>
        <w:t xml:space="preserve"> non-overlapping full duplex and </w:t>
      </w:r>
      <w:bookmarkStart w:id="2" w:name="_Hlk89796625"/>
      <w:r w:rsidRPr="37541D6F">
        <w:rPr>
          <w:rFonts w:eastAsia="Malgun Gothic"/>
          <w:i/>
          <w:iCs/>
          <w:lang w:eastAsia="ko-KR"/>
        </w:rPr>
        <w:t>potential enhancements on dynamic/flexible TDD</w:t>
      </w:r>
      <w:bookmarkEnd w:id="2"/>
      <w:r w:rsidRPr="37541D6F">
        <w:rPr>
          <w:rFonts w:eastAsia="Malgun Gothic"/>
          <w:i/>
          <w:iCs/>
          <w:lang w:eastAsia="ko-KR"/>
        </w:rPr>
        <w:t xml:space="preserve"> (RAN1, RAN4).</w:t>
      </w:r>
    </w:p>
    <w:p w14:paraId="4E3EBD02" w14:textId="77777777" w:rsidR="002F1E51" w:rsidRDefault="004F1ACE">
      <w:pPr>
        <w:pStyle w:val="ListParagraph"/>
        <w:numPr>
          <w:ilvl w:val="0"/>
          <w:numId w:val="6"/>
        </w:numPr>
      </w:pPr>
      <w:r>
        <w:rPr>
          <w:rFonts w:eastAsia="Malgun Gothic"/>
          <w:bCs/>
          <w:i/>
          <w:iCs/>
          <w:lang w:eastAsia="ko-KR"/>
        </w:rPr>
        <w:t>Identify possible schemes and evaluate their feasibility and performances (RAN1).</w:t>
      </w:r>
    </w:p>
    <w:p w14:paraId="57E5E645" w14:textId="77777777" w:rsidR="002F1E51" w:rsidRDefault="37541D6F">
      <w:pPr>
        <w:pStyle w:val="ListParagraph"/>
        <w:numPr>
          <w:ilvl w:val="0"/>
          <w:numId w:val="6"/>
        </w:numPr>
      </w:pPr>
      <w:r w:rsidRPr="37541D6F">
        <w:rPr>
          <w:rFonts w:eastAsia="Malgun Gothic"/>
          <w:i/>
          <w:iCs/>
          <w:lang w:eastAsia="ko-KR"/>
        </w:rPr>
        <w:t xml:space="preserve">Study inter-gNB and inter-UE CLI handling and identify solutions to manage them (RAN1). </w:t>
      </w:r>
    </w:p>
    <w:p w14:paraId="29BFB82A" w14:textId="77777777" w:rsidR="002F1E51" w:rsidRDefault="37541D6F">
      <w:pPr>
        <w:pStyle w:val="ListParagraph"/>
        <w:numPr>
          <w:ilvl w:val="1"/>
          <w:numId w:val="6"/>
        </w:numPr>
      </w:pPr>
      <w:r w:rsidRPr="37541D6F">
        <w:rPr>
          <w:rFonts w:eastAsia="Malgun Gothic"/>
          <w:i/>
          <w:iCs/>
          <w:lang w:eastAsia="ko-KR"/>
        </w:rPr>
        <w:t>Consider intra-</w:t>
      </w:r>
      <w:proofErr w:type="spellStart"/>
      <w:r w:rsidRPr="37541D6F">
        <w:rPr>
          <w:rFonts w:eastAsia="Malgun Gothic"/>
          <w:i/>
          <w:iCs/>
          <w:lang w:eastAsia="ko-KR"/>
        </w:rPr>
        <w:t>subband</w:t>
      </w:r>
      <w:proofErr w:type="spellEnd"/>
      <w:r w:rsidRPr="37541D6F">
        <w:rPr>
          <w:rFonts w:eastAsia="Malgun Gothic"/>
          <w:i/>
          <w:iCs/>
          <w:lang w:eastAsia="ko-KR"/>
        </w:rPr>
        <w:t xml:space="preserve"> CLI and inter-</w:t>
      </w:r>
      <w:proofErr w:type="spellStart"/>
      <w:r w:rsidRPr="37541D6F">
        <w:rPr>
          <w:rFonts w:eastAsia="Malgun Gothic"/>
          <w:i/>
          <w:iCs/>
          <w:lang w:eastAsia="ko-KR"/>
        </w:rPr>
        <w:t>subband</w:t>
      </w:r>
      <w:proofErr w:type="spellEnd"/>
      <w:r w:rsidRPr="37541D6F">
        <w:rPr>
          <w:rFonts w:eastAsia="Malgun Gothic"/>
          <w:i/>
          <w:iCs/>
          <w:lang w:eastAsia="ko-KR"/>
        </w:rPr>
        <w:t xml:space="preserve"> CLI in case of the </w:t>
      </w:r>
      <w:proofErr w:type="spellStart"/>
      <w:r w:rsidRPr="37541D6F">
        <w:rPr>
          <w:rFonts w:eastAsia="Malgun Gothic"/>
          <w:i/>
          <w:iCs/>
          <w:lang w:eastAsia="ko-KR"/>
        </w:rPr>
        <w:t>subband</w:t>
      </w:r>
      <w:proofErr w:type="spellEnd"/>
      <w:r w:rsidRPr="37541D6F">
        <w:rPr>
          <w:rFonts w:eastAsia="Malgun Gothic"/>
          <w:i/>
          <w:iCs/>
          <w:lang w:eastAsia="ko-KR"/>
        </w:rPr>
        <w:t xml:space="preserve"> non-overlapping full duplex.</w:t>
      </w:r>
    </w:p>
    <w:p w14:paraId="3B08E798" w14:textId="77777777" w:rsidR="002F1E51" w:rsidRDefault="37541D6F">
      <w:pPr>
        <w:pStyle w:val="ListParagraph"/>
        <w:numPr>
          <w:ilvl w:val="0"/>
          <w:numId w:val="6"/>
        </w:numPr>
      </w:pPr>
      <w:r w:rsidRPr="37541D6F">
        <w:rPr>
          <w:rFonts w:eastAsia="Malgun Gothic"/>
          <w:i/>
          <w:iCs/>
          <w:lang w:eastAsia="ko-KR"/>
        </w:rPr>
        <w:t>Study the performance of the identified schemes as well as the impact on legacy operation assuming their co-existence in co-channel and adjacent channels (RAN1).</w:t>
      </w:r>
    </w:p>
    <w:p w14:paraId="5FA97EDE" w14:textId="77777777" w:rsidR="002F1E51" w:rsidRDefault="004F1ACE">
      <w:pPr>
        <w:pStyle w:val="ListParagraph"/>
        <w:numPr>
          <w:ilvl w:val="0"/>
          <w:numId w:val="6"/>
        </w:numPr>
      </w:pPr>
      <w:r>
        <w:rPr>
          <w:rFonts w:eastAsia="Malgun Gothic"/>
          <w:bCs/>
          <w:i/>
          <w:iCs/>
          <w:lang w:eastAsia="ko-KR"/>
        </w:rPr>
        <w:t>Study the feasibility of and impact on RF requirements considering adjacent-channel co-existence with the legacy operation (RAN4).</w:t>
      </w:r>
    </w:p>
    <w:p w14:paraId="047503E3" w14:textId="77777777" w:rsidR="002F1E51" w:rsidRDefault="37541D6F">
      <w:pPr>
        <w:pStyle w:val="ListParagraph"/>
        <w:numPr>
          <w:ilvl w:val="0"/>
          <w:numId w:val="6"/>
        </w:numPr>
      </w:pPr>
      <w:r w:rsidRPr="37541D6F">
        <w:rPr>
          <w:rFonts w:eastAsia="Malgun Gothic"/>
          <w:i/>
          <w:iCs/>
          <w:lang w:eastAsia="ko-KR"/>
        </w:rPr>
        <w:t>Study the feasibility of and impact on RF requirements considering the self-interference, the inter-</w:t>
      </w:r>
      <w:proofErr w:type="spellStart"/>
      <w:r w:rsidRPr="37541D6F">
        <w:rPr>
          <w:rFonts w:eastAsia="Malgun Gothic"/>
          <w:i/>
          <w:iCs/>
          <w:lang w:eastAsia="ko-KR"/>
        </w:rPr>
        <w:t>subband</w:t>
      </w:r>
      <w:proofErr w:type="spellEnd"/>
      <w:r w:rsidRPr="37541D6F">
        <w:rPr>
          <w:rFonts w:eastAsia="Malgun Gothic"/>
          <w:i/>
          <w:iCs/>
          <w:lang w:eastAsia="ko-KR"/>
        </w:rPr>
        <w:t xml:space="preserve"> CLI, and the inter-operator CLI at gNB and the inter-</w:t>
      </w:r>
      <w:proofErr w:type="spellStart"/>
      <w:r w:rsidRPr="37541D6F">
        <w:rPr>
          <w:rFonts w:eastAsia="Malgun Gothic"/>
          <w:i/>
          <w:iCs/>
          <w:lang w:eastAsia="ko-KR"/>
        </w:rPr>
        <w:t>subband</w:t>
      </w:r>
      <w:proofErr w:type="spellEnd"/>
      <w:r w:rsidRPr="37541D6F">
        <w:rPr>
          <w:rFonts w:eastAsia="Malgun Gothic"/>
          <w:i/>
          <w:iCs/>
          <w:lang w:eastAsia="ko-KR"/>
        </w:rPr>
        <w:t xml:space="preserve"> CLI and inter-operator CLI at UE (RAN4).</w:t>
      </w:r>
    </w:p>
    <w:p w14:paraId="1822CAE6" w14:textId="77777777" w:rsidR="002F1E51" w:rsidRDefault="37541D6F">
      <w:pPr>
        <w:pStyle w:val="ListParagraph"/>
        <w:numPr>
          <w:ilvl w:val="0"/>
          <w:numId w:val="7"/>
        </w:numPr>
      </w:pPr>
      <w:r w:rsidRPr="37541D6F">
        <w:rPr>
          <w:rFonts w:eastAsia="Malgun Gothic"/>
          <w:i/>
          <w:i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37541D6F">
        <w:rPr>
          <w:rFonts w:eastAsia="Malgun Gothic"/>
          <w:i/>
          <w:iCs/>
          <w:lang w:eastAsia="ko-KR"/>
        </w:rPr>
        <w:t>filtering</w:t>
      </w:r>
      <w:proofErr w:type="gramEnd"/>
      <w:r w:rsidRPr="37541D6F">
        <w:rPr>
          <w:rFonts w:eastAsia="Malgun Gothic"/>
          <w:i/>
          <w:iCs/>
          <w:lang w:eastAsia="ko-KR"/>
        </w:rPr>
        <w:t xml:space="preserve"> and digital interference suppression.</w:t>
      </w:r>
    </w:p>
    <w:p w14:paraId="09CE8C36" w14:textId="77777777" w:rsidR="002F1E51" w:rsidRDefault="37541D6F">
      <w:pPr>
        <w:pStyle w:val="ListParagraph"/>
        <w:numPr>
          <w:ilvl w:val="0"/>
          <w:numId w:val="7"/>
        </w:numPr>
      </w:pPr>
      <w:r w:rsidRPr="37541D6F">
        <w:rPr>
          <w:i/>
          <w:iCs/>
        </w:rPr>
        <w:t xml:space="preserve">Summarize the regulatory aspects that </w:t>
      </w:r>
      <w:proofErr w:type="gramStart"/>
      <w:r w:rsidRPr="37541D6F">
        <w:rPr>
          <w:i/>
          <w:iCs/>
        </w:rPr>
        <w:t>have to</w:t>
      </w:r>
      <w:proofErr w:type="gramEnd"/>
      <w:r w:rsidRPr="37541D6F">
        <w:rPr>
          <w:i/>
          <w:iCs/>
        </w:rPr>
        <w:t xml:space="preserve"> be considered for deploying the identified duplex enhancements in TDD unpaired spectrum (RAN4).</w:t>
      </w:r>
    </w:p>
    <w:p w14:paraId="2B11A35C" w14:textId="77777777" w:rsidR="002F1E51" w:rsidRDefault="004F1ACE">
      <w:r>
        <w:rPr>
          <w:rFonts w:eastAsia="Malgun Gothic"/>
          <w:bCs/>
          <w:i/>
          <w:iCs/>
          <w:lang w:eastAsia="ko-KR"/>
        </w:rPr>
        <w:t xml:space="preserve">Note: For potential enhancements on dynamic/flexible TDD, utilize the outcome of discussion in Rel-15 and Rel-16 while avoiding the repetition of the same discussion. </w:t>
      </w:r>
    </w:p>
    <w:p w14:paraId="4ED90C54" w14:textId="77777777" w:rsidR="002F1E51" w:rsidRDefault="37541D6F">
      <w:r>
        <w:t xml:space="preserve">In this contribution, we discuss the various potential areas of study </w:t>
      </w:r>
      <w:proofErr w:type="spellStart"/>
      <w:r>
        <w:t>wrt</w:t>
      </w:r>
      <w:proofErr w:type="spellEnd"/>
      <w:r>
        <w:t xml:space="preserve"> enhancements on dynamic / flexible TDD</w:t>
      </w:r>
      <w:r w:rsidRPr="37541D6F">
        <w:rPr>
          <w:rFonts w:eastAsia="Times New Roman"/>
          <w:lang w:eastAsia="en-US"/>
        </w:rPr>
        <w:t>.</w:t>
      </w:r>
    </w:p>
    <w:p w14:paraId="77BAC8E8" w14:textId="77777777" w:rsidR="002F1E51" w:rsidRDefault="37541D6F" w:rsidP="008A1247">
      <w:pPr>
        <w:pStyle w:val="Heading1"/>
      </w:pPr>
      <w:r>
        <w:lastRenderedPageBreak/>
        <w:t>UE-to-UE and gNB-to-gNB CLI in flexible TDD</w:t>
      </w:r>
    </w:p>
    <w:p w14:paraId="53BA56AE" w14:textId="2E469237" w:rsidR="002F1E51" w:rsidRDefault="37541D6F">
      <w:pPr>
        <w:pStyle w:val="Heading1"/>
        <w:numPr>
          <w:ilvl w:val="0"/>
          <w:numId w:val="0"/>
        </w:numPr>
        <w:ind w:left="432"/>
      </w:pPr>
      <w:r w:rsidRPr="37541D6F">
        <w:rPr>
          <w:rFonts w:eastAsia="Times New Roman"/>
          <w:b w:val="0"/>
          <w:bCs w:val="0"/>
          <w:sz w:val="22"/>
          <w:szCs w:val="22"/>
          <w:lang w:eastAsia="en-US"/>
        </w:rPr>
        <w:t xml:space="preserve">With the introduction of flexible TDD in Rel. 15, UE-to-UE and gNB-to-gNB cross link interference (CLI) needed to be tackled in the network to ensure attaining maximum benefits from flexible TDD. E.g., Fig. 1 shows a network where the adjacent </w:t>
      </w:r>
      <w:proofErr w:type="spellStart"/>
      <w:r w:rsidRPr="37541D6F">
        <w:rPr>
          <w:rFonts w:eastAsia="Times New Roman"/>
          <w:b w:val="0"/>
          <w:bCs w:val="0"/>
          <w:sz w:val="22"/>
          <w:szCs w:val="22"/>
          <w:lang w:eastAsia="en-US"/>
        </w:rPr>
        <w:t>gNBs</w:t>
      </w:r>
      <w:proofErr w:type="spellEnd"/>
      <w:r w:rsidRPr="37541D6F">
        <w:rPr>
          <w:rFonts w:eastAsia="Times New Roman"/>
          <w:b w:val="0"/>
          <w:bCs w:val="0"/>
          <w:sz w:val="22"/>
          <w:szCs w:val="22"/>
          <w:lang w:eastAsia="en-US"/>
        </w:rPr>
        <w:t xml:space="preserve"> are performing DL and UL </w:t>
      </w:r>
      <w:proofErr w:type="gramStart"/>
      <w:r w:rsidRPr="37541D6F">
        <w:rPr>
          <w:rFonts w:eastAsia="Times New Roman"/>
          <w:b w:val="0"/>
          <w:bCs w:val="0"/>
          <w:sz w:val="22"/>
          <w:szCs w:val="22"/>
          <w:lang w:eastAsia="en-US"/>
        </w:rPr>
        <w:t>in</w:t>
      </w:r>
      <w:proofErr w:type="gramEnd"/>
      <w:r w:rsidRPr="37541D6F">
        <w:rPr>
          <w:rFonts w:eastAsia="Times New Roman"/>
          <w:b w:val="0"/>
          <w:bCs w:val="0"/>
          <w:sz w:val="22"/>
          <w:szCs w:val="22"/>
          <w:lang w:eastAsia="en-US"/>
        </w:rPr>
        <w:t xml:space="preserve"> the same time-frequency resources. As a result of this, there is  UE-to-UE and gNB-to-gNB CLI in the system as shown in the figure. In this scenario, the DL from BS 1 interferes with the UL signal received by BS 2 from UE 2, and the UL from UE 2 interferes with DL signal received by UE 1 from BS 1. In this case, the UE-to-UE CLI is inter-cell. In Rel. 16 study of CLI,  gNB-to-gNB CLI was left to implementation and several agreements were made for inter-cell UE-to-UE CLI.</w:t>
      </w:r>
    </w:p>
    <w:p w14:paraId="2E9C285B" w14:textId="3EAE56A2" w:rsidR="002F1E51" w:rsidRDefault="004F1ACE" w:rsidP="37541D6F">
      <w:pPr>
        <w:tabs>
          <w:tab w:val="left" w:pos="418"/>
        </w:tabs>
        <w:ind w:left="380"/>
        <w:jc w:val="center"/>
        <w:rPr>
          <w:rFonts w:eastAsia="Times New Roman"/>
        </w:rPr>
      </w:pPr>
      <w:r>
        <w:rPr>
          <w:rFonts w:eastAsia="Wingdings" w:cs="Wingdings"/>
          <w:bCs/>
          <w:iCs/>
          <w:noProof/>
        </w:rPr>
        <w:drawing>
          <wp:inline distT="0" distB="0" distL="0" distR="0" wp14:anchorId="39CA25FF" wp14:editId="3FB5DB64">
            <wp:extent cx="3248660" cy="1614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l="-96" t="-168" r="-96" b="-168"/>
                    <a:stretch>
                      <a:fillRect/>
                    </a:stretch>
                  </pic:blipFill>
                  <pic:spPr bwMode="auto">
                    <a:xfrm>
                      <a:off x="0" y="0"/>
                      <a:ext cx="3248660" cy="1614805"/>
                    </a:xfrm>
                    <a:prstGeom prst="rect">
                      <a:avLst/>
                    </a:prstGeom>
                    <a:solidFill>
                      <a:srgbClr val="FFFFFF"/>
                    </a:solidFill>
                    <a:ln>
                      <a:noFill/>
                    </a:ln>
                  </pic:spPr>
                </pic:pic>
              </a:graphicData>
            </a:graphic>
          </wp:inline>
        </w:drawing>
      </w:r>
    </w:p>
    <w:p w14:paraId="37C4E80D" w14:textId="77777777" w:rsidR="002F1E51" w:rsidRDefault="4CF33BFB" w:rsidP="4CF33BFB">
      <w:pPr>
        <w:tabs>
          <w:tab w:val="left" w:pos="418"/>
        </w:tabs>
        <w:ind w:left="720"/>
        <w:jc w:val="center"/>
      </w:pPr>
      <w:r w:rsidRPr="4CF33BFB">
        <w:rPr>
          <w:rFonts w:eastAsia="Times New Roman"/>
        </w:rPr>
        <w:t xml:space="preserve"> </w:t>
      </w:r>
      <w:r w:rsidRPr="4CF33BFB">
        <w:rPr>
          <w:rFonts w:eastAsia="Wingdings" w:cs="Wingdings"/>
        </w:rPr>
        <w:t xml:space="preserve">Fig. 1 CLI between </w:t>
      </w:r>
      <w:proofErr w:type="spellStart"/>
      <w:r w:rsidRPr="4CF33BFB">
        <w:rPr>
          <w:rFonts w:eastAsia="Wingdings" w:cs="Wingdings"/>
        </w:rPr>
        <w:t>gNBs</w:t>
      </w:r>
      <w:proofErr w:type="spellEnd"/>
      <w:r w:rsidRPr="4CF33BFB">
        <w:rPr>
          <w:rFonts w:eastAsia="Wingdings" w:cs="Wingdings"/>
        </w:rPr>
        <w:t xml:space="preserve"> (BSs) and UEs</w:t>
      </w:r>
    </w:p>
    <w:p w14:paraId="18070F05" w14:textId="77777777" w:rsidR="002F1E51" w:rsidRDefault="002F1E51"/>
    <w:p w14:paraId="61D7F38D" w14:textId="77777777" w:rsidR="002F1E51" w:rsidRDefault="37541D6F" w:rsidP="008A1247">
      <w:pPr>
        <w:pStyle w:val="Heading1"/>
        <w:rPr>
          <w:rFonts w:eastAsia="Malgun Gothic"/>
          <w:lang w:eastAsia="ko-KR"/>
        </w:rPr>
      </w:pPr>
      <w:r>
        <w:t xml:space="preserve">CLI in a </w:t>
      </w:r>
      <w:bookmarkStart w:id="3" w:name="_Hlk99445029"/>
      <w:r>
        <w:t xml:space="preserve">network with </w:t>
      </w:r>
      <w:proofErr w:type="spellStart"/>
      <w:r w:rsidRPr="37541D6F">
        <w:rPr>
          <w:rFonts w:eastAsia="Malgun Gothic"/>
          <w:lang w:eastAsia="ko-KR"/>
        </w:rPr>
        <w:t>subband</w:t>
      </w:r>
      <w:proofErr w:type="spellEnd"/>
      <w:r w:rsidRPr="37541D6F">
        <w:rPr>
          <w:rFonts w:eastAsia="Malgun Gothic"/>
          <w:lang w:eastAsia="ko-KR"/>
        </w:rPr>
        <w:t xml:space="preserve"> non-overlapping full duplex enabled </w:t>
      </w:r>
      <w:proofErr w:type="spellStart"/>
      <w:r w:rsidRPr="37541D6F">
        <w:rPr>
          <w:rFonts w:eastAsia="Malgun Gothic"/>
          <w:lang w:eastAsia="ko-KR"/>
        </w:rPr>
        <w:t>gNBs</w:t>
      </w:r>
      <w:proofErr w:type="spellEnd"/>
    </w:p>
    <w:bookmarkEnd w:id="3"/>
    <w:p w14:paraId="34A76607" w14:textId="77777777" w:rsidR="002F1E51" w:rsidRDefault="37541D6F">
      <w:r w:rsidRPr="37541D6F">
        <w:rPr>
          <w:rFonts w:eastAsia="Malgun Gothic"/>
          <w:lang w:eastAsia="ko-KR"/>
        </w:rPr>
        <w:t xml:space="preserve">The Rel. 18 SI on </w:t>
      </w:r>
      <w:r>
        <w:t xml:space="preserve">“Study on evolution of NR duplex operation” aims to study the applicability, </w:t>
      </w:r>
      <w:proofErr w:type="gramStart"/>
      <w:r>
        <w:t>implementation</w:t>
      </w:r>
      <w:proofErr w:type="gramEnd"/>
      <w:r>
        <w:t xml:space="preserve"> and effects of introducing non-overlapping sub-band full duplexing (SBFD) at the gNB. Fig. 2 shows an example of DL/UL configuration at an SBFD enabled gNB performing DL and UL simultaneously in different sub-bands. Thus, similar to the previous scenario of flexible TDD, adjacent SBFD enabled </w:t>
      </w:r>
      <w:proofErr w:type="spellStart"/>
      <w:r>
        <w:t>gNBs</w:t>
      </w:r>
      <w:proofErr w:type="spellEnd"/>
      <w:r>
        <w:t xml:space="preserve"> can be performing DL and UL </w:t>
      </w:r>
      <w:proofErr w:type="gramStart"/>
      <w:r>
        <w:t>in</w:t>
      </w:r>
      <w:proofErr w:type="gramEnd"/>
      <w:r>
        <w:t xml:space="preserve"> the same time-frequency resources resulting in co-channel </w:t>
      </w:r>
      <w:r w:rsidRPr="37541D6F">
        <w:rPr>
          <w:rFonts w:eastAsia="Wingdings" w:cs="Wingdings"/>
        </w:rPr>
        <w:t xml:space="preserve">UE-to-UE and gNB-to-gNB CLI. Similarly, </w:t>
      </w:r>
      <w:r w:rsidRPr="37541D6F">
        <w:rPr>
          <w:rFonts w:eastAsia="Malgun Gothic" w:cs="Wingdings"/>
          <w:lang w:eastAsia="ko-KR"/>
        </w:rPr>
        <w:t xml:space="preserve">adjacent channel </w:t>
      </w:r>
      <w:r w:rsidRPr="37541D6F">
        <w:rPr>
          <w:rFonts w:eastAsia="Wingdings" w:cs="Wingdings"/>
        </w:rPr>
        <w:t>UE-to-UE and gNB-to-gNB CLI will also be present in the network. In our understanding, intra-</w:t>
      </w:r>
      <w:proofErr w:type="spellStart"/>
      <w:r w:rsidRPr="37541D6F">
        <w:rPr>
          <w:rFonts w:eastAsia="Wingdings" w:cs="Wingdings"/>
        </w:rPr>
        <w:t>subband</w:t>
      </w:r>
      <w:proofErr w:type="spellEnd"/>
      <w:r w:rsidRPr="37541D6F">
        <w:rPr>
          <w:rFonts w:eastAsia="Wingdings" w:cs="Wingdings"/>
        </w:rPr>
        <w:t xml:space="preserve"> CLI is a kind of co-channel CLI and inter-</w:t>
      </w:r>
      <w:proofErr w:type="spellStart"/>
      <w:r w:rsidRPr="37541D6F">
        <w:rPr>
          <w:rFonts w:eastAsia="Wingdings" w:cs="Wingdings"/>
        </w:rPr>
        <w:t>subband</w:t>
      </w:r>
      <w:proofErr w:type="spellEnd"/>
      <w:r w:rsidRPr="37541D6F">
        <w:rPr>
          <w:rFonts w:eastAsia="Wingdings" w:cs="Wingdings"/>
        </w:rPr>
        <w:t xml:space="preserve"> CLI is a kind of adjacent channel CLI. The </w:t>
      </w:r>
      <w:r w:rsidRPr="37541D6F">
        <w:rPr>
          <w:rFonts w:eastAsia="Malgun Gothic" w:cs="Wingdings"/>
          <w:lang w:eastAsia="ko-KR"/>
        </w:rPr>
        <w:t xml:space="preserve">inter-cell </w:t>
      </w:r>
      <w:r w:rsidRPr="37541D6F">
        <w:rPr>
          <w:rFonts w:eastAsia="Wingdings" w:cs="Wingdings"/>
          <w:lang w:eastAsia="ko-KR"/>
        </w:rPr>
        <w:t>UE-to-UE CLI can be inter-</w:t>
      </w:r>
      <w:proofErr w:type="spellStart"/>
      <w:r w:rsidRPr="37541D6F">
        <w:rPr>
          <w:rFonts w:eastAsia="Wingdings" w:cs="Wingdings"/>
          <w:lang w:eastAsia="ko-KR"/>
        </w:rPr>
        <w:t>subband</w:t>
      </w:r>
      <w:proofErr w:type="spellEnd"/>
      <w:r w:rsidRPr="37541D6F">
        <w:rPr>
          <w:rFonts w:eastAsia="Wingdings" w:cs="Wingdings"/>
          <w:lang w:eastAsia="ko-KR"/>
        </w:rPr>
        <w:t xml:space="preserve"> or intra-</w:t>
      </w:r>
      <w:proofErr w:type="spellStart"/>
      <w:r w:rsidRPr="37541D6F">
        <w:rPr>
          <w:rFonts w:eastAsia="Wingdings" w:cs="Wingdings"/>
          <w:lang w:eastAsia="ko-KR"/>
        </w:rPr>
        <w:t>subband</w:t>
      </w:r>
      <w:proofErr w:type="spellEnd"/>
      <w:r w:rsidRPr="37541D6F">
        <w:rPr>
          <w:rFonts w:eastAsia="Wingdings" w:cs="Wingdings"/>
          <w:lang w:eastAsia="ko-KR"/>
        </w:rPr>
        <w:t>. However, in case of SBFD enabled networks, intra-cell UE-to-UE CLI will also be present. Consider an example shown in Fig. 3 where UE 1 is performing UL and UE 2 is receiving DL in the same cell (gNB 1) at the same time but non-overlapping frequency resources. As a result of this, the UL from UE 1 will interfere with the reception at UE 2. The  intra-cell UE-to-UE CLI can only be inter-</w:t>
      </w:r>
      <w:proofErr w:type="spellStart"/>
      <w:r w:rsidRPr="37541D6F">
        <w:rPr>
          <w:rFonts w:eastAsia="Wingdings" w:cs="Wingdings"/>
          <w:lang w:eastAsia="ko-KR"/>
        </w:rPr>
        <w:t>subband</w:t>
      </w:r>
      <w:proofErr w:type="spellEnd"/>
      <w:r w:rsidRPr="37541D6F">
        <w:rPr>
          <w:rFonts w:eastAsia="Wingdings" w:cs="Wingdings"/>
          <w:lang w:eastAsia="ko-KR"/>
        </w:rPr>
        <w:t xml:space="preserve"> since the gNB can schedule UEs only in orthogonal sub-bands. </w:t>
      </w:r>
    </w:p>
    <w:p w14:paraId="1501F369" w14:textId="65BE5FF3" w:rsidR="002F1E51" w:rsidRDefault="004F1ACE" w:rsidP="4CF33BFB">
      <w:pPr>
        <w:jc w:val="center"/>
      </w:pPr>
      <w:r>
        <w:rPr>
          <w:noProof/>
        </w:rPr>
        <w:drawing>
          <wp:inline distT="0" distB="0" distL="0" distR="0" wp14:anchorId="1B207E08" wp14:editId="19DA460F">
            <wp:extent cx="2752725" cy="1101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l="-93" t="-235" r="-93" b="-235"/>
                    <a:stretch>
                      <a:fillRect/>
                    </a:stretch>
                  </pic:blipFill>
                  <pic:spPr bwMode="auto">
                    <a:xfrm>
                      <a:off x="0" y="0"/>
                      <a:ext cx="2752725" cy="1101090"/>
                    </a:xfrm>
                    <a:prstGeom prst="rect">
                      <a:avLst/>
                    </a:prstGeom>
                    <a:solidFill>
                      <a:srgbClr val="FFFFFF"/>
                    </a:solidFill>
                    <a:ln>
                      <a:noFill/>
                    </a:ln>
                  </pic:spPr>
                </pic:pic>
              </a:graphicData>
            </a:graphic>
          </wp:inline>
        </w:drawing>
      </w:r>
    </w:p>
    <w:p w14:paraId="06E3C6F5" w14:textId="77777777" w:rsidR="002F1E51" w:rsidRDefault="37541D6F">
      <w:pPr>
        <w:ind w:left="1440"/>
      </w:pPr>
      <w:r>
        <w:t xml:space="preserve">Fig. 2 An example of </w:t>
      </w:r>
      <w:r w:rsidRPr="37541D6F">
        <w:rPr>
          <w:color w:val="000000" w:themeColor="text1"/>
        </w:rPr>
        <w:t xml:space="preserve"> SBFD in different non-overlapping sub-bands</w:t>
      </w:r>
    </w:p>
    <w:p w14:paraId="6B54673D" w14:textId="77777777" w:rsidR="002F1E51" w:rsidRDefault="002F1E51"/>
    <w:p w14:paraId="20097EE1" w14:textId="77777777" w:rsidR="002F1E51" w:rsidRDefault="002F1E51"/>
    <w:p w14:paraId="275550FC" w14:textId="40C80C2D" w:rsidR="002F1E51" w:rsidRDefault="004F1ACE" w:rsidP="4CF33BFB">
      <w:pPr>
        <w:jc w:val="center"/>
      </w:pPr>
      <w:r>
        <w:rPr>
          <w:noProof/>
        </w:rPr>
        <w:lastRenderedPageBreak/>
        <w:drawing>
          <wp:inline distT="0" distB="0" distL="0" distR="0" wp14:anchorId="3817629B" wp14:editId="61E4BE6E">
            <wp:extent cx="2372360" cy="171323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7">
                      <a:extLst>
                        <a:ext uri="{28A0092B-C50C-407E-A947-70E740481C1C}">
                          <a14:useLocalDpi xmlns:a14="http://schemas.microsoft.com/office/drawing/2010/main" val="0"/>
                        </a:ext>
                      </a:extLst>
                    </a:blip>
                    <a:srcRect l="-166" t="-229" r="-166" b="-229"/>
                    <a:stretch>
                      <a:fillRect/>
                    </a:stretch>
                  </pic:blipFill>
                  <pic:spPr bwMode="auto">
                    <a:xfrm>
                      <a:off x="0" y="0"/>
                      <a:ext cx="2372360" cy="1713230"/>
                    </a:xfrm>
                    <a:prstGeom prst="rect">
                      <a:avLst/>
                    </a:prstGeom>
                    <a:solidFill>
                      <a:srgbClr val="FFFFFF"/>
                    </a:solidFill>
                    <a:ln>
                      <a:noFill/>
                    </a:ln>
                  </pic:spPr>
                </pic:pic>
              </a:graphicData>
            </a:graphic>
          </wp:inline>
        </w:drawing>
      </w:r>
    </w:p>
    <w:p w14:paraId="0F10A5D2" w14:textId="2765D239" w:rsidR="002F1E51" w:rsidRDefault="4CF33BFB" w:rsidP="4CF33BFB">
      <w:pPr>
        <w:ind w:left="1440"/>
        <w:jc w:val="left"/>
      </w:pPr>
      <w:r w:rsidRPr="4CF33BFB">
        <w:rPr>
          <w:color w:val="000000" w:themeColor="text1"/>
        </w:rPr>
        <w:t xml:space="preserve">                                 Fig. 3 Intra-cell UE-to-UE CLI</w:t>
      </w:r>
    </w:p>
    <w:p w14:paraId="0CB62DB4" w14:textId="120E33F5" w:rsidR="002F1E51" w:rsidRDefault="4CF33BFB" w:rsidP="37541D6F">
      <w:pPr>
        <w:rPr>
          <w:color w:val="000000" w:themeColor="text1"/>
        </w:rPr>
      </w:pPr>
      <w:r w:rsidRPr="4CF33BFB">
        <w:rPr>
          <w:color w:val="000000" w:themeColor="text1"/>
        </w:rPr>
        <w:t xml:space="preserve">Thus, from the above-mentioned scenarios, it is evident that similar CLI issues are present in both flexible TDD and SBFD enabled networks. The solutions to CLI in flexible TDD that were agreed in Rel. 16 will be applicable for SBFD enabled networks as well. Thus, the solutions proposed for CLI management in flexible TDD can be considered as the starting point for CLI management in SBFD enabled networks. </w:t>
      </w:r>
    </w:p>
    <w:p w14:paraId="6873520D" w14:textId="4C7C7B62" w:rsidR="002F1E51" w:rsidRDefault="4CF33BFB" w:rsidP="4CF33BFB">
      <w:pPr>
        <w:spacing w:after="204"/>
        <w:jc w:val="left"/>
        <w:rPr>
          <w:b/>
          <w:bCs/>
          <w:color w:val="000000" w:themeColor="text1"/>
        </w:rPr>
      </w:pPr>
      <w:r w:rsidRPr="4CF33BFB">
        <w:rPr>
          <w:b/>
          <w:bCs/>
          <w:color w:val="000000" w:themeColor="text1"/>
        </w:rPr>
        <w:t xml:space="preserve">Observation 1: Networks with SBFD enabled </w:t>
      </w:r>
      <w:proofErr w:type="spellStart"/>
      <w:r w:rsidRPr="4CF33BFB">
        <w:rPr>
          <w:b/>
          <w:bCs/>
          <w:color w:val="000000" w:themeColor="text1"/>
        </w:rPr>
        <w:t>gNBs</w:t>
      </w:r>
      <w:proofErr w:type="spellEnd"/>
      <w:r w:rsidRPr="4CF33BFB">
        <w:rPr>
          <w:b/>
          <w:bCs/>
          <w:color w:val="000000" w:themeColor="text1"/>
        </w:rPr>
        <w:t xml:space="preserve"> are subject to  intra-cell UE-to-UE CLI, in addition to the CLI present in flexible TDD system.</w:t>
      </w:r>
    </w:p>
    <w:p w14:paraId="2B1FB941" w14:textId="3E937281" w:rsidR="002F1E51" w:rsidRDefault="4CF33BFB" w:rsidP="37541D6F">
      <w:pPr>
        <w:spacing w:after="204"/>
        <w:jc w:val="left"/>
        <w:rPr>
          <w:b/>
          <w:bCs/>
          <w:color w:val="000000" w:themeColor="text1"/>
        </w:rPr>
      </w:pPr>
      <w:r w:rsidRPr="4CF33BFB">
        <w:rPr>
          <w:b/>
          <w:bCs/>
          <w:color w:val="000000" w:themeColor="text1"/>
        </w:rPr>
        <w:t>Proposal 1: Consider solutions proposed for CLI management in flexible TDD as the starting point for CLI management in SBFD enabled networks.</w:t>
      </w:r>
    </w:p>
    <w:p w14:paraId="7B12C81A" w14:textId="77777777" w:rsidR="002F1E51" w:rsidRDefault="4CF33BFB" w:rsidP="4CF33BFB">
      <w:pPr>
        <w:spacing w:after="204"/>
        <w:jc w:val="left"/>
        <w:rPr>
          <w:color w:val="000000" w:themeColor="text1"/>
        </w:rPr>
      </w:pPr>
      <w:r w:rsidRPr="4CF33BFB">
        <w:rPr>
          <w:color w:val="000000" w:themeColor="text1"/>
        </w:rPr>
        <w:t xml:space="preserve">The next section discusses the potential areas of enhancements to the CLI management procedure. </w:t>
      </w:r>
    </w:p>
    <w:p w14:paraId="1A939751" w14:textId="77777777" w:rsidR="002F1E51" w:rsidRDefault="004F1ACE">
      <w:pPr>
        <w:pStyle w:val="Heading1"/>
      </w:pPr>
      <w:r>
        <w:t xml:space="preserve">Potential areas of enhancements to flexible TDD </w:t>
      </w:r>
    </w:p>
    <w:p w14:paraId="2B20BA4C" w14:textId="77777777" w:rsidR="002F1E51" w:rsidRDefault="37541D6F">
      <w:r w:rsidRPr="37541D6F">
        <w:rPr>
          <w:rFonts w:eastAsia="Calibri" w:cs="Calibri"/>
          <w:color w:val="000000" w:themeColor="text1"/>
        </w:rPr>
        <w:t xml:space="preserve">The UE-to-UE CLI management process in Rel. 16 can be broadly divided into 2 parts: Measurement of CLI and Reporting of CLI. In this section, the potential areas of enhancement are discussed under these 2 broad categories. </w:t>
      </w:r>
    </w:p>
    <w:p w14:paraId="2197AE1C" w14:textId="77777777" w:rsidR="002F1E51" w:rsidRDefault="004F1ACE">
      <w:pPr>
        <w:pStyle w:val="Heading2"/>
      </w:pPr>
      <w:r>
        <w:rPr>
          <w:rFonts w:eastAsia="Times New Roman"/>
        </w:rPr>
        <w:t xml:space="preserve"> </w:t>
      </w:r>
      <w:r>
        <w:t>Measurement of CLI</w:t>
      </w:r>
    </w:p>
    <w:p w14:paraId="52FF1A00" w14:textId="43D65367" w:rsidR="002F1E51" w:rsidRDefault="4CF33BFB">
      <w:r w:rsidRPr="4CF33BFB">
        <w:rPr>
          <w:rFonts w:eastAsia="Calibri" w:cs="Calibri"/>
          <w:color w:val="000000" w:themeColor="text1"/>
        </w:rPr>
        <w:t xml:space="preserve">According to Rel. 16 SRS-RSRP measurement, victim UE performs CLI measurement on sounding reference signal (SRS) transmitted from the aggressor UE. The victim UE shifts its receiving boundaries by a constant implementation specific offset while receiving the SRS.  </w:t>
      </w:r>
      <w:r w:rsidRPr="4CF33BFB">
        <w:rPr>
          <w:rStyle w:val="CommentReference"/>
          <w:rFonts w:eastAsia="Calibri" w:cs="Calibri"/>
          <w:color w:val="000000" w:themeColor="text1"/>
          <w:sz w:val="22"/>
          <w:szCs w:val="22"/>
        </w:rPr>
        <w:t xml:space="preserve">￹￹￹￹￹As illustrated in Fig 4 A, UE2 (aggressor UE) which is served by gNB2 transmits SRS in UL. The transmission boundary of gNB2 is also shown. In B, the SRS is received at UE1 (victim UE) which is served by gNB1 after a propagation delay of ‘t’. In ideal scenario, it is assumed that gNB1 and gNB2 are perfectly </w:t>
      </w:r>
      <w:proofErr w:type="spellStart"/>
      <w:r w:rsidRPr="4CF33BFB">
        <w:rPr>
          <w:rStyle w:val="CommentReference"/>
          <w:rFonts w:eastAsia="Calibri" w:cs="Calibri"/>
          <w:color w:val="000000" w:themeColor="text1"/>
          <w:sz w:val="22"/>
          <w:szCs w:val="22"/>
        </w:rPr>
        <w:t>synchronised</w:t>
      </w:r>
      <w:proofErr w:type="spellEnd"/>
      <w:r w:rsidRPr="4CF33BFB">
        <w:rPr>
          <w:rStyle w:val="CommentReference"/>
          <w:rFonts w:eastAsia="Calibri" w:cs="Calibri"/>
          <w:color w:val="000000" w:themeColor="text1"/>
          <w:sz w:val="22"/>
          <w:szCs w:val="22"/>
        </w:rPr>
        <w:t xml:space="preserve"> and UE1 has adjusted its reception boundary such that the reception boundary of UE1 is now in alignment with the transmission boundary at gNB1 (same as gNB2). In this case, the full SRS sequence can be received by UE1. This is an ideal scenario. However, in practical scenario there is </w:t>
      </w:r>
      <w:proofErr w:type="spellStart"/>
      <w:r w:rsidRPr="4CF33BFB">
        <w:rPr>
          <w:rStyle w:val="CommentReference"/>
          <w:rFonts w:eastAsia="Calibri" w:cs="Calibri"/>
          <w:color w:val="000000" w:themeColor="text1"/>
          <w:sz w:val="22"/>
          <w:szCs w:val="22"/>
        </w:rPr>
        <w:t>synchronisation</w:t>
      </w:r>
      <w:proofErr w:type="spellEnd"/>
      <w:r w:rsidRPr="4CF33BFB">
        <w:rPr>
          <w:rStyle w:val="CommentReference"/>
          <w:rFonts w:eastAsia="Calibri" w:cs="Calibri"/>
          <w:color w:val="000000" w:themeColor="text1"/>
          <w:sz w:val="22"/>
          <w:szCs w:val="22"/>
        </w:rPr>
        <w:t xml:space="preserve"> error between gNB1 and gNB2 which is unknown at UE1 (illustrated in in Fig 4 C). Hence, the SRS received by UE1 goes beyond the CP duration resulting in loss of information, especially in cases of small CP duration.  Hence, factors like synchronization errors between the </w:t>
      </w:r>
      <w:proofErr w:type="spellStart"/>
      <w:r w:rsidRPr="4CF33BFB">
        <w:rPr>
          <w:rFonts w:eastAsia="Calibri" w:cs="Calibri"/>
          <w:color w:val="000000" w:themeColor="text1"/>
        </w:rPr>
        <w:t>gNBs</w:t>
      </w:r>
      <w:proofErr w:type="spellEnd"/>
      <w:r w:rsidRPr="4CF33BFB">
        <w:rPr>
          <w:rFonts w:eastAsia="Calibri" w:cs="Calibri"/>
          <w:color w:val="000000" w:themeColor="text1"/>
        </w:rPr>
        <w:t xml:space="preserve">, smaller CP length in higher numerologies, high propagation delay between the UEs causes the misalignment to go beyond CP duration while measuring the CLI on SRS as explained above.  As a result of this, the complete SRS sequence will not be received by UE1 for processing. This will lead to inaccurate values of measured RSRP. Thus, the RSRP measurement should be made robust to such factors in the network as much as possible. This will ensure a better accuracy in the measurement of CLI RSRP. </w:t>
      </w:r>
    </w:p>
    <w:p w14:paraId="1F9543D3" w14:textId="77777777" w:rsidR="002F1E51" w:rsidRDefault="002F1E51"/>
    <w:p w14:paraId="3C57B69E" w14:textId="35D12748" w:rsidR="002F1E51" w:rsidRDefault="004F1ACE">
      <w:pPr>
        <w:pStyle w:val="ListParagraph"/>
      </w:pPr>
      <w:r>
        <w:rPr>
          <w:rFonts w:eastAsia="Calibri" w:cs="Calibri"/>
          <w:noProof/>
          <w:color w:val="000000"/>
        </w:rPr>
        <w:lastRenderedPageBreak/>
        <w:drawing>
          <wp:anchor distT="0" distB="0" distL="0" distR="0" simplePos="0" relativeHeight="251657728" behindDoc="0" locked="0" layoutInCell="1" allowOverlap="1" wp14:anchorId="2E0A9A5E" wp14:editId="74DF4E70">
            <wp:simplePos x="0" y="0"/>
            <wp:positionH relativeFrom="column">
              <wp:align>center</wp:align>
            </wp:positionH>
            <wp:positionV relativeFrom="paragraph">
              <wp:align>top</wp:align>
            </wp:positionV>
            <wp:extent cx="3411220" cy="266065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l="-53" t="-69" r="-53" b="-69"/>
                    <a:stretch>
                      <a:fillRect/>
                    </a:stretch>
                  </pic:blipFill>
                  <pic:spPr bwMode="auto">
                    <a:xfrm>
                      <a:off x="0" y="0"/>
                      <a:ext cx="3411220" cy="26606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eastAsia="Calibri" w:cs="Calibri"/>
          <w:color w:val="000000"/>
        </w:rPr>
        <w:t>Fig. 4 Transmission and reception boundaries of SRS for aggressor and victim UEs respectively</w:t>
      </w:r>
    </w:p>
    <w:p w14:paraId="0C059163" w14:textId="7A5DCC43" w:rsidR="002F1E51" w:rsidRDefault="4CF33BFB">
      <w:r w:rsidRPr="4CF33BFB">
        <w:rPr>
          <w:rFonts w:eastAsia="Calibri" w:cs="Calibri"/>
          <w:b/>
          <w:bCs/>
          <w:color w:val="000000" w:themeColor="text1"/>
        </w:rPr>
        <w:t xml:space="preserve">Observation 2: Factors like synchronization errors between </w:t>
      </w:r>
      <w:proofErr w:type="spellStart"/>
      <w:r w:rsidRPr="4CF33BFB">
        <w:rPr>
          <w:rFonts w:eastAsia="Calibri" w:cs="Calibri"/>
          <w:b/>
          <w:bCs/>
          <w:color w:val="000000" w:themeColor="text1"/>
        </w:rPr>
        <w:t>gNBs</w:t>
      </w:r>
      <w:proofErr w:type="spellEnd"/>
      <w:r w:rsidRPr="4CF33BFB">
        <w:rPr>
          <w:rFonts w:eastAsia="Calibri" w:cs="Calibri"/>
          <w:b/>
          <w:bCs/>
          <w:color w:val="000000" w:themeColor="text1"/>
        </w:rPr>
        <w:t xml:space="preserve">, smaller CP length in higher numerologies, higher propagation delay between the UEs causes the misalignment to go beyond CP duration while measuring the CLI on SRS as both the UEs are not time synchronized. </w:t>
      </w:r>
    </w:p>
    <w:p w14:paraId="43E0B5BE" w14:textId="77777777" w:rsidR="002F1E51" w:rsidRDefault="37541D6F">
      <w:r w:rsidRPr="37541D6F">
        <w:rPr>
          <w:rFonts w:eastAsia="Calibri" w:cs="Calibri"/>
          <w:b/>
          <w:bCs/>
          <w:color w:val="000000" w:themeColor="text1"/>
        </w:rPr>
        <w:t>Proposal 2: Study enhancements to improve CLI measurement accuracy.</w:t>
      </w:r>
    </w:p>
    <w:p w14:paraId="1EA91810" w14:textId="52D33FC3" w:rsidR="002F1E51" w:rsidRDefault="37541D6F">
      <w:r w:rsidRPr="37541D6F">
        <w:rPr>
          <w:rFonts w:eastAsia="Calibri" w:cs="Calibri"/>
          <w:color w:val="000000" w:themeColor="text1"/>
        </w:rPr>
        <w:t xml:space="preserve">Further, different UEs across cells in a network might be operating at different numerologies. The agreement made </w:t>
      </w:r>
      <w:proofErr w:type="spellStart"/>
      <w:r w:rsidRPr="37541D6F">
        <w:rPr>
          <w:rFonts w:eastAsia="Calibri" w:cs="Calibri"/>
          <w:color w:val="000000" w:themeColor="text1"/>
        </w:rPr>
        <w:t>wrt</w:t>
      </w:r>
      <w:proofErr w:type="spellEnd"/>
      <w:r w:rsidRPr="37541D6F">
        <w:rPr>
          <w:rFonts w:eastAsia="Calibri" w:cs="Calibri"/>
          <w:color w:val="000000" w:themeColor="text1"/>
        </w:rPr>
        <w:t xml:space="preserve"> SRS RSRP in RAN1 Ad-Hoc Meeting 1901 [2],</w:t>
      </w:r>
    </w:p>
    <w:p w14:paraId="580CCFB7" w14:textId="77777777" w:rsidR="002F1E51" w:rsidRDefault="004F1ACE">
      <w:r>
        <w:rPr>
          <w:rFonts w:eastAsia="Calibri" w:cs="Calibri"/>
          <w:b/>
          <w:i/>
          <w:iCs/>
          <w:color w:val="000000"/>
          <w:highlight w:val="green"/>
          <w:lang w:eastAsia="ko-KR"/>
        </w:rPr>
        <w:t>Agreement</w:t>
      </w:r>
    </w:p>
    <w:p w14:paraId="7E897844" w14:textId="77777777" w:rsidR="002F1E51" w:rsidRDefault="004F1ACE">
      <w:r>
        <w:rPr>
          <w:rFonts w:eastAsia="Calibri" w:cs="Calibri"/>
          <w:i/>
          <w:iCs/>
          <w:color w:val="000000"/>
          <w:sz w:val="20"/>
          <w:szCs w:val="21"/>
          <w:lang w:val="en-GB"/>
        </w:rPr>
        <w:t>UE is not required to measure SRS using different SCS compared to the downlink active BWP SCS of the same carrier.</w:t>
      </w:r>
    </w:p>
    <w:p w14:paraId="7AD7D245" w14:textId="77777777" w:rsidR="002F1E51" w:rsidRDefault="37541D6F">
      <w:r w:rsidRPr="37541D6F">
        <w:rPr>
          <w:rFonts w:eastAsia="Calibri" w:cs="Calibri"/>
          <w:color w:val="000000" w:themeColor="text1"/>
        </w:rPr>
        <w:t xml:space="preserve">Thus, if the numerology of the downlink active BWP of the victim UE is different from the numerology of the transmitted SRS by aggressor UE, the victim UE will not measure the RSRP using the numerology of the transmitted SRS. E.g., the aggressor UE 2 operates at 30 kHz while victim UE 1 operates at 15 kHz in Fig. 1. The SRS for CLI measurement will be transmitted at 30 kHz by UE 2. However, UE 1  measures the received SRS using 15 kHz numerology. This discrepancy in the transmitted and received SRS numerologies will affect the accuracy of CLI RSRP measurement. </w:t>
      </w:r>
    </w:p>
    <w:p w14:paraId="44AA8DCA" w14:textId="77777777" w:rsidR="002F1E51" w:rsidRDefault="002F1E51"/>
    <w:p w14:paraId="5E0E4770" w14:textId="77777777" w:rsidR="002F1E51" w:rsidRDefault="4CF33BFB">
      <w:r w:rsidRPr="4CF33BFB">
        <w:rPr>
          <w:rFonts w:eastAsia="Calibri" w:cs="Calibri"/>
          <w:b/>
          <w:bCs/>
          <w:color w:val="000000" w:themeColor="text1"/>
        </w:rPr>
        <w:t xml:space="preserve">Observation 3: The aggressor UE can transmit the SRS at a different numerology as compared to the numerology at which the victim UE is receiving. This discrepancy in the transmitted and received SRS numerologies will affect the accuracy of CLI RSRP measurement. </w:t>
      </w:r>
    </w:p>
    <w:p w14:paraId="64D77159" w14:textId="77777777" w:rsidR="002F1E51" w:rsidRDefault="37541D6F">
      <w:r w:rsidRPr="37541D6F">
        <w:rPr>
          <w:rFonts w:eastAsia="Calibri" w:cs="Calibri"/>
          <w:b/>
          <w:bCs/>
          <w:color w:val="000000" w:themeColor="text1"/>
        </w:rPr>
        <w:t>Proposal 3: Study methods to overcome the impact of aggressor and victim UEs operating at different numerologies on CLI measurement.</w:t>
      </w:r>
    </w:p>
    <w:p w14:paraId="38243F1F" w14:textId="192E9343" w:rsidR="002F1E51" w:rsidRDefault="37541D6F">
      <w:r w:rsidRPr="37541D6F">
        <w:rPr>
          <w:rFonts w:eastAsia="Calibri" w:cs="Calibri"/>
          <w:color w:val="000000" w:themeColor="text1"/>
        </w:rPr>
        <w:t>Consider a scenario where the aggressor UE and the victim UE uses partially overlapping bandwidth parts (BWPs) as shown in Fig. 5. In this case, the aggressor UE will transmit SRS within its own allocated BWP as shown in Fig. 5 while victim UE can measure SRS RSRP only in the overlapping resources. Therefore, only a part of the SRS will be received by the victim UE for RSRP measurement .</w:t>
      </w:r>
    </w:p>
    <w:p w14:paraId="61964F4B" w14:textId="77777777" w:rsidR="002F1E51" w:rsidRDefault="002F1E51">
      <w:pPr>
        <w:pStyle w:val="ListParagraph"/>
      </w:pPr>
    </w:p>
    <w:p w14:paraId="5E6CD194" w14:textId="47D67DF7" w:rsidR="002F1E51" w:rsidRDefault="004F1ACE">
      <w:pPr>
        <w:pStyle w:val="ListParagraph"/>
      </w:pPr>
      <w:r>
        <w:rPr>
          <w:noProof/>
        </w:rPr>
        <w:lastRenderedPageBreak/>
        <w:drawing>
          <wp:anchor distT="0" distB="0" distL="0" distR="0" simplePos="0" relativeHeight="251658752" behindDoc="0" locked="0" layoutInCell="1" allowOverlap="1" wp14:anchorId="67D0DB18" wp14:editId="3465FE38">
            <wp:simplePos x="0" y="0"/>
            <wp:positionH relativeFrom="column">
              <wp:align>center</wp:align>
            </wp:positionH>
            <wp:positionV relativeFrom="paragraph">
              <wp:align>top</wp:align>
            </wp:positionV>
            <wp:extent cx="4375785" cy="246126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l="-31" t="-56" r="-31" b="-56"/>
                    <a:stretch>
                      <a:fillRect/>
                    </a:stretch>
                  </pic:blipFill>
                  <pic:spPr bwMode="auto">
                    <a:xfrm>
                      <a:off x="0" y="0"/>
                      <a:ext cx="4375785" cy="2461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FB0F2BC" w14:textId="77777777" w:rsidR="002F1E51" w:rsidRDefault="4CF33BFB">
      <w:pPr>
        <w:pStyle w:val="ListParagraph"/>
      </w:pPr>
      <w:r w:rsidRPr="4CF33BFB">
        <w:rPr>
          <w:rFonts w:eastAsia="Calibri" w:cs="Calibri"/>
          <w:color w:val="000000" w:themeColor="text1"/>
        </w:rPr>
        <w:t>Fig. 5 Partially overlapping between BWPs of victim and aggressor UEs</w:t>
      </w:r>
    </w:p>
    <w:p w14:paraId="7108458E" w14:textId="77777777" w:rsidR="002F1E51" w:rsidRDefault="002F1E51">
      <w:pPr>
        <w:pStyle w:val="ListParagraph"/>
      </w:pPr>
    </w:p>
    <w:p w14:paraId="65615604" w14:textId="4A3F01D8" w:rsidR="002F1E51" w:rsidRDefault="4CF33BFB">
      <w:pPr>
        <w:pStyle w:val="ListParagraph"/>
        <w:ind w:left="0"/>
      </w:pPr>
      <w:r w:rsidRPr="4CF33BFB">
        <w:rPr>
          <w:rFonts w:eastAsia="Calibri" w:cs="Calibri"/>
          <w:color w:val="000000" w:themeColor="text1"/>
        </w:rPr>
        <w:t xml:space="preserve">The aggressor UE generates and fills the SRS sequence from P1 as the reference point up to the end of its BWP. The victim UE generates the same SRS sequence for correlating and obtaining the RSRP. However, the victim UE will assume that the SRS sequence is filled at the transmitter starting from P2 as the reference point. As a result, there will be a mismatch between the sequence </w:t>
      </w:r>
      <w:proofErr w:type="gramStart"/>
      <w:r w:rsidRPr="4CF33BFB">
        <w:rPr>
          <w:rFonts w:eastAsia="Calibri" w:cs="Calibri"/>
          <w:color w:val="000000" w:themeColor="text1"/>
        </w:rPr>
        <w:t>actually transmitted</w:t>
      </w:r>
      <w:proofErr w:type="gramEnd"/>
      <w:r w:rsidRPr="4CF33BFB">
        <w:rPr>
          <w:rFonts w:eastAsia="Calibri" w:cs="Calibri"/>
          <w:color w:val="000000" w:themeColor="text1"/>
        </w:rPr>
        <w:t xml:space="preserve"> in the overlapping portion of the 2 BWPs and the sequence that is assumed by the receiver to be transmitted in the same resources. Thus, there will be a mismatch in how the SRS sequence is filled by the aggressor and how the victim considers the SRS sequence to be filled. This discrepancy will affect the accuracy of the measured RSRP. </w:t>
      </w:r>
    </w:p>
    <w:p w14:paraId="622DB3FD" w14:textId="77777777" w:rsidR="002F1E51" w:rsidRDefault="002F1E51">
      <w:pPr>
        <w:pStyle w:val="ListParagraph"/>
        <w:rPr>
          <w:b/>
          <w:bCs/>
        </w:rPr>
      </w:pPr>
    </w:p>
    <w:p w14:paraId="0E5ED744" w14:textId="77777777" w:rsidR="002F1E51" w:rsidRDefault="37541D6F">
      <w:pPr>
        <w:pStyle w:val="ListParagraph"/>
        <w:ind w:left="0"/>
      </w:pPr>
      <w:r w:rsidRPr="37541D6F">
        <w:rPr>
          <w:rFonts w:eastAsia="Calibri" w:cs="Calibri"/>
          <w:b/>
          <w:bCs/>
          <w:color w:val="000000" w:themeColor="text1"/>
        </w:rPr>
        <w:t>Observation 4: The victim UE might receive only a part of the transmitted SRS by the aggressor UE for measurement of CLI RSRP where the reference points for SRS sequence generation and filling are different at victim and aggressor UEs.</w:t>
      </w:r>
    </w:p>
    <w:p w14:paraId="677503D3" w14:textId="77777777" w:rsidR="002F1E51" w:rsidRDefault="002F1E51">
      <w:pPr>
        <w:pStyle w:val="ListParagraph"/>
        <w:rPr>
          <w:b/>
          <w:bCs/>
        </w:rPr>
      </w:pPr>
    </w:p>
    <w:p w14:paraId="0F20915E" w14:textId="77777777" w:rsidR="002F1E51" w:rsidRDefault="37541D6F">
      <w:pPr>
        <w:pStyle w:val="ListParagraph"/>
        <w:ind w:left="0"/>
      </w:pPr>
      <w:r w:rsidRPr="37541D6F">
        <w:rPr>
          <w:rFonts w:eastAsia="Calibri" w:cs="Calibri"/>
          <w:b/>
          <w:bCs/>
          <w:color w:val="000000" w:themeColor="text1"/>
        </w:rPr>
        <w:t>Proposal 4: Study the impact of partial reception of SRS with different reference points for sequence generation and filling at victim and aggressor UEs for CLI measurement on CLI measurement accuracy.</w:t>
      </w:r>
    </w:p>
    <w:p w14:paraId="6F758336" w14:textId="77777777" w:rsidR="002F1E51" w:rsidRDefault="004F1ACE">
      <w:pPr>
        <w:pStyle w:val="Heading2"/>
        <w:jc w:val="left"/>
      </w:pPr>
      <w:r>
        <w:t>Reporting of CLI</w:t>
      </w:r>
      <w:r>
        <w:br/>
      </w:r>
    </w:p>
    <w:p w14:paraId="0A379413" w14:textId="77777777" w:rsidR="002F1E51" w:rsidRDefault="37541D6F">
      <w:pPr>
        <w:pStyle w:val="ListParagraph"/>
        <w:ind w:left="0"/>
      </w:pPr>
      <w:r w:rsidRPr="37541D6F">
        <w:rPr>
          <w:rFonts w:eastAsia="Calibri" w:cs="Calibri"/>
          <w:color w:val="000000" w:themeColor="text1"/>
        </w:rPr>
        <w:t>In Rel. 16 CLI management, the receiving victim UE is semi-statically configured by the gNB to perform L3 reporting of SRS-RSRP when the measured RSRP goes beyond a particular threshold. The agreement in RAN1 Meeting Ad-Hoc Meeting 1901 [2] was as follows:</w:t>
      </w:r>
    </w:p>
    <w:p w14:paraId="11384E49" w14:textId="77777777" w:rsidR="002F1E51" w:rsidRDefault="004F1ACE">
      <w:r>
        <w:rPr>
          <w:rFonts w:eastAsia="Malgun Gothic"/>
          <w:b/>
          <w:i/>
          <w:iCs/>
          <w:highlight w:val="green"/>
          <w:lang w:eastAsia="ko-KR"/>
        </w:rPr>
        <w:t>Agreement</w:t>
      </w:r>
    </w:p>
    <w:p w14:paraId="381FEE88" w14:textId="77777777" w:rsidR="002F1E51" w:rsidRDefault="37541D6F">
      <w:r w:rsidRPr="37541D6F">
        <w:rPr>
          <w:rFonts w:eastAsia="Malgun Gothic" w:cs="Calibri"/>
          <w:i/>
          <w:iCs/>
          <w:color w:val="000000" w:themeColor="text1"/>
          <w:lang w:eastAsia="ko-KR"/>
        </w:rPr>
        <w:t>For SRS-RSRP measurement report,</w:t>
      </w:r>
      <w:r w:rsidRPr="37541D6F">
        <w:rPr>
          <w:rFonts w:eastAsia="Malgun Gothic"/>
          <w:i/>
          <w:iCs/>
          <w:color w:val="000000" w:themeColor="text1"/>
        </w:rPr>
        <w:t xml:space="preserve"> L3 measurement reporting is applied.</w:t>
      </w:r>
    </w:p>
    <w:p w14:paraId="3C0EB119" w14:textId="77777777" w:rsidR="002F1E51" w:rsidRDefault="37541D6F">
      <w:pPr>
        <w:pStyle w:val="ListParagraph"/>
        <w:ind w:left="0"/>
      </w:pPr>
      <w:r w:rsidRPr="37541D6F">
        <w:rPr>
          <w:rFonts w:eastAsia="Calibri" w:cs="Calibri"/>
          <w:color w:val="000000" w:themeColor="text1"/>
        </w:rPr>
        <w:t>Dynamic reporting and handling of CLI is not possible with L3 reporting. Moreover, L3 report provides the time averaged CLI reflecting the long-term fading of the channel. However, CLI varies with dynamic scheduling and hence dynamic reporting should be supported. Therefore, L1 reporting of CLI is important in these scenarios.</w:t>
      </w:r>
    </w:p>
    <w:p w14:paraId="1AACCFD2" w14:textId="77777777" w:rsidR="002F1E51" w:rsidRDefault="002F1E51">
      <w:pPr>
        <w:pStyle w:val="ListParagraph"/>
        <w:ind w:left="0"/>
      </w:pPr>
    </w:p>
    <w:p w14:paraId="72AD668E" w14:textId="4C2892B4" w:rsidR="002F1E51" w:rsidRDefault="37541D6F" w:rsidP="37541D6F">
      <w:pPr>
        <w:pStyle w:val="ListParagraph"/>
        <w:ind w:left="0"/>
        <w:rPr>
          <w:rFonts w:eastAsia="Calibri" w:cs="Calibri"/>
          <w:b/>
          <w:bCs/>
          <w:color w:val="000000" w:themeColor="text1"/>
        </w:rPr>
      </w:pPr>
      <w:r w:rsidRPr="37541D6F">
        <w:rPr>
          <w:rFonts w:eastAsia="Calibri" w:cs="Calibri"/>
          <w:b/>
          <w:bCs/>
          <w:color w:val="000000" w:themeColor="text1"/>
        </w:rPr>
        <w:t>Observation 5:  CLI varies with dynamic scheduling in flexible TDD scenario.</w:t>
      </w:r>
    </w:p>
    <w:p w14:paraId="0144496E" w14:textId="77777777" w:rsidR="002F1E51" w:rsidRDefault="002F1E51">
      <w:pPr>
        <w:pStyle w:val="ListParagraph"/>
        <w:ind w:left="0"/>
        <w:rPr>
          <w:b/>
          <w:bCs/>
        </w:rPr>
      </w:pPr>
    </w:p>
    <w:p w14:paraId="33C1AD8B" w14:textId="77777777" w:rsidR="002F1E51" w:rsidRDefault="37541D6F">
      <w:pPr>
        <w:pStyle w:val="ListParagraph"/>
        <w:ind w:left="0"/>
      </w:pPr>
      <w:r w:rsidRPr="37541D6F">
        <w:rPr>
          <w:rFonts w:eastAsia="Calibri" w:cs="Calibri"/>
          <w:b/>
          <w:bCs/>
          <w:color w:val="000000" w:themeColor="text1"/>
        </w:rPr>
        <w:t>Proposal 5: Mechanism for dynamic reporting of CLI is supported.</w:t>
      </w:r>
    </w:p>
    <w:p w14:paraId="282B8A43" w14:textId="77777777" w:rsidR="002F1E51" w:rsidRDefault="004F1ACE">
      <w:pPr>
        <w:pStyle w:val="Heading1"/>
      </w:pPr>
      <w:r>
        <w:rPr>
          <w:rFonts w:eastAsia="Wingdings" w:cs="Wingdings"/>
        </w:rPr>
        <w:lastRenderedPageBreak/>
        <w:t>Conclusion</w:t>
      </w:r>
    </w:p>
    <w:p w14:paraId="2963E660" w14:textId="77777777" w:rsidR="002F1E51" w:rsidRDefault="004F1ACE">
      <w:r>
        <w:rPr>
          <w:rFonts w:eastAsia="Wingdings" w:cs="Wingdings"/>
          <w:kern w:val="2"/>
          <w:lang w:val="en-GB"/>
        </w:rPr>
        <w:t xml:space="preserve">In this contribution, the following observations and proposals are made, </w:t>
      </w:r>
    </w:p>
    <w:p w14:paraId="05125C3D" w14:textId="4C7C7B62" w:rsidR="002F1E51" w:rsidRDefault="4CF33BFB" w:rsidP="4CF33BFB">
      <w:pPr>
        <w:spacing w:after="204"/>
        <w:jc w:val="left"/>
        <w:rPr>
          <w:b/>
          <w:bCs/>
          <w:color w:val="000000" w:themeColor="text1"/>
        </w:rPr>
      </w:pPr>
      <w:r w:rsidRPr="4CF33BFB">
        <w:rPr>
          <w:b/>
          <w:bCs/>
          <w:color w:val="000000" w:themeColor="text1"/>
        </w:rPr>
        <w:t xml:space="preserve">Observation 1: Networks with SBFD enabled </w:t>
      </w:r>
      <w:proofErr w:type="spellStart"/>
      <w:r w:rsidRPr="4CF33BFB">
        <w:rPr>
          <w:b/>
          <w:bCs/>
          <w:color w:val="000000" w:themeColor="text1"/>
        </w:rPr>
        <w:t>gNBs</w:t>
      </w:r>
      <w:proofErr w:type="spellEnd"/>
      <w:r w:rsidRPr="4CF33BFB">
        <w:rPr>
          <w:b/>
          <w:bCs/>
          <w:color w:val="000000" w:themeColor="text1"/>
        </w:rPr>
        <w:t xml:space="preserve"> are subject to  intra-cell UE-to-UE CLI, in addition to the CLI present in flexible TDD system.</w:t>
      </w:r>
    </w:p>
    <w:p w14:paraId="3CCD7511" w14:textId="3E937281" w:rsidR="002F1E51" w:rsidRDefault="4CF33BFB" w:rsidP="4CF33BFB">
      <w:pPr>
        <w:spacing w:after="204"/>
        <w:jc w:val="left"/>
        <w:rPr>
          <w:b/>
          <w:bCs/>
          <w:color w:val="000000" w:themeColor="text1"/>
        </w:rPr>
      </w:pPr>
      <w:r w:rsidRPr="4CF33BFB">
        <w:rPr>
          <w:b/>
          <w:bCs/>
          <w:color w:val="000000" w:themeColor="text1"/>
        </w:rPr>
        <w:t>Proposal 1: Consider solutions proposed for CLI management in flexible TDD as the starting point for CLI management in SBFD enabled networks.</w:t>
      </w:r>
    </w:p>
    <w:p w14:paraId="5A77C311" w14:textId="7A5DCC43" w:rsidR="002F1E51" w:rsidRDefault="4CF33BFB" w:rsidP="4CF33BFB">
      <w:r w:rsidRPr="4CF33BFB">
        <w:rPr>
          <w:rFonts w:eastAsia="Calibri" w:cs="Calibri"/>
          <w:b/>
          <w:bCs/>
          <w:color w:val="000000" w:themeColor="text1"/>
        </w:rPr>
        <w:t xml:space="preserve">Observation 2: Factors like synchronization errors between </w:t>
      </w:r>
      <w:proofErr w:type="spellStart"/>
      <w:r w:rsidRPr="4CF33BFB">
        <w:rPr>
          <w:rFonts w:eastAsia="Calibri" w:cs="Calibri"/>
          <w:b/>
          <w:bCs/>
          <w:color w:val="000000" w:themeColor="text1"/>
        </w:rPr>
        <w:t>gNBs</w:t>
      </w:r>
      <w:proofErr w:type="spellEnd"/>
      <w:r w:rsidRPr="4CF33BFB">
        <w:rPr>
          <w:rFonts w:eastAsia="Calibri" w:cs="Calibri"/>
          <w:b/>
          <w:bCs/>
          <w:color w:val="000000" w:themeColor="text1"/>
        </w:rPr>
        <w:t xml:space="preserve">, smaller CP length in higher numerologies, higher propagation delay between the UEs causes the misalignment to go beyond CP duration while measuring the CLI on SRS as both the UEs are not time synchronized. </w:t>
      </w:r>
    </w:p>
    <w:p w14:paraId="40AA1D48" w14:textId="77777777" w:rsidR="002F1E51" w:rsidRDefault="4CF33BFB" w:rsidP="4CF33BFB">
      <w:r w:rsidRPr="4CF33BFB">
        <w:rPr>
          <w:rFonts w:eastAsia="Calibri" w:cs="Calibri"/>
          <w:b/>
          <w:bCs/>
          <w:color w:val="000000" w:themeColor="text1"/>
        </w:rPr>
        <w:t>Proposal 2: Study enhancements to improve CLI measurement accuracy.</w:t>
      </w:r>
    </w:p>
    <w:p w14:paraId="561AF119" w14:textId="77777777" w:rsidR="002F1E51" w:rsidRDefault="4CF33BFB" w:rsidP="4CF33BFB">
      <w:r w:rsidRPr="4CF33BFB">
        <w:rPr>
          <w:rFonts w:eastAsia="Calibri" w:cs="Calibri"/>
          <w:b/>
          <w:bCs/>
          <w:color w:val="000000" w:themeColor="text1"/>
        </w:rPr>
        <w:t xml:space="preserve">Observation 3: The aggressor UE can transmit the SRS at a different numerology as compared to the numerology at which the victim UE is receiving. This discrepancy in the transmitted and received SRS numerologies will affect the accuracy of CLI RSRP measurement. </w:t>
      </w:r>
    </w:p>
    <w:p w14:paraId="4255829C" w14:textId="77777777" w:rsidR="002F1E51" w:rsidRDefault="4CF33BFB" w:rsidP="4CF33BFB">
      <w:r w:rsidRPr="4CF33BFB">
        <w:rPr>
          <w:rFonts w:eastAsia="Calibri" w:cs="Calibri"/>
          <w:b/>
          <w:bCs/>
          <w:color w:val="000000" w:themeColor="text1"/>
        </w:rPr>
        <w:t>Proposal 3: Study methods to overcome the impact of aggressor and victim UEs operating at different numerologies on CLI measurement.</w:t>
      </w:r>
    </w:p>
    <w:p w14:paraId="60777327" w14:textId="77777777" w:rsidR="002F1E51" w:rsidRDefault="4CF33BFB">
      <w:pPr>
        <w:pStyle w:val="ListParagraph"/>
        <w:ind w:left="0"/>
      </w:pPr>
      <w:r w:rsidRPr="4CF33BFB">
        <w:rPr>
          <w:rFonts w:eastAsia="Calibri" w:cs="Calibri"/>
          <w:b/>
          <w:bCs/>
          <w:color w:val="000000" w:themeColor="text1"/>
        </w:rPr>
        <w:t>Observation 4: The victim UE might receive only a part of the transmitted SRS by the aggressor UE for measurement of CLI RSRP where the reference points for SRS sequence generation and filling are different at victim and aggressor UEs.</w:t>
      </w:r>
    </w:p>
    <w:p w14:paraId="132FDD14" w14:textId="77777777" w:rsidR="002F1E51" w:rsidRDefault="002F1E51" w:rsidP="4CF33BFB">
      <w:pPr>
        <w:pStyle w:val="ListParagraph"/>
        <w:rPr>
          <w:b/>
          <w:bCs/>
        </w:rPr>
      </w:pPr>
    </w:p>
    <w:p w14:paraId="068CD97B" w14:textId="107990EF" w:rsidR="002F1E51" w:rsidRDefault="4CF33BFB">
      <w:pPr>
        <w:pStyle w:val="ListParagraph"/>
        <w:ind w:left="0"/>
      </w:pPr>
      <w:r w:rsidRPr="4CF33BFB">
        <w:rPr>
          <w:rFonts w:eastAsia="Calibri" w:cs="Calibri"/>
          <w:b/>
          <w:bCs/>
          <w:color w:val="000000" w:themeColor="text1"/>
        </w:rPr>
        <w:t>Proposal 4: Study the impact of partial reception of SRS with different reference points for sequence generation and filling at victim and aggressor UEs for CLI measurement on CLI measurement accuracy.</w:t>
      </w:r>
    </w:p>
    <w:p w14:paraId="647FE660" w14:textId="77777777" w:rsidR="002F1E51" w:rsidRDefault="002F1E51">
      <w:pPr>
        <w:pStyle w:val="ListParagraph"/>
        <w:ind w:left="0"/>
        <w:rPr>
          <w:rFonts w:eastAsia="Calibri" w:cs="Calibri"/>
          <w:b/>
          <w:bCs/>
          <w:iCs/>
          <w:color w:val="000000"/>
          <w:kern w:val="2"/>
          <w:lang w:val="en-GB"/>
        </w:rPr>
      </w:pPr>
    </w:p>
    <w:p w14:paraId="729FC393" w14:textId="4C2892B4" w:rsidR="002F1E51" w:rsidRDefault="4CF33BFB" w:rsidP="4CF33BFB">
      <w:pPr>
        <w:pStyle w:val="ListParagraph"/>
        <w:ind w:left="0"/>
        <w:rPr>
          <w:rFonts w:eastAsia="Calibri" w:cs="Calibri"/>
          <w:b/>
          <w:bCs/>
          <w:color w:val="000000" w:themeColor="text1"/>
        </w:rPr>
      </w:pPr>
      <w:r w:rsidRPr="4CF33BFB">
        <w:rPr>
          <w:rFonts w:eastAsia="Calibri" w:cs="Calibri"/>
          <w:b/>
          <w:bCs/>
          <w:color w:val="000000" w:themeColor="text1"/>
        </w:rPr>
        <w:t>Observation 5:  CLI varies with dynamic scheduling in flexible TDD scenario.</w:t>
      </w:r>
    </w:p>
    <w:p w14:paraId="262DE733" w14:textId="4684DE4B" w:rsidR="002F1E51" w:rsidRDefault="002F1E51" w:rsidP="4CF33BFB">
      <w:pPr>
        <w:pStyle w:val="ListParagraph"/>
        <w:ind w:left="0"/>
        <w:rPr>
          <w:b/>
          <w:bCs/>
          <w:color w:val="000000" w:themeColor="text1"/>
        </w:rPr>
      </w:pPr>
    </w:p>
    <w:p w14:paraId="4BB4ECB7" w14:textId="77777777" w:rsidR="002F1E51" w:rsidRDefault="4CF33BFB">
      <w:pPr>
        <w:pStyle w:val="ListParagraph"/>
        <w:ind w:left="0"/>
      </w:pPr>
      <w:r w:rsidRPr="4CF33BFB">
        <w:rPr>
          <w:rFonts w:eastAsia="Calibri" w:cs="Calibri"/>
          <w:b/>
          <w:bCs/>
          <w:color w:val="000000" w:themeColor="text1"/>
        </w:rPr>
        <w:t>Proposal 5: Mechanism for dynamic reporting of CLI is supported.</w:t>
      </w:r>
    </w:p>
    <w:p w14:paraId="05C9E9FC" w14:textId="77777777" w:rsidR="002F1E51" w:rsidRDefault="4CF33BFB">
      <w:pPr>
        <w:pStyle w:val="Heading1"/>
        <w:numPr>
          <w:ilvl w:val="0"/>
          <w:numId w:val="0"/>
        </w:numPr>
        <w:ind w:left="432" w:hanging="432"/>
      </w:pPr>
      <w:r w:rsidRPr="4CF33BFB">
        <w:rPr>
          <w:rFonts w:eastAsia="Wingdings" w:cs="Wingdings"/>
        </w:rPr>
        <w:t>References</w:t>
      </w:r>
    </w:p>
    <w:p w14:paraId="1E376BDB" w14:textId="17777937" w:rsidR="4CF33BFB" w:rsidRDefault="4CF33BFB" w:rsidP="4CF33BFB">
      <w:pPr>
        <w:pStyle w:val="TdocHeader2"/>
        <w:numPr>
          <w:ilvl w:val="0"/>
          <w:numId w:val="1"/>
        </w:numPr>
        <w:rPr>
          <w:rFonts w:eastAsia="Arial"/>
          <w:bCs/>
          <w:szCs w:val="18"/>
        </w:rPr>
      </w:pPr>
      <w:r w:rsidRPr="4CF33BFB">
        <w:rPr>
          <w:rFonts w:ascii="Times New Roman" w:hAnsi="Times New Roman" w:cs="Times New Roman"/>
          <w:b w:val="0"/>
          <w:sz w:val="20"/>
        </w:rPr>
        <w:t>RP-21</w:t>
      </w:r>
      <w:r w:rsidRPr="4CF33BFB">
        <w:rPr>
          <w:rFonts w:ascii="Times New Roman" w:hAnsi="Times New Roman" w:cs="Times New Roman"/>
          <w:b w:val="0"/>
          <w:sz w:val="20"/>
          <w:lang w:val="en-GB"/>
        </w:rPr>
        <w:t>3591, New SI: Study on evolution of NR duplex operation, RAN#94-e, Dec. 2021</w:t>
      </w:r>
    </w:p>
    <w:p w14:paraId="6EB956EB" w14:textId="77777777" w:rsidR="002F1E51" w:rsidRDefault="4CF33BFB" w:rsidP="4CF33BFB">
      <w:pPr>
        <w:pStyle w:val="TdocHeader2"/>
        <w:numPr>
          <w:ilvl w:val="0"/>
          <w:numId w:val="1"/>
        </w:numPr>
      </w:pPr>
      <w:r w:rsidRPr="4CF33BFB">
        <w:rPr>
          <w:rFonts w:ascii="Times New Roman" w:hAnsi="Times New Roman" w:cs="Times New Roman"/>
          <w:b w:val="0"/>
          <w:sz w:val="20"/>
          <w:lang w:val="en-GB"/>
        </w:rPr>
        <w:t>RAN1 Chairman’s Notes, 3GPP TSG RAN WG1 Meeting Ad-Hoc Meeting 1901, Jan. 2019</w:t>
      </w:r>
    </w:p>
    <w:p w14:paraId="574858A6" w14:textId="77777777" w:rsidR="002F1E51" w:rsidRDefault="002F1E51">
      <w:pPr>
        <w:pStyle w:val="References"/>
        <w:numPr>
          <w:ilvl w:val="0"/>
          <w:numId w:val="0"/>
        </w:numPr>
        <w:ind w:left="360"/>
      </w:pPr>
    </w:p>
    <w:sectPr w:rsidR="002F1E51">
      <w:pgSz w:w="11906" w:h="16838"/>
      <w:pgMar w:top="1440" w:right="115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Regular">
    <w:charset w:val="00"/>
    <w:family w:val="roman"/>
    <w:pitch w:val="default"/>
  </w:font>
  <w:font w:name="FreeSans">
    <w:altName w:val="Calibri"/>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i w:val="0"/>
        <w:sz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pStyle w:val="References"/>
      <w:lvlText w:val="[%1]"/>
      <w:lvlJc w:val="left"/>
      <w:pPr>
        <w:tabs>
          <w:tab w:val="num" w:pos="360"/>
        </w:tabs>
        <w:ind w:left="360" w:hanging="360"/>
      </w:pPr>
      <w:rPr>
        <w:rFonts w:ascii="Times New Roman" w:hAnsi="Times New Roman" w:cs="Times New Roman"/>
        <w:b w:val="0"/>
        <w:sz w:val="20"/>
        <w:szCs w:val="16"/>
        <w:lang w:val="en-GB"/>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Arial" w:hAnsi="Arial" w:cs="Arial"/>
        <w:lang w:eastAsia="ko-KR"/>
      </w:rPr>
    </w:lvl>
    <w:lvl w:ilvl="1">
      <w:start w:val="1"/>
      <w:numFmt w:val="upperLetter"/>
      <w:lvlText w:val="%2."/>
      <w:lvlJc w:val="left"/>
      <w:pPr>
        <w:tabs>
          <w:tab w:val="num" w:pos="0"/>
        </w:tabs>
        <w:ind w:left="1880" w:hanging="400"/>
      </w:pPr>
    </w:lvl>
    <w:lvl w:ilvl="2">
      <w:start w:val="1"/>
      <w:numFmt w:val="lowerRoman"/>
      <w:lvlText w:val="%3."/>
      <w:lvlJc w:val="right"/>
      <w:pPr>
        <w:tabs>
          <w:tab w:val="num" w:pos="0"/>
        </w:tabs>
        <w:ind w:left="2280" w:hanging="400"/>
      </w:pPr>
    </w:lvl>
    <w:lvl w:ilvl="3">
      <w:start w:val="1"/>
      <w:numFmt w:val="decimal"/>
      <w:lvlText w:val="%4."/>
      <w:lvlJc w:val="left"/>
      <w:pPr>
        <w:tabs>
          <w:tab w:val="num" w:pos="0"/>
        </w:tabs>
        <w:ind w:left="2680" w:hanging="400"/>
      </w:pPr>
    </w:lvl>
    <w:lvl w:ilvl="4">
      <w:start w:val="1"/>
      <w:numFmt w:val="upperLetter"/>
      <w:lvlText w:val="%5."/>
      <w:lvlJc w:val="left"/>
      <w:pPr>
        <w:tabs>
          <w:tab w:val="num" w:pos="0"/>
        </w:tabs>
        <w:ind w:left="3080" w:hanging="400"/>
      </w:pPr>
    </w:lvl>
    <w:lvl w:ilvl="5">
      <w:start w:val="1"/>
      <w:numFmt w:val="lowerRoman"/>
      <w:lvlText w:val="%6."/>
      <w:lvlJc w:val="right"/>
      <w:pPr>
        <w:tabs>
          <w:tab w:val="num" w:pos="0"/>
        </w:tabs>
        <w:ind w:left="3480" w:hanging="400"/>
      </w:pPr>
    </w:lvl>
    <w:lvl w:ilvl="6">
      <w:start w:val="1"/>
      <w:numFmt w:val="decimal"/>
      <w:lvlText w:val="%7."/>
      <w:lvlJc w:val="left"/>
      <w:pPr>
        <w:tabs>
          <w:tab w:val="num" w:pos="0"/>
        </w:tabs>
        <w:ind w:left="3880" w:hanging="400"/>
      </w:pPr>
    </w:lvl>
    <w:lvl w:ilvl="7">
      <w:start w:val="1"/>
      <w:numFmt w:val="upperLetter"/>
      <w:lvlText w:val="%8."/>
      <w:lvlJc w:val="left"/>
      <w:pPr>
        <w:tabs>
          <w:tab w:val="num" w:pos="0"/>
        </w:tabs>
        <w:ind w:left="4280" w:hanging="400"/>
      </w:pPr>
    </w:lvl>
    <w:lvl w:ilvl="8">
      <w:start w:val="1"/>
      <w:numFmt w:val="lowerRoman"/>
      <w:lvlText w:val="%9."/>
      <w:lvlJc w:val="right"/>
      <w:pPr>
        <w:tabs>
          <w:tab w:val="num" w:pos="0"/>
        </w:tabs>
        <w:ind w:left="4680" w:hanging="400"/>
      </w:p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800" w:hanging="400"/>
      </w:pPr>
      <w:rPr>
        <w:rFonts w:ascii="Arial" w:hAnsi="Arial" w:cs="Arial"/>
        <w:lang w:eastAsia="ko-KR"/>
      </w:rPr>
    </w:lvl>
    <w:lvl w:ilvl="1">
      <w:start w:val="1"/>
      <w:numFmt w:val="bullet"/>
      <w:lvlText w:val=""/>
      <w:lvlJc w:val="left"/>
      <w:pPr>
        <w:tabs>
          <w:tab w:val="num" w:pos="0"/>
        </w:tabs>
        <w:ind w:left="1200" w:hanging="400"/>
      </w:pPr>
      <w:rPr>
        <w:rFonts w:ascii="Wingdings" w:hAnsi="Wingdings" w:cs="Wingdings"/>
      </w:rPr>
    </w:lvl>
    <w:lvl w:ilvl="2">
      <w:start w:val="1"/>
      <w:numFmt w:val="bullet"/>
      <w:lvlText w:val=""/>
      <w:lvlJc w:val="left"/>
      <w:pPr>
        <w:tabs>
          <w:tab w:val="num" w:pos="0"/>
        </w:tabs>
        <w:ind w:left="1600" w:hanging="400"/>
      </w:pPr>
      <w:rPr>
        <w:rFonts w:ascii="Wingdings" w:hAnsi="Wingdings" w:cs="Wingdings"/>
      </w:rPr>
    </w:lvl>
    <w:lvl w:ilvl="3">
      <w:start w:val="1"/>
      <w:numFmt w:val="bullet"/>
      <w:lvlText w:val=""/>
      <w:lvlJc w:val="left"/>
      <w:pPr>
        <w:tabs>
          <w:tab w:val="num" w:pos="0"/>
        </w:tabs>
        <w:ind w:left="2000" w:hanging="400"/>
      </w:pPr>
      <w:rPr>
        <w:rFonts w:ascii="Wingdings" w:hAnsi="Wingdings" w:cs="Wingdings"/>
      </w:rPr>
    </w:lvl>
    <w:lvl w:ilvl="4">
      <w:start w:val="1"/>
      <w:numFmt w:val="bullet"/>
      <w:lvlText w:val=""/>
      <w:lvlJc w:val="left"/>
      <w:pPr>
        <w:tabs>
          <w:tab w:val="num" w:pos="0"/>
        </w:tabs>
        <w:ind w:left="2400" w:hanging="400"/>
      </w:pPr>
      <w:rPr>
        <w:rFonts w:ascii="Wingdings" w:hAnsi="Wingdings" w:cs="Wingdings"/>
      </w:rPr>
    </w:lvl>
    <w:lvl w:ilvl="5">
      <w:start w:val="1"/>
      <w:numFmt w:val="bullet"/>
      <w:lvlText w:val=""/>
      <w:lvlJc w:val="left"/>
      <w:pPr>
        <w:tabs>
          <w:tab w:val="num" w:pos="0"/>
        </w:tabs>
        <w:ind w:left="2800" w:hanging="400"/>
      </w:pPr>
      <w:rPr>
        <w:rFonts w:ascii="Wingdings" w:hAnsi="Wingdings" w:cs="Wingdings"/>
      </w:rPr>
    </w:lvl>
    <w:lvl w:ilvl="6">
      <w:start w:val="1"/>
      <w:numFmt w:val="bullet"/>
      <w:lvlText w:val=""/>
      <w:lvlJc w:val="left"/>
      <w:pPr>
        <w:tabs>
          <w:tab w:val="num" w:pos="0"/>
        </w:tabs>
        <w:ind w:left="3200" w:hanging="400"/>
      </w:pPr>
      <w:rPr>
        <w:rFonts w:ascii="Wingdings" w:hAnsi="Wingdings" w:cs="Wingdings"/>
      </w:rPr>
    </w:lvl>
    <w:lvl w:ilvl="7">
      <w:start w:val="1"/>
      <w:numFmt w:val="bullet"/>
      <w:lvlText w:val=""/>
      <w:lvlJc w:val="left"/>
      <w:pPr>
        <w:tabs>
          <w:tab w:val="num" w:pos="0"/>
        </w:tabs>
        <w:ind w:left="3600" w:hanging="400"/>
      </w:pPr>
      <w:rPr>
        <w:rFonts w:ascii="Wingdings" w:hAnsi="Wingdings" w:cs="Wingdings"/>
      </w:rPr>
    </w:lvl>
    <w:lvl w:ilvl="8">
      <w:start w:val="1"/>
      <w:numFmt w:val="bullet"/>
      <w:lvlText w:val=""/>
      <w:lvlJc w:val="left"/>
      <w:pPr>
        <w:tabs>
          <w:tab w:val="num" w:pos="0"/>
        </w:tabs>
        <w:ind w:left="4000" w:hanging="400"/>
      </w:pPr>
      <w:rPr>
        <w:rFonts w:ascii="Wingdings" w:hAnsi="Wingdings" w:cs="Wingdings"/>
      </w:rPr>
    </w:lvl>
  </w:abstractNum>
  <w:abstractNum w:abstractNumId="4" w15:restartNumberingAfterBreak="0">
    <w:nsid w:val="00000005"/>
    <w:multiLevelType w:val="multilevel"/>
    <w:tmpl w:val="00000005"/>
    <w:name w:val="WW8Num5"/>
    <w:lvl w:ilvl="0">
      <w:start w:val="4"/>
      <w:numFmt w:val="bullet"/>
      <w:lvlText w:val="-"/>
      <w:lvlJc w:val="left"/>
      <w:pPr>
        <w:tabs>
          <w:tab w:val="num" w:pos="0"/>
        </w:tabs>
        <w:ind w:left="1080" w:hanging="360"/>
      </w:pPr>
      <w:rPr>
        <w:rFonts w:ascii="Times New Roman" w:hAnsi="Times New Roman" w:cs="Times New Roman"/>
        <w:b/>
        <w:lang w:eastAsia="ko-KR"/>
      </w:rPr>
    </w:lvl>
    <w:lvl w:ilvl="1">
      <w:start w:val="1"/>
      <w:numFmt w:val="bullet"/>
      <w:lvlText w:val=""/>
      <w:lvlJc w:val="left"/>
      <w:pPr>
        <w:tabs>
          <w:tab w:val="num" w:pos="0"/>
        </w:tabs>
        <w:ind w:left="1520" w:hanging="400"/>
      </w:pPr>
      <w:rPr>
        <w:rFonts w:ascii="Wingdings" w:hAnsi="Wingdings" w:cs="Wingdings"/>
        <w:lang w:eastAsia="ko-KR"/>
      </w:rPr>
    </w:lvl>
    <w:lvl w:ilvl="2">
      <w:start w:val="1"/>
      <w:numFmt w:val="bullet"/>
      <w:lvlText w:val=""/>
      <w:lvlJc w:val="left"/>
      <w:pPr>
        <w:tabs>
          <w:tab w:val="num" w:pos="0"/>
        </w:tabs>
        <w:ind w:left="1920" w:hanging="400"/>
      </w:pPr>
      <w:rPr>
        <w:rFonts w:ascii="Wingdings" w:hAnsi="Wingdings" w:cs="Wingdings"/>
        <w:lang w:eastAsia="ko-KR"/>
      </w:rPr>
    </w:lvl>
    <w:lvl w:ilvl="3">
      <w:start w:val="1"/>
      <w:numFmt w:val="bullet"/>
      <w:lvlText w:val=""/>
      <w:lvlJc w:val="left"/>
      <w:pPr>
        <w:tabs>
          <w:tab w:val="num" w:pos="0"/>
        </w:tabs>
        <w:ind w:left="2320" w:hanging="400"/>
      </w:pPr>
      <w:rPr>
        <w:rFonts w:ascii="Wingdings" w:hAnsi="Wingdings" w:cs="Wingdings"/>
        <w:lang w:eastAsia="ko-KR"/>
      </w:rPr>
    </w:lvl>
    <w:lvl w:ilvl="4">
      <w:start w:val="1"/>
      <w:numFmt w:val="bullet"/>
      <w:lvlText w:val=""/>
      <w:lvlJc w:val="left"/>
      <w:pPr>
        <w:tabs>
          <w:tab w:val="num" w:pos="0"/>
        </w:tabs>
        <w:ind w:left="2720" w:hanging="400"/>
      </w:pPr>
      <w:rPr>
        <w:rFonts w:ascii="Wingdings" w:hAnsi="Wingdings" w:cs="Wingdings"/>
        <w:lang w:eastAsia="ko-KR"/>
      </w:rPr>
    </w:lvl>
    <w:lvl w:ilvl="5">
      <w:start w:val="1"/>
      <w:numFmt w:val="bullet"/>
      <w:lvlText w:val=""/>
      <w:lvlJc w:val="left"/>
      <w:pPr>
        <w:tabs>
          <w:tab w:val="num" w:pos="0"/>
        </w:tabs>
        <w:ind w:left="3120" w:hanging="400"/>
      </w:pPr>
      <w:rPr>
        <w:rFonts w:ascii="Wingdings" w:hAnsi="Wingdings" w:cs="Wingdings"/>
        <w:lang w:eastAsia="ko-KR"/>
      </w:rPr>
    </w:lvl>
    <w:lvl w:ilvl="6">
      <w:start w:val="1"/>
      <w:numFmt w:val="bullet"/>
      <w:lvlText w:val=""/>
      <w:lvlJc w:val="left"/>
      <w:pPr>
        <w:tabs>
          <w:tab w:val="num" w:pos="0"/>
        </w:tabs>
        <w:ind w:left="3520" w:hanging="400"/>
      </w:pPr>
      <w:rPr>
        <w:rFonts w:ascii="Wingdings" w:hAnsi="Wingdings" w:cs="Wingdings"/>
        <w:lang w:eastAsia="ko-KR"/>
      </w:rPr>
    </w:lvl>
    <w:lvl w:ilvl="7">
      <w:start w:val="1"/>
      <w:numFmt w:val="bullet"/>
      <w:lvlText w:val=""/>
      <w:lvlJc w:val="left"/>
      <w:pPr>
        <w:tabs>
          <w:tab w:val="num" w:pos="0"/>
        </w:tabs>
        <w:ind w:left="3920" w:hanging="400"/>
      </w:pPr>
      <w:rPr>
        <w:rFonts w:ascii="Wingdings" w:hAnsi="Wingdings" w:cs="Wingdings"/>
        <w:lang w:eastAsia="ko-KR"/>
      </w:rPr>
    </w:lvl>
    <w:lvl w:ilvl="8">
      <w:start w:val="1"/>
      <w:numFmt w:val="bullet"/>
      <w:lvlText w:val=""/>
      <w:lvlJc w:val="left"/>
      <w:pPr>
        <w:tabs>
          <w:tab w:val="num" w:pos="0"/>
        </w:tabs>
        <w:ind w:left="4320" w:hanging="400"/>
      </w:pPr>
      <w:rPr>
        <w:rFonts w:ascii="Wingdings" w:hAnsi="Wingdings" w:cs="Wingdings"/>
        <w:lang w:eastAsia="ko-KR"/>
      </w:rPr>
    </w:lvl>
  </w:abstractNum>
  <w:abstractNum w:abstractNumId="5" w15:restartNumberingAfterBreak="0">
    <w:nsid w:val="00000006"/>
    <w:multiLevelType w:val="multilevel"/>
    <w:tmpl w:val="00000006"/>
    <w:name w:val="WW8Num6"/>
    <w:lvl w:ilvl="0">
      <w:start w:val="4"/>
      <w:numFmt w:val="bullet"/>
      <w:lvlText w:val="-"/>
      <w:lvlJc w:val="left"/>
      <w:pPr>
        <w:tabs>
          <w:tab w:val="num" w:pos="0"/>
        </w:tabs>
        <w:ind w:left="1080" w:hanging="360"/>
      </w:pPr>
      <w:rPr>
        <w:rFonts w:ascii="Times New Roman" w:hAnsi="Times New Roman" w:cs="Times New Roman"/>
        <w:b/>
        <w:lang w:eastAsia="ko-KR"/>
      </w:rPr>
    </w:lvl>
    <w:lvl w:ilvl="1">
      <w:start w:val="1"/>
      <w:numFmt w:val="bullet"/>
      <w:lvlText w:val=""/>
      <w:lvlJc w:val="left"/>
      <w:pPr>
        <w:tabs>
          <w:tab w:val="num" w:pos="0"/>
        </w:tabs>
        <w:ind w:left="1520" w:hanging="400"/>
      </w:pPr>
      <w:rPr>
        <w:rFonts w:ascii="Wingdings" w:hAnsi="Wingdings" w:cs="Wingdings"/>
      </w:rPr>
    </w:lvl>
    <w:lvl w:ilvl="2">
      <w:start w:val="1"/>
      <w:numFmt w:val="bullet"/>
      <w:lvlText w:val=""/>
      <w:lvlJc w:val="left"/>
      <w:pPr>
        <w:tabs>
          <w:tab w:val="num" w:pos="0"/>
        </w:tabs>
        <w:ind w:left="1920" w:hanging="400"/>
      </w:pPr>
      <w:rPr>
        <w:rFonts w:ascii="Wingdings" w:hAnsi="Wingdings" w:cs="Wingdings"/>
      </w:rPr>
    </w:lvl>
    <w:lvl w:ilvl="3">
      <w:start w:val="1"/>
      <w:numFmt w:val="bullet"/>
      <w:lvlText w:val=""/>
      <w:lvlJc w:val="left"/>
      <w:pPr>
        <w:tabs>
          <w:tab w:val="num" w:pos="0"/>
        </w:tabs>
        <w:ind w:left="2320" w:hanging="400"/>
      </w:pPr>
      <w:rPr>
        <w:rFonts w:ascii="Wingdings" w:hAnsi="Wingdings" w:cs="Wingdings"/>
      </w:rPr>
    </w:lvl>
    <w:lvl w:ilvl="4">
      <w:start w:val="1"/>
      <w:numFmt w:val="bullet"/>
      <w:lvlText w:val=""/>
      <w:lvlJc w:val="left"/>
      <w:pPr>
        <w:tabs>
          <w:tab w:val="num" w:pos="0"/>
        </w:tabs>
        <w:ind w:left="2720" w:hanging="400"/>
      </w:pPr>
      <w:rPr>
        <w:rFonts w:ascii="Wingdings" w:hAnsi="Wingdings" w:cs="Wingdings"/>
      </w:rPr>
    </w:lvl>
    <w:lvl w:ilvl="5">
      <w:start w:val="1"/>
      <w:numFmt w:val="bullet"/>
      <w:lvlText w:val=""/>
      <w:lvlJc w:val="left"/>
      <w:pPr>
        <w:tabs>
          <w:tab w:val="num" w:pos="0"/>
        </w:tabs>
        <w:ind w:left="3120" w:hanging="400"/>
      </w:pPr>
      <w:rPr>
        <w:rFonts w:ascii="Wingdings" w:hAnsi="Wingdings" w:cs="Wingdings"/>
      </w:rPr>
    </w:lvl>
    <w:lvl w:ilvl="6">
      <w:start w:val="1"/>
      <w:numFmt w:val="bullet"/>
      <w:lvlText w:val=""/>
      <w:lvlJc w:val="left"/>
      <w:pPr>
        <w:tabs>
          <w:tab w:val="num" w:pos="0"/>
        </w:tabs>
        <w:ind w:left="3520" w:hanging="400"/>
      </w:pPr>
      <w:rPr>
        <w:rFonts w:ascii="Wingdings" w:hAnsi="Wingdings" w:cs="Wingdings"/>
      </w:rPr>
    </w:lvl>
    <w:lvl w:ilvl="7">
      <w:start w:val="1"/>
      <w:numFmt w:val="bullet"/>
      <w:lvlText w:val=""/>
      <w:lvlJc w:val="left"/>
      <w:pPr>
        <w:tabs>
          <w:tab w:val="num" w:pos="0"/>
        </w:tabs>
        <w:ind w:left="3920" w:hanging="400"/>
      </w:pPr>
      <w:rPr>
        <w:rFonts w:ascii="Wingdings" w:hAnsi="Wingdings" w:cs="Wingdings"/>
      </w:rPr>
    </w:lvl>
    <w:lvl w:ilvl="8">
      <w:start w:val="1"/>
      <w:numFmt w:val="bullet"/>
      <w:lvlText w:val=""/>
      <w:lvlJc w:val="left"/>
      <w:pPr>
        <w:tabs>
          <w:tab w:val="num" w:pos="0"/>
        </w:tabs>
        <w:ind w:left="4320" w:hanging="400"/>
      </w:pPr>
      <w:rPr>
        <w:rFonts w:ascii="Wingdings" w:hAnsi="Wingdings" w:cs="Wingdings"/>
      </w:rPr>
    </w:lvl>
  </w:abstractNum>
  <w:abstractNum w:abstractNumId="6" w15:restartNumberingAfterBreak="0">
    <w:nsid w:val="13531B2D"/>
    <w:multiLevelType w:val="hybridMultilevel"/>
    <w:tmpl w:val="7DBE48FC"/>
    <w:lvl w:ilvl="0" w:tplc="470E7226">
      <w:start w:val="1"/>
      <w:numFmt w:val="decimal"/>
      <w:lvlText w:val="[%1]"/>
      <w:lvlJc w:val="left"/>
      <w:pPr>
        <w:ind w:left="720" w:hanging="360"/>
      </w:pPr>
    </w:lvl>
    <w:lvl w:ilvl="1" w:tplc="9A486598">
      <w:start w:val="1"/>
      <w:numFmt w:val="lowerLetter"/>
      <w:lvlText w:val="%2."/>
      <w:lvlJc w:val="left"/>
      <w:pPr>
        <w:ind w:left="1440" w:hanging="360"/>
      </w:pPr>
    </w:lvl>
    <w:lvl w:ilvl="2" w:tplc="D66A2A62">
      <w:start w:val="1"/>
      <w:numFmt w:val="lowerRoman"/>
      <w:lvlText w:val="%3."/>
      <w:lvlJc w:val="right"/>
      <w:pPr>
        <w:ind w:left="2160" w:hanging="180"/>
      </w:pPr>
    </w:lvl>
    <w:lvl w:ilvl="3" w:tplc="64B63B14">
      <w:start w:val="1"/>
      <w:numFmt w:val="decimal"/>
      <w:lvlText w:val="%4."/>
      <w:lvlJc w:val="left"/>
      <w:pPr>
        <w:ind w:left="2880" w:hanging="360"/>
      </w:pPr>
    </w:lvl>
    <w:lvl w:ilvl="4" w:tplc="C3F0468C">
      <w:start w:val="1"/>
      <w:numFmt w:val="lowerLetter"/>
      <w:lvlText w:val="%5."/>
      <w:lvlJc w:val="left"/>
      <w:pPr>
        <w:ind w:left="3600" w:hanging="360"/>
      </w:pPr>
    </w:lvl>
    <w:lvl w:ilvl="5" w:tplc="CEECC928">
      <w:start w:val="1"/>
      <w:numFmt w:val="lowerRoman"/>
      <w:lvlText w:val="%6."/>
      <w:lvlJc w:val="right"/>
      <w:pPr>
        <w:ind w:left="4320" w:hanging="180"/>
      </w:pPr>
    </w:lvl>
    <w:lvl w:ilvl="6" w:tplc="B31606AA">
      <w:start w:val="1"/>
      <w:numFmt w:val="decimal"/>
      <w:lvlText w:val="%7."/>
      <w:lvlJc w:val="left"/>
      <w:pPr>
        <w:ind w:left="5040" w:hanging="360"/>
      </w:pPr>
    </w:lvl>
    <w:lvl w:ilvl="7" w:tplc="EE561154">
      <w:start w:val="1"/>
      <w:numFmt w:val="lowerLetter"/>
      <w:lvlText w:val="%8."/>
      <w:lvlJc w:val="left"/>
      <w:pPr>
        <w:ind w:left="5760" w:hanging="360"/>
      </w:pPr>
    </w:lvl>
    <w:lvl w:ilvl="8" w:tplc="4B4ACF8A">
      <w:start w:val="1"/>
      <w:numFmt w:val="lowerRoman"/>
      <w:lvlText w:val="%9."/>
      <w:lvlJc w:val="right"/>
      <w:pPr>
        <w:ind w:left="6480" w:hanging="180"/>
      </w:pPr>
    </w:lvl>
  </w:abstractNum>
  <w:num w:numId="1" w16cid:durableId="1034235411">
    <w:abstractNumId w:val="6"/>
  </w:num>
  <w:num w:numId="2" w16cid:durableId="987585824">
    <w:abstractNumId w:val="0"/>
  </w:num>
  <w:num w:numId="3" w16cid:durableId="1413697806">
    <w:abstractNumId w:val="1"/>
  </w:num>
  <w:num w:numId="4" w16cid:durableId="1219513420">
    <w:abstractNumId w:val="2"/>
  </w:num>
  <w:num w:numId="5" w16cid:durableId="882789100">
    <w:abstractNumId w:val="3"/>
  </w:num>
  <w:num w:numId="6" w16cid:durableId="262417162">
    <w:abstractNumId w:val="4"/>
  </w:num>
  <w:num w:numId="7" w16cid:durableId="1528759906">
    <w:abstractNumId w:val="5"/>
  </w:num>
  <w:num w:numId="8" w16cid:durableId="1229730449">
    <w:abstractNumId w:val="0"/>
  </w:num>
  <w:num w:numId="9" w16cid:durableId="56757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52"/>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ACE"/>
    <w:rsid w:val="002F1E51"/>
    <w:rsid w:val="004F1ACE"/>
    <w:rsid w:val="005E1BE1"/>
    <w:rsid w:val="008A1247"/>
    <w:rsid w:val="37541D6F"/>
    <w:rsid w:val="4CF33B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62B517"/>
  <w15:chartTrackingRefBased/>
  <w15:docId w15:val="{7D3A4F65-7C36-49E9-96D1-B47D684A6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snapToGrid w:val="0"/>
      <w:spacing w:after="120"/>
      <w:jc w:val="both"/>
    </w:pPr>
    <w:rPr>
      <w:rFonts w:eastAsia="SimSun"/>
      <w:sz w:val="22"/>
      <w:szCs w:val="22"/>
      <w:lang w:eastAsia="zh-CN"/>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i w:val="0"/>
      <w:lang w:val="en-US"/>
    </w:rPr>
  </w:style>
  <w:style w:type="character" w:customStyle="1" w:styleId="WW8Num1z1">
    <w:name w:val="WW8Num1z1"/>
    <w:rPr>
      <w:rFonts w:ascii="Times New Roman" w:hAnsi="Times New Roman" w:cs="Times New Roman"/>
      <w:b/>
      <w:i w:val="0"/>
      <w:sz w:val="24"/>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sz w:val="20"/>
      <w:szCs w:val="16"/>
      <w:lang w:val="en-GB"/>
    </w:rPr>
  </w:style>
  <w:style w:type="character" w:customStyle="1" w:styleId="WW8Num3z0">
    <w:name w:val="WW8Num3z0"/>
    <w:rPr>
      <w:rFonts w:ascii="Arial" w:eastAsia="Malgun Gothic" w:hAnsi="Arial" w:cs="Arial"/>
      <w:lang w:eastAsia="ko-KR"/>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eastAsia="Malgun Gothic" w:hAnsi="Arial" w:cs="Arial"/>
      <w:lang w:eastAsia="ko-KR"/>
    </w:rPr>
  </w:style>
  <w:style w:type="character" w:customStyle="1" w:styleId="WW8Num4z1">
    <w:name w:val="WW8Num4z1"/>
    <w:rPr>
      <w:rFonts w:ascii="Wingdings" w:hAnsi="Wingdings" w:cs="Wingdings"/>
    </w:rPr>
  </w:style>
  <w:style w:type="character" w:customStyle="1" w:styleId="WW8Num5z0">
    <w:name w:val="WW8Num5z0"/>
    <w:rPr>
      <w:rFonts w:ascii="Times New Roman" w:eastAsia="Malgun Gothic" w:hAnsi="Times New Roman" w:cs="Times New Roman"/>
      <w:b/>
      <w:lang w:eastAsia="ko-KR"/>
    </w:rPr>
  </w:style>
  <w:style w:type="character" w:customStyle="1" w:styleId="WW8Num5z1">
    <w:name w:val="WW8Num5z1"/>
    <w:rPr>
      <w:rFonts w:ascii="Wingdings" w:eastAsia="Malgun Gothic" w:hAnsi="Wingdings" w:cs="Wingdings"/>
      <w:lang w:eastAsia="ko-KR"/>
    </w:rPr>
  </w:style>
  <w:style w:type="character" w:customStyle="1" w:styleId="WW8Num6z0">
    <w:name w:val="WW8Num6z0"/>
    <w:rPr>
      <w:rFonts w:ascii="Times New Roman" w:eastAsia="Malgun Gothic" w:hAnsi="Times New Roman" w:cs="Times New Roman"/>
      <w:b/>
      <w:lang w:eastAsia="ko-KR"/>
    </w:rPr>
  </w:style>
  <w:style w:type="character" w:customStyle="1" w:styleId="WW8Num6z1">
    <w:name w:val="WW8Num6z1"/>
    <w:rPr>
      <w:rFonts w:ascii="Wingdings" w:hAnsi="Wingdings" w:cs="Wingdings"/>
    </w:rPr>
  </w:style>
  <w:style w:type="character" w:customStyle="1" w:styleId="DefaultParagraphFont0">
    <w:name w:val="Default Paragraph Font0"/>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7z0">
    <w:name w:val="WW8Num7z0"/>
    <w:rPr>
      <w:rFonts w:ascii="Times New Roman" w:eastAsia="Malgun Gothic" w:hAnsi="Times New Roman" w:cs="Times New Roman"/>
      <w:b/>
      <w:lang w:eastAsia="ko-KR"/>
    </w:rPr>
  </w:style>
  <w:style w:type="character" w:customStyle="1" w:styleId="WW8Num7z1">
    <w:name w:val="WW8Num7z1"/>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color w:val="000000"/>
      <w:szCs w:val="21"/>
      <w:lang w:eastAsia="zh-CN"/>
    </w:rPr>
  </w:style>
  <w:style w:type="character" w:customStyle="1" w:styleId="WW8Num10z1">
    <w:name w:val="WW8Num10z1"/>
    <w:rPr>
      <w:rFonts w:ascii="Courier New" w:hAnsi="Courier New" w:cs="Courier New" w:hint="default"/>
      <w:color w:val="000000"/>
      <w:szCs w:val="21"/>
      <w:lang w:eastAsia="zh-CN"/>
    </w:rPr>
  </w:style>
  <w:style w:type="character" w:customStyle="1" w:styleId="WW8Num10z2">
    <w:name w:val="WW8Num10z2"/>
    <w:rPr>
      <w:rFonts w:ascii="Wingdings" w:hAnsi="Wingdings" w:cs="Wingdings" w:hint="default"/>
    </w:rPr>
  </w:style>
  <w:style w:type="character" w:customStyle="1" w:styleId="WW-DefaultParagraphFont">
    <w:name w:val="WW-Default Paragraph Font"/>
  </w:style>
  <w:style w:type="character" w:customStyle="1" w:styleId="WW8Num5z2">
    <w:name w:val="WW8Num5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eastAsia="Wingdings" w:hAnsi="Symbol" w:cs="Symbol" w:hint="default"/>
    </w:rPr>
  </w:style>
  <w:style w:type="character" w:customStyle="1" w:styleId="WW8Num14z1">
    <w:name w:val="WW8Num14z1"/>
    <w:rPr>
      <w:rFonts w:ascii="Courier New" w:eastAsia="Wingdings" w:hAnsi="Courier New" w:cs="Courier New" w:hint="default"/>
      <w:sz w:val="24"/>
      <w:szCs w:val="24"/>
    </w:rPr>
  </w:style>
  <w:style w:type="character" w:customStyle="1" w:styleId="WW8Num14z2">
    <w:name w:val="WW8Num14z2"/>
    <w:rPr>
      <w:rFonts w:ascii="Wingdings" w:eastAsia="Wingdings" w:hAnsi="Wingdings" w:cs="Wingdings" w:hint="default"/>
    </w:rPr>
  </w:style>
  <w:style w:type="character" w:customStyle="1" w:styleId="WW8Num15z0">
    <w:name w:val="WW8Num15z0"/>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DefaultParagraphFont1">
    <w:name w:val="WW-Default Paragraph Font1"/>
  </w:style>
  <w:style w:type="character" w:customStyle="1" w:styleId="WW8Num2z1">
    <w:name w:val="WW8Num2z1"/>
    <w:rPr>
      <w:rFonts w:ascii="Wingdings" w:hAnsi="Wingdings" w:cs="Wingdings"/>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a">
    <w:name w:val="默认段落字体"/>
  </w:style>
  <w:style w:type="character" w:customStyle="1" w:styleId="Char">
    <w:name w:val="正文文本 Char"/>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rPr>
      <w:b/>
      <w:bCs/>
      <w:kern w:val="2"/>
      <w:lang w:val="en-GB" w:eastAsia="zh-CN" w:bidi="ar-SA"/>
    </w:rPr>
  </w:style>
  <w:style w:type="character" w:customStyle="1" w:styleId="1">
    <w:name w:val="已访问的超链接1"/>
    <w:rPr>
      <w:color w:val="800080"/>
      <w:kern w:val="2"/>
      <w:u w:val="single"/>
      <w:lang w:val="en-GB" w:eastAsia="zh-CN" w:bidi="ar-SA"/>
    </w:rPr>
  </w:style>
  <w:style w:type="character" w:customStyle="1" w:styleId="FootnoteCharacters">
    <w:name w:val="Footnote Characters"/>
    <w:rPr>
      <w:kern w:val="2"/>
      <w:vertAlign w:val="superscript"/>
      <w:lang w:val="en-GB" w:eastAsia="zh-CN" w:bidi="ar-SA"/>
    </w:rPr>
  </w:style>
  <w:style w:type="character" w:customStyle="1" w:styleId="Char1">
    <w:name w:val="页眉 Char"/>
    <w:rPr>
      <w:kern w:val="2"/>
      <w:sz w:val="22"/>
      <w:szCs w:val="22"/>
      <w:lang w:val="en-GB" w:eastAsia="zh-CN" w:bidi="ar-SA"/>
    </w:rPr>
  </w:style>
  <w:style w:type="character" w:customStyle="1" w:styleId="Char2">
    <w:name w:val="页脚 Char"/>
    <w:rPr>
      <w:kern w:val="2"/>
      <w:sz w:val="22"/>
      <w:szCs w:val="22"/>
      <w:lang w:val="en-GB" w:eastAsia="zh-CN" w:bidi="ar-SA"/>
    </w:rPr>
  </w:style>
  <w:style w:type="character" w:customStyle="1" w:styleId="Char3">
    <w:name w:val="文档结构图 Char"/>
    <w:rPr>
      <w:rFonts w:ascii="SimSun" w:hAnsi="SimSun" w:cs="SimSun"/>
      <w:kern w:val="2"/>
      <w:sz w:val="18"/>
      <w:szCs w:val="18"/>
      <w:lang w:val="en-GB" w:bidi="ar-SA"/>
    </w:rPr>
  </w:style>
  <w:style w:type="character" w:customStyle="1" w:styleId="maintextChar">
    <w:name w:val="main text Char"/>
    <w:rPr>
      <w:rFonts w:eastAsia="Malgun Gothic" w:cs="Batang"/>
      <w:lang w:val="en-GB" w:eastAsia="ko-KR"/>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a0">
    <w:name w:val="批注引用"/>
    <w:rPr>
      <w:kern w:val="2"/>
      <w:sz w:val="21"/>
      <w:szCs w:val="21"/>
      <w:lang w:val="en-GB" w:eastAsia="zh-CN" w:bidi="ar-SA"/>
    </w:rPr>
  </w:style>
  <w:style w:type="character" w:customStyle="1" w:styleId="Char4">
    <w:name w:val="批注文字 Char"/>
    <w:rPr>
      <w:kern w:val="2"/>
      <w:sz w:val="22"/>
      <w:szCs w:val="22"/>
      <w:lang w:val="en-GB" w:bidi="ar-SA"/>
    </w:rPr>
  </w:style>
  <w:style w:type="character" w:customStyle="1" w:styleId="Char5">
    <w:name w:val="批注主题 Char"/>
    <w:rPr>
      <w:b/>
      <w:bCs/>
      <w:kern w:val="2"/>
      <w:sz w:val="22"/>
      <w:szCs w:val="22"/>
      <w:lang w:val="en-GB" w:bidi="ar-SA"/>
    </w:rPr>
  </w:style>
  <w:style w:type="character" w:styleId="CommentReference">
    <w:name w:val="annotation reference"/>
    <w:rPr>
      <w:sz w:val="16"/>
      <w:szCs w:val="16"/>
    </w:rPr>
  </w:style>
  <w:style w:type="character" w:customStyle="1" w:styleId="CommentTextChar">
    <w:name w:val="Comment Text Char"/>
    <w:rPr>
      <w:rFonts w:eastAsia="SimSun"/>
      <w:lang w:eastAsia="zh-CN"/>
    </w:rPr>
  </w:style>
  <w:style w:type="character" w:customStyle="1" w:styleId="CommentSubjectChar">
    <w:name w:val="Comment Subject Char"/>
    <w:rPr>
      <w:rFonts w:eastAsia="SimSun"/>
      <w:b/>
      <w:bCs/>
      <w:lang w:eastAsia="zh-CN"/>
    </w:rPr>
  </w:style>
  <w:style w:type="character" w:customStyle="1" w:styleId="ListLabel35">
    <w:name w:val="ListLabel 35"/>
    <w:rPr>
      <w:rFonts w:eastAsia="Malgun Gothic" w:cs="Times New Roman"/>
      <w:b/>
    </w:rPr>
  </w:style>
  <w:style w:type="character" w:customStyle="1" w:styleId="ListLabel36">
    <w:name w:val="ListLabel 36"/>
    <w:rPr>
      <w:rFonts w:eastAsia="Malgun Gothic" w:cs="Times New Roman"/>
      <w:b/>
    </w:rPr>
  </w:style>
  <w:style w:type="character" w:customStyle="1" w:styleId="NumberingSymbols">
    <w:name w:val="Numbering Symbols"/>
  </w:style>
  <w:style w:type="character" w:customStyle="1" w:styleId="WW8Num109z0">
    <w:name w:val="WW8Num109z0"/>
    <w:rPr>
      <w:rFonts w:ascii="Symbol" w:hAnsi="Symbol" w:cs="Symbol" w:hint="default"/>
      <w:color w:val="000000"/>
      <w:szCs w:val="21"/>
      <w:lang w:eastAsia="zh-CN"/>
    </w:rPr>
  </w:style>
  <w:style w:type="character" w:customStyle="1" w:styleId="WW8Num109z1">
    <w:name w:val="WW8Num109z1"/>
    <w:rPr>
      <w:rFonts w:ascii="Courier New" w:hAnsi="Courier New" w:cs="Courier New" w:hint="default"/>
      <w:color w:val="000000"/>
      <w:szCs w:val="21"/>
      <w:lang w:eastAsia="zh-CN"/>
    </w:rPr>
  </w:style>
  <w:style w:type="character" w:customStyle="1" w:styleId="WW8Num109z2">
    <w:name w:val="WW8Num109z2"/>
    <w:rPr>
      <w:rFonts w:ascii="Wingdings" w:hAnsi="Wingdings" w:cs="Wingdings" w:hint="default"/>
    </w:rPr>
  </w:style>
  <w:style w:type="paragraph" w:customStyle="1" w:styleId="Heading">
    <w:name w:val="Heading"/>
    <w:basedOn w:val="Normal"/>
    <w:next w:val="BodyTex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customStyle="1" w:styleId="a1">
    <w:name w:val="题注"/>
    <w:basedOn w:val="Normal"/>
    <w:next w:val="Normal"/>
    <w:pPr>
      <w:jc w:val="center"/>
    </w:pPr>
    <w:rPr>
      <w:b/>
      <w:bCs/>
      <w:kern w:val="2"/>
      <w:sz w:val="20"/>
      <w:szCs w:val="20"/>
      <w:lang w:val="en-GB"/>
    </w:rPr>
  </w:style>
  <w:style w:type="paragraph" w:customStyle="1" w:styleId="a2">
    <w:name w:val="列表项目符号"/>
    <w:basedOn w:val="List"/>
    <w:pPr>
      <w:autoSpaceDE/>
      <w:spacing w:after="180"/>
      <w:ind w:left="568" w:hanging="284"/>
      <w:jc w:val="left"/>
    </w:pPr>
    <w:rPr>
      <w:sz w:val="20"/>
      <w:szCs w:val="20"/>
      <w:lang w:val="en-GB"/>
    </w:rPr>
  </w:style>
  <w:style w:type="paragraph" w:customStyle="1" w:styleId="2">
    <w:name w:val="正文文本 2"/>
    <w:basedOn w:val="Normal"/>
    <w:pPr>
      <w:spacing w:after="0"/>
      <w:jc w:val="left"/>
    </w:pPr>
    <w:rPr>
      <w:szCs w:val="20"/>
    </w:rPr>
  </w:style>
  <w:style w:type="paragraph" w:customStyle="1" w:styleId="a3">
    <w:name w:val="批注框文本"/>
    <w:basedOn w:val="Normal"/>
    <w:rPr>
      <w:rFonts w:ascii="Tahoma" w:hAnsi="Tahoma" w:cs="Tahoma"/>
      <w:sz w:val="16"/>
      <w:szCs w:val="16"/>
    </w:rPr>
  </w:style>
  <w:style w:type="paragraph" w:customStyle="1" w:styleId="References">
    <w:name w:val="References"/>
    <w:basedOn w:val="Normal"/>
    <w:pPr>
      <w:numPr>
        <w:numId w:val="3"/>
      </w:num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pPr>
      <w:keepNext/>
      <w:jc w:val="center"/>
    </w:pPr>
  </w:style>
  <w:style w:type="paragraph" w:customStyle="1" w:styleId="Eqn">
    <w:name w:val="Eqn"/>
    <w:basedOn w:val="Normal"/>
    <w:rPr>
      <w:lang w:eastAsia="ja-JP"/>
    </w:rPr>
  </w:style>
  <w:style w:type="paragraph" w:customStyle="1" w:styleId="tablecell">
    <w:name w:val="tablecell"/>
    <w:basedOn w:val="Normal"/>
    <w:pPr>
      <w:spacing w:before="20" w:after="20"/>
      <w:jc w:val="left"/>
    </w:pPr>
  </w:style>
  <w:style w:type="paragraph" w:customStyle="1" w:styleId="HeaderandFooter">
    <w:name w:val="Header and Footer"/>
    <w:basedOn w:val="Normal"/>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pPr>
      <w:jc w:val="center"/>
    </w:pPr>
    <w:rPr>
      <w:b/>
    </w:rPr>
  </w:style>
  <w:style w:type="paragraph" w:customStyle="1" w:styleId="a4">
    <w:name w:val="文档结构图"/>
    <w:basedOn w:val="Normal"/>
    <w:rPr>
      <w:rFonts w:ascii="SimSun" w:hAnsi="SimSun" w:cs="SimSun"/>
      <w:kern w:val="2"/>
      <w:sz w:val="18"/>
      <w:szCs w:val="18"/>
      <w:lang w:val="en-GB"/>
    </w:rPr>
  </w:style>
  <w:style w:type="paragraph" w:customStyle="1" w:styleId="maintext">
    <w:name w:val="main text"/>
    <w:basedOn w:val="Normal"/>
    <w:pPr>
      <w:autoSpaceDE/>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pPr>
      <w:autoSpaceDE/>
      <w:snapToGrid/>
      <w:spacing w:after="180" w:line="336" w:lineRule="auto"/>
      <w:ind w:firstLine="200"/>
    </w:pPr>
    <w:rPr>
      <w:rFonts w:eastAsia="Malgun Gothic"/>
      <w:sz w:val="20"/>
      <w:szCs w:val="20"/>
      <w:lang w:val="en-GB"/>
    </w:rPr>
  </w:style>
  <w:style w:type="paragraph" w:customStyle="1" w:styleId="a5">
    <w:name w:val="批注文字"/>
    <w:basedOn w:val="Normal"/>
    <w:pPr>
      <w:jc w:val="left"/>
    </w:pPr>
    <w:rPr>
      <w:kern w:val="2"/>
      <w:lang w:val="en-GB"/>
    </w:rPr>
  </w:style>
  <w:style w:type="paragraph" w:customStyle="1" w:styleId="a6">
    <w:name w:val="批注主题"/>
    <w:basedOn w:val="a5"/>
    <w:next w:val="a5"/>
    <w:rPr>
      <w:b/>
      <w:bCs/>
    </w:rPr>
  </w:style>
  <w:style w:type="paragraph" w:customStyle="1" w:styleId="a7">
    <w:name w:val="列出段落"/>
    <w:basedOn w:val="Normal"/>
    <w:pPr>
      <w:ind w:left="720"/>
      <w:contextualSpacing/>
    </w:p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pPr>
      <w:widowControl w:val="0"/>
      <w:tabs>
        <w:tab w:val="left" w:pos="1701"/>
        <w:tab w:val="right" w:pos="9072"/>
        <w:tab w:val="right" w:pos="10206"/>
      </w:tabs>
    </w:pPr>
    <w:rPr>
      <w:rFonts w:ascii="Arial" w:hAnsi="Arial" w:cs="Arial"/>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2017</Words>
  <Characters>11500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Deepak P M</cp:lastModifiedBy>
  <cp:revision>4</cp:revision>
  <cp:lastPrinted>2007-06-19T00:08:00Z</cp:lastPrinted>
  <dcterms:created xsi:type="dcterms:W3CDTF">2022-04-26T05:36:00Z</dcterms:created>
  <dcterms:modified xsi:type="dcterms:W3CDTF">2022-04-29T09:31:00Z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3"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4" name="_2015_ms_pID_7253431_00">
    <vt:lpwstr>_2015_ms_pID_7253431</vt:lpwstr>
  </property>
  <property fmtid="{D5CDD505-2E9C-101B-9397-08002B2CF9AE}" pid="5" name="_2015_ms_pID_7253432">
    <vt:lpwstr>9qLhyHC9obdVHv8/RLoYiwEXWdzr8N8/jd2r_x000d_
Z4zgO54Jul26UUC1NNoYDAts+rdWXA==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sflag">
    <vt:lpwstr>1510973513</vt:lpwstr>
  </property>
</Properties>
</file>