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37015F5" w14:textId="77777777" w:rsidR="00F65B25" w:rsidRDefault="00C80537" w:rsidP="463FD2D0">
      <w:pPr>
        <w:tabs>
          <w:tab w:val="right" w:pos="9216"/>
        </w:tabs>
        <w:spacing w:after="0"/>
        <w:jc w:val="left"/>
        <w:rPr>
          <w:b/>
          <w:bCs/>
        </w:rPr>
      </w:pPr>
      <w:r w:rsidRPr="463FD2D0">
        <w:rPr>
          <w:b/>
          <w:bCs/>
          <w:kern w:val="2"/>
        </w:rPr>
        <w:t>3GPP TSG RAN WG1 Meeting #109-e</w:t>
      </w:r>
      <w:r>
        <w:rPr>
          <w:b/>
          <w:kern w:val="2"/>
        </w:rPr>
        <w:tab/>
      </w:r>
      <w:r w:rsidRPr="463FD2D0">
        <w:rPr>
          <w:b/>
          <w:bCs/>
          <w:kern w:val="2"/>
        </w:rPr>
        <w:t>R1-2204751</w:t>
      </w:r>
    </w:p>
    <w:p w14:paraId="2E074A6C" w14:textId="77777777" w:rsidR="00F65B25" w:rsidRDefault="00C80537">
      <w:pPr>
        <w:jc w:val="left"/>
      </w:pPr>
      <w:r>
        <w:rPr>
          <w:b/>
          <w:kern w:val="2"/>
        </w:rPr>
        <w:t>May 9</w:t>
      </w:r>
      <w:r>
        <w:rPr>
          <w:b/>
          <w:kern w:val="2"/>
          <w:vertAlign w:val="superscript"/>
        </w:rPr>
        <w:t>th</w:t>
      </w:r>
      <w:r>
        <w:rPr>
          <w:b/>
          <w:kern w:val="2"/>
        </w:rPr>
        <w:t xml:space="preserve"> – May 20</w:t>
      </w:r>
      <w:r>
        <w:rPr>
          <w:b/>
          <w:kern w:val="2"/>
          <w:vertAlign w:val="superscript"/>
        </w:rPr>
        <w:t>th</w:t>
      </w:r>
      <w:r>
        <w:rPr>
          <w:b/>
          <w:kern w:val="2"/>
        </w:rPr>
        <w:t>, 2022</w:t>
      </w:r>
    </w:p>
    <w:p w14:paraId="68BED2CB" w14:textId="77777777" w:rsidR="00F65B25" w:rsidRDefault="00F65B25">
      <w:pPr>
        <w:pBdr>
          <w:top w:val="single" w:sz="4" w:space="1" w:color="000000"/>
          <w:left w:val="none" w:sz="0" w:space="0" w:color="000000"/>
          <w:bottom w:val="none" w:sz="0" w:space="0" w:color="000000"/>
          <w:right w:val="none" w:sz="0" w:space="0" w:color="000000"/>
        </w:pBdr>
        <w:spacing w:after="0"/>
        <w:jc w:val="left"/>
        <w:rPr>
          <w:b/>
          <w:kern w:val="2"/>
          <w:sz w:val="16"/>
          <w:szCs w:val="16"/>
        </w:rPr>
      </w:pPr>
    </w:p>
    <w:p w14:paraId="7BA9B379" w14:textId="77777777" w:rsidR="00F65B25" w:rsidRDefault="00C80537">
      <w:pPr>
        <w:spacing w:after="60"/>
        <w:ind w:left="1555" w:hanging="1555"/>
        <w:jc w:val="left"/>
      </w:pPr>
      <w:r>
        <w:rPr>
          <w:b/>
          <w:kern w:val="2"/>
        </w:rPr>
        <w:t>Agenda Item:</w:t>
      </w:r>
      <w:r>
        <w:rPr>
          <w:b/>
          <w:kern w:val="2"/>
        </w:rPr>
        <w:tab/>
        <w:t>9.3.2</w:t>
      </w:r>
    </w:p>
    <w:p w14:paraId="38572138" w14:textId="08731A2A" w:rsidR="00F65B25" w:rsidRDefault="00C80537">
      <w:pPr>
        <w:spacing w:after="60"/>
        <w:ind w:left="1555" w:hanging="1555"/>
        <w:jc w:val="left"/>
      </w:pPr>
      <w:r>
        <w:rPr>
          <w:b/>
          <w:kern w:val="2"/>
        </w:rPr>
        <w:t>Source:</w:t>
      </w:r>
      <w:r>
        <w:rPr>
          <w:b/>
          <w:kern w:val="2"/>
        </w:rPr>
        <w:tab/>
        <w:t>CEWiT</w:t>
      </w:r>
      <w:r w:rsidR="00991B61">
        <w:rPr>
          <w:b/>
          <w:kern w:val="2"/>
        </w:rPr>
        <w:t>, IIT-K, IIT-M, Reliance Jio, Saankhya Labs</w:t>
      </w:r>
    </w:p>
    <w:p w14:paraId="01A2295B" w14:textId="77777777" w:rsidR="00F65B25" w:rsidRDefault="00C80537">
      <w:pPr>
        <w:spacing w:after="60"/>
        <w:ind w:left="1555" w:hanging="1555"/>
        <w:jc w:val="left"/>
      </w:pPr>
      <w:r w:rsidRPr="463FD2D0">
        <w:rPr>
          <w:b/>
          <w:bCs/>
          <w:kern w:val="2"/>
        </w:rPr>
        <w:t>Title:</w:t>
      </w:r>
      <w:r>
        <w:rPr>
          <w:b/>
          <w:kern w:val="2"/>
        </w:rPr>
        <w:tab/>
      </w:r>
      <w:r w:rsidRPr="463FD2D0">
        <w:rPr>
          <w:b/>
          <w:bCs/>
          <w:kern w:val="2"/>
        </w:rPr>
        <w:t>Discussion on s</w:t>
      </w:r>
      <w:r w:rsidRPr="463FD2D0">
        <w:rPr>
          <w:rFonts w:eastAsia="Malgun Gothic"/>
          <w:b/>
          <w:bCs/>
          <w:kern w:val="2"/>
          <w:lang w:eastAsia="ko-KR"/>
        </w:rPr>
        <w:t>ubband non-overlapping full duplex</w:t>
      </w:r>
    </w:p>
    <w:p w14:paraId="45192A87" w14:textId="77777777" w:rsidR="00F65B25" w:rsidRDefault="00C80537">
      <w:pPr>
        <w:spacing w:after="60"/>
        <w:ind w:left="1555" w:hanging="1555"/>
        <w:jc w:val="left"/>
      </w:pPr>
      <w:r>
        <w:rPr>
          <w:b/>
          <w:kern w:val="2"/>
        </w:rPr>
        <w:t>Document for:</w:t>
      </w:r>
      <w:r>
        <w:rPr>
          <w:b/>
          <w:kern w:val="2"/>
        </w:rPr>
        <w:tab/>
        <w:t xml:space="preserve">Discussion </w:t>
      </w:r>
    </w:p>
    <w:p w14:paraId="718145CC" w14:textId="77777777" w:rsidR="00F65B25" w:rsidRDefault="00F65B25">
      <w:pPr>
        <w:pBdr>
          <w:top w:val="none" w:sz="0" w:space="0" w:color="000000"/>
          <w:left w:val="none" w:sz="0" w:space="0" w:color="000000"/>
          <w:bottom w:val="single" w:sz="4" w:space="1" w:color="000000"/>
          <w:right w:val="none" w:sz="0" w:space="0" w:color="000000"/>
        </w:pBdr>
        <w:spacing w:after="0"/>
        <w:jc w:val="left"/>
        <w:rPr>
          <w:b/>
          <w:kern w:val="2"/>
          <w:sz w:val="16"/>
          <w:szCs w:val="16"/>
        </w:rPr>
      </w:pPr>
    </w:p>
    <w:p w14:paraId="075F96BA" w14:textId="77777777" w:rsidR="00F65B25" w:rsidRDefault="00C80537">
      <w:pPr>
        <w:pStyle w:val="Heading1"/>
      </w:pPr>
      <w:bookmarkStart w:id="0" w:name="_Ref129681862"/>
      <w:bookmarkStart w:id="1" w:name="_Ref124589705"/>
      <w:r>
        <w:t>Introduction</w:t>
      </w:r>
      <w:bookmarkEnd w:id="0"/>
      <w:bookmarkEnd w:id="1"/>
    </w:p>
    <w:p w14:paraId="79261B88" w14:textId="77777777" w:rsidR="00F65B25" w:rsidRDefault="463FD2D0">
      <w:r>
        <w:t>A new study item on “Study on evolution of NR duplex operation” was approved in RAN#94-e [1] with following objectives:</w:t>
      </w:r>
    </w:p>
    <w:p w14:paraId="45FB38ED" w14:textId="77777777" w:rsidR="00F65B25" w:rsidRDefault="00C80537">
      <w:pPr>
        <w:ind w:right="-99"/>
      </w:pPr>
      <w:r>
        <w:rPr>
          <w:i/>
          <w:iCs/>
        </w:rPr>
        <w:t>The objective of this study is to identify and evaluate the potential enhancements to support duplex evolution for NR TDD in unpaired spectrum.</w:t>
      </w:r>
    </w:p>
    <w:p w14:paraId="5BE28CF6" w14:textId="77777777" w:rsidR="00F65B25" w:rsidRDefault="00C80537">
      <w:pPr>
        <w:ind w:right="-99"/>
      </w:pPr>
      <w:r>
        <w:rPr>
          <w:bCs/>
          <w:i/>
          <w:iCs/>
          <w:lang w:eastAsia="ko-KR"/>
        </w:rPr>
        <w:t>In this study, the followings are assumed:</w:t>
      </w:r>
    </w:p>
    <w:p w14:paraId="1D46A8F0" w14:textId="77777777" w:rsidR="00F65B25" w:rsidRDefault="463FD2D0">
      <w:pPr>
        <w:numPr>
          <w:ilvl w:val="0"/>
          <w:numId w:val="4"/>
        </w:numPr>
      </w:pPr>
      <w:r w:rsidRPr="463FD2D0">
        <w:rPr>
          <w:rFonts w:eastAsia="Malgun Gothic"/>
          <w:i/>
          <w:iCs/>
          <w:lang w:eastAsia="ko-KR"/>
        </w:rPr>
        <w:t>Duplex enhancement at the gNB side</w:t>
      </w:r>
    </w:p>
    <w:p w14:paraId="3ACBC46C" w14:textId="77777777" w:rsidR="00F65B25" w:rsidRDefault="00C80537">
      <w:pPr>
        <w:numPr>
          <w:ilvl w:val="0"/>
          <w:numId w:val="4"/>
        </w:numPr>
      </w:pPr>
      <w:r>
        <w:rPr>
          <w:rFonts w:eastAsia="Malgun Gothic"/>
          <w:bCs/>
          <w:i/>
          <w:iCs/>
          <w:lang w:eastAsia="ko-KR"/>
        </w:rPr>
        <w:t>Half duplex operation at the UE side</w:t>
      </w:r>
    </w:p>
    <w:p w14:paraId="363B36C8" w14:textId="77777777" w:rsidR="00F65B25" w:rsidRDefault="00C80537">
      <w:pPr>
        <w:numPr>
          <w:ilvl w:val="0"/>
          <w:numId w:val="4"/>
        </w:numPr>
      </w:pPr>
      <w:r>
        <w:rPr>
          <w:rFonts w:eastAsia="Malgun Gothic"/>
          <w:bCs/>
          <w:i/>
          <w:iCs/>
          <w:lang w:eastAsia="ko-KR"/>
        </w:rPr>
        <w:t>No restriction on frequency ranges</w:t>
      </w:r>
    </w:p>
    <w:p w14:paraId="6780C8F9" w14:textId="77777777" w:rsidR="00F65B25" w:rsidRDefault="00C80537">
      <w:pPr>
        <w:ind w:right="-99"/>
      </w:pPr>
      <w:r>
        <w:rPr>
          <w:bCs/>
          <w:i/>
          <w:iCs/>
          <w:lang w:eastAsia="ko-KR"/>
        </w:rPr>
        <w:t>The detailed objectives are as follows:</w:t>
      </w:r>
    </w:p>
    <w:p w14:paraId="52AAF3F0" w14:textId="77777777" w:rsidR="00F65B25" w:rsidRDefault="00C80537">
      <w:pPr>
        <w:numPr>
          <w:ilvl w:val="0"/>
          <w:numId w:val="5"/>
        </w:numPr>
      </w:pPr>
      <w:r>
        <w:rPr>
          <w:i/>
          <w:iCs/>
        </w:rPr>
        <w:t>Identify applicable and relevant deployment scenarios (RAN1).</w:t>
      </w:r>
    </w:p>
    <w:p w14:paraId="035D2538" w14:textId="77777777" w:rsidR="00F65B25" w:rsidRDefault="463FD2D0">
      <w:pPr>
        <w:numPr>
          <w:ilvl w:val="0"/>
          <w:numId w:val="5"/>
        </w:numPr>
      </w:pPr>
      <w:r w:rsidRPr="463FD2D0">
        <w:rPr>
          <w:i/>
          <w:iCs/>
        </w:rPr>
        <w:t>Develop evaluation methodology for duplex enhancement (RAN1).</w:t>
      </w:r>
    </w:p>
    <w:p w14:paraId="27697F75" w14:textId="77777777" w:rsidR="00F65B25" w:rsidRDefault="463FD2D0">
      <w:pPr>
        <w:numPr>
          <w:ilvl w:val="0"/>
          <w:numId w:val="5"/>
        </w:numPr>
      </w:pPr>
      <w:r w:rsidRPr="463FD2D0">
        <w:rPr>
          <w:rFonts w:eastAsia="Malgun Gothic"/>
          <w:i/>
          <w:iCs/>
          <w:lang w:eastAsia="ko-KR"/>
        </w:rPr>
        <w:t xml:space="preserve">Study the subband non-overlapping full duplex and </w:t>
      </w:r>
      <w:bookmarkStart w:id="2" w:name="_Hlk89796625"/>
      <w:r w:rsidRPr="463FD2D0">
        <w:rPr>
          <w:rFonts w:eastAsia="Malgun Gothic"/>
          <w:i/>
          <w:iCs/>
          <w:lang w:eastAsia="ko-KR"/>
        </w:rPr>
        <w:t>potential enhancements on dynamic/flexible TDD</w:t>
      </w:r>
      <w:bookmarkEnd w:id="2"/>
      <w:r w:rsidRPr="463FD2D0">
        <w:rPr>
          <w:rFonts w:eastAsia="Malgun Gothic"/>
          <w:i/>
          <w:iCs/>
          <w:lang w:eastAsia="ko-KR"/>
        </w:rPr>
        <w:t xml:space="preserve"> (RAN1, RAN4).</w:t>
      </w:r>
    </w:p>
    <w:p w14:paraId="154B6221" w14:textId="77777777" w:rsidR="00F65B25" w:rsidRDefault="00C80537">
      <w:pPr>
        <w:pStyle w:val="ListParagraph"/>
        <w:numPr>
          <w:ilvl w:val="0"/>
          <w:numId w:val="6"/>
        </w:numPr>
      </w:pPr>
      <w:r>
        <w:rPr>
          <w:rFonts w:eastAsia="Malgun Gothic"/>
          <w:bCs/>
          <w:i/>
          <w:iCs/>
          <w:lang w:eastAsia="ko-KR"/>
        </w:rPr>
        <w:t>Identify possible schemes and evaluate their feasibility and performances (RAN1).</w:t>
      </w:r>
    </w:p>
    <w:p w14:paraId="08004F6D" w14:textId="77777777" w:rsidR="00F65B25" w:rsidRDefault="463FD2D0">
      <w:pPr>
        <w:pStyle w:val="ListParagraph"/>
        <w:numPr>
          <w:ilvl w:val="0"/>
          <w:numId w:val="6"/>
        </w:numPr>
      </w:pPr>
      <w:r w:rsidRPr="463FD2D0">
        <w:rPr>
          <w:rFonts w:eastAsia="Malgun Gothic"/>
          <w:i/>
          <w:iCs/>
          <w:lang w:eastAsia="ko-KR"/>
        </w:rPr>
        <w:t xml:space="preserve">Study inter-gNB and inter-UE CLI handling and identify solutions to manage them (RAN1). </w:t>
      </w:r>
    </w:p>
    <w:p w14:paraId="0EF3CE5C" w14:textId="77777777" w:rsidR="00F65B25" w:rsidRDefault="463FD2D0">
      <w:pPr>
        <w:pStyle w:val="ListParagraph"/>
        <w:numPr>
          <w:ilvl w:val="1"/>
          <w:numId w:val="6"/>
        </w:numPr>
      </w:pPr>
      <w:r w:rsidRPr="463FD2D0">
        <w:rPr>
          <w:rFonts w:eastAsia="Malgun Gothic"/>
          <w:i/>
          <w:iCs/>
          <w:lang w:eastAsia="ko-KR"/>
        </w:rPr>
        <w:t>Consider intra-subband CLI and inter-subband CLI in case of the subband non-overlapping full duplex.</w:t>
      </w:r>
    </w:p>
    <w:p w14:paraId="3A405705" w14:textId="77777777" w:rsidR="00F65B25" w:rsidRDefault="463FD2D0">
      <w:pPr>
        <w:pStyle w:val="ListParagraph"/>
        <w:numPr>
          <w:ilvl w:val="0"/>
          <w:numId w:val="6"/>
        </w:numPr>
      </w:pPr>
      <w:r w:rsidRPr="463FD2D0">
        <w:rPr>
          <w:rFonts w:eastAsia="Malgun Gothic"/>
          <w:i/>
          <w:iCs/>
          <w:lang w:eastAsia="ko-KR"/>
        </w:rPr>
        <w:t>Study the performance of the identified schemes as well as the impact on legacy operation assuming their co-existence in co-channel and adjacent channels (RAN1).</w:t>
      </w:r>
    </w:p>
    <w:p w14:paraId="51572C1D" w14:textId="77777777" w:rsidR="00F65B25" w:rsidRDefault="00C80537">
      <w:pPr>
        <w:pStyle w:val="ListParagraph"/>
        <w:numPr>
          <w:ilvl w:val="0"/>
          <w:numId w:val="6"/>
        </w:numPr>
      </w:pPr>
      <w:r>
        <w:rPr>
          <w:rFonts w:eastAsia="Malgun Gothic"/>
          <w:bCs/>
          <w:i/>
          <w:iCs/>
          <w:lang w:eastAsia="ko-KR"/>
        </w:rPr>
        <w:t>Study the feasibility of and impact on RF requirements considering adjacent-channel co-existence with the legacy operation (RAN4).</w:t>
      </w:r>
    </w:p>
    <w:p w14:paraId="18443173" w14:textId="77777777" w:rsidR="00F65B25" w:rsidRDefault="463FD2D0">
      <w:pPr>
        <w:pStyle w:val="ListParagraph"/>
        <w:numPr>
          <w:ilvl w:val="0"/>
          <w:numId w:val="6"/>
        </w:numPr>
      </w:pPr>
      <w:r w:rsidRPr="463FD2D0">
        <w:rPr>
          <w:rFonts w:eastAsia="Malgun Gothic"/>
          <w:i/>
          <w:iCs/>
          <w:lang w:eastAsia="ko-KR"/>
        </w:rPr>
        <w:t>Study the feasibility of and impact on RF requirements considering the self-interference, the inter-subband CLI, and the inter-operator CLI at gNB and the inter-subband CLI and inter-operator CLI at UE (RAN4).</w:t>
      </w:r>
    </w:p>
    <w:p w14:paraId="0B29C53F" w14:textId="77777777" w:rsidR="00F65B25" w:rsidRDefault="463FD2D0">
      <w:pPr>
        <w:pStyle w:val="ListParagraph"/>
        <w:numPr>
          <w:ilvl w:val="0"/>
          <w:numId w:val="7"/>
        </w:numPr>
      </w:pPr>
      <w:r w:rsidRPr="463FD2D0">
        <w:rPr>
          <w:rFonts w:eastAsia="Malgun Gothic"/>
          <w:i/>
          <w:i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C80CBC4" w14:textId="77777777" w:rsidR="00F65B25" w:rsidRDefault="463FD2D0">
      <w:pPr>
        <w:pStyle w:val="ListParagraph"/>
        <w:numPr>
          <w:ilvl w:val="0"/>
          <w:numId w:val="7"/>
        </w:numPr>
      </w:pPr>
      <w:r w:rsidRPr="463FD2D0">
        <w:rPr>
          <w:i/>
          <w:iCs/>
        </w:rPr>
        <w:t>Summarize the regulatory aspects that have to be considered for deploying the identified duplex enhancements in TDD unpaired spectrum (RAN4).</w:t>
      </w:r>
    </w:p>
    <w:p w14:paraId="5415FBCA" w14:textId="77777777" w:rsidR="00F65B25" w:rsidRDefault="00C80537">
      <w:r>
        <w:rPr>
          <w:rFonts w:eastAsia="Times New Roman"/>
          <w:bCs/>
          <w:i/>
          <w:iCs/>
          <w:lang w:eastAsia="en-US"/>
        </w:rPr>
        <w:t>Note: For potential enhancements on dynamic/flexible TDD, utilize the outcome of discussion in Rel-15 and Rel-16 while avoiding the repetition of the same discussion.</w:t>
      </w:r>
    </w:p>
    <w:p w14:paraId="6A694933" w14:textId="77777777" w:rsidR="00F65B25" w:rsidRDefault="00C80537">
      <w:r w:rsidRPr="463FD2D0">
        <w:rPr>
          <w:rFonts w:eastAsia="Times New Roman"/>
          <w:lang w:eastAsia="en-US"/>
        </w:rPr>
        <w:t xml:space="preserve">This contribution discusses the potential areas of study related to </w:t>
      </w:r>
      <w:r>
        <w:rPr>
          <w:rFonts w:eastAsia="Malgun Gothic"/>
          <w:kern w:val="2"/>
          <w:lang w:eastAsia="ko-KR"/>
        </w:rPr>
        <w:t xml:space="preserve">non-overlapping </w:t>
      </w:r>
      <w:r>
        <w:rPr>
          <w:rFonts w:eastAsia="Times New Roman"/>
          <w:lang w:eastAsia="en-US"/>
        </w:rPr>
        <w:t>s</w:t>
      </w:r>
      <w:r>
        <w:rPr>
          <w:rFonts w:eastAsia="Malgun Gothic"/>
          <w:kern w:val="2"/>
          <w:lang w:eastAsia="ko-KR"/>
        </w:rPr>
        <w:t xml:space="preserve">ubband full duplex (SBFD). </w:t>
      </w:r>
      <w:bookmarkStart w:id="3" w:name="_Ref129681832"/>
    </w:p>
    <w:p w14:paraId="642A1B0B" w14:textId="77777777" w:rsidR="00F65B25" w:rsidRDefault="00C80537">
      <w:pPr>
        <w:pStyle w:val="Heading1"/>
      </w:pPr>
      <w:r>
        <w:lastRenderedPageBreak/>
        <w:t>Implementation of SBFD</w:t>
      </w:r>
    </w:p>
    <w:p w14:paraId="3E5C55F4" w14:textId="4A0553F8" w:rsidR="00F65B25" w:rsidRDefault="463FD2D0">
      <w:r w:rsidRPr="463FD2D0">
        <w:rPr>
          <w:color w:val="000000" w:themeColor="text1"/>
        </w:rPr>
        <w:t xml:space="preserve">A node capable of non-overlapping SBFD, can transmit and receive simultaneously in different sub-bands in frequency domain. Thus, a gNB capable of SBFD can perform DL and UL at the same time but different sub-bands within the same carrier. An example is illustrated in Fig. 1. The gNB receives UL in sub-band 1 in slot 1 and performs DL in sub-band 2 in the same time resources. Instead of slots, the granularity in time can be symbols/ groups of slots/ frames as well.  Generally, according to the conventional definition, sub-bands are defined as groups of RBs/RBGs. However, </w:t>
      </w:r>
      <w:r>
        <w:t>Simultaneous DL and UL operation in SBFD is possible in non-overlapping REs within a carrier.</w:t>
      </w:r>
      <w:r w:rsidRPr="463FD2D0">
        <w:rPr>
          <w:color w:val="000000" w:themeColor="text1"/>
        </w:rPr>
        <w:t xml:space="preserve"> An example is illustrated in Fig. 2 where 2 REs are in DL and rest of the REs in the same time resource are in UL. An advantage of allowing SBFD at an RE level will be accommodating wide-band reference signals (RS) like CSI-RS to spread across the bandwidth while having UL in the rest of the orthogonal REs within the same bandwidth. In both the figures 1 and 2, the SBFD is orthogonal or non-overlapping type. </w:t>
      </w:r>
    </w:p>
    <w:p w14:paraId="775A4D20" w14:textId="3F94DCE7" w:rsidR="00F65B25" w:rsidRDefault="00C80537">
      <w:pPr>
        <w:ind w:firstLine="720"/>
        <w:jc w:val="center"/>
        <w:rPr>
          <w:color w:val="000000"/>
        </w:rPr>
      </w:pPr>
      <w:r>
        <w:rPr>
          <w:noProof/>
        </w:rPr>
        <w:drawing>
          <wp:inline distT="0" distB="0" distL="0" distR="0" wp14:anchorId="7AED782B" wp14:editId="67A85369">
            <wp:extent cx="2746375" cy="1099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l="-70" t="-175" r="-70" b="-175"/>
                    <a:stretch>
                      <a:fillRect/>
                    </a:stretch>
                  </pic:blipFill>
                  <pic:spPr bwMode="auto">
                    <a:xfrm>
                      <a:off x="0" y="0"/>
                      <a:ext cx="2746375" cy="1099820"/>
                    </a:xfrm>
                    <a:prstGeom prst="rect">
                      <a:avLst/>
                    </a:prstGeom>
                    <a:solidFill>
                      <a:srgbClr val="FFFFFF"/>
                    </a:solidFill>
                    <a:ln>
                      <a:noFill/>
                    </a:ln>
                  </pic:spPr>
                </pic:pic>
              </a:graphicData>
            </a:graphic>
          </wp:inline>
        </w:drawing>
      </w:r>
    </w:p>
    <w:p w14:paraId="5E4DBC82" w14:textId="77777777" w:rsidR="00F65B25" w:rsidRDefault="44581A19">
      <w:pPr>
        <w:ind w:firstLine="720"/>
        <w:jc w:val="center"/>
      </w:pPr>
      <w:r w:rsidRPr="44581A19">
        <w:rPr>
          <w:color w:val="000000" w:themeColor="text1"/>
        </w:rPr>
        <w:t>Fig. 1 SBFD in different non-overlapping sub-bands</w:t>
      </w:r>
    </w:p>
    <w:p w14:paraId="6745B90A" w14:textId="093A1A04" w:rsidR="00F65B25" w:rsidRDefault="00C80537" w:rsidP="44581A19">
      <w:pPr>
        <w:ind w:firstLine="720"/>
        <w:jc w:val="center"/>
      </w:pPr>
      <w:r>
        <w:rPr>
          <w:noProof/>
        </w:rPr>
        <w:drawing>
          <wp:inline distT="0" distB="0" distL="0" distR="0" wp14:anchorId="06E53F19" wp14:editId="59499C8C">
            <wp:extent cx="1438275" cy="1985645"/>
            <wp:effectExtent l="0" t="0" r="0" b="0"/>
            <wp:docPr id="6012211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6">
                      <a:extLst>
                        <a:ext uri="{28A0092B-C50C-407E-A947-70E740481C1C}">
                          <a14:useLocalDpi xmlns:a14="http://schemas.microsoft.com/office/drawing/2010/main" val="0"/>
                        </a:ext>
                      </a:extLst>
                    </a:blip>
                    <a:srcRect l="-20" t="-14" r="-20" b="-14"/>
                    <a:stretch>
                      <a:fillRect/>
                    </a:stretch>
                  </pic:blipFill>
                  <pic:spPr bwMode="auto">
                    <a:xfrm>
                      <a:off x="0" y="0"/>
                      <a:ext cx="1438275" cy="1985645"/>
                    </a:xfrm>
                    <a:prstGeom prst="rect">
                      <a:avLst/>
                    </a:prstGeom>
                    <a:solidFill>
                      <a:srgbClr val="FFFFFF"/>
                    </a:solidFill>
                    <a:ln>
                      <a:noFill/>
                    </a:ln>
                  </pic:spPr>
                </pic:pic>
              </a:graphicData>
            </a:graphic>
          </wp:inline>
        </w:drawing>
      </w:r>
    </w:p>
    <w:p w14:paraId="78D8B176" w14:textId="77777777" w:rsidR="00F65B25" w:rsidRDefault="44581A19" w:rsidP="44581A19">
      <w:pPr>
        <w:jc w:val="center"/>
      </w:pPr>
      <w:r w:rsidRPr="44581A19">
        <w:rPr>
          <w:color w:val="000000" w:themeColor="text1"/>
        </w:rPr>
        <w:t>Fig. 2 DL and UL in orthogonal frequency resources but same time resources in terms of individual REs</w:t>
      </w:r>
    </w:p>
    <w:p w14:paraId="6CC5E9E4" w14:textId="7534B71E" w:rsidR="00F65B25" w:rsidRDefault="44581A19" w:rsidP="44581A19">
      <w:pPr>
        <w:ind w:left="90"/>
        <w:rPr>
          <w:b/>
          <w:bCs/>
        </w:rPr>
      </w:pPr>
      <w:r w:rsidRPr="44581A19">
        <w:rPr>
          <w:b/>
          <w:bCs/>
        </w:rPr>
        <w:t xml:space="preserve">Observation 1: Simultaneous DL and UL in SBFD can be made non-overlapping in frequency domain by restricting them to different sub-bands (groups of RBs) within a carrier or non-overlapping REs within a carrier.  </w:t>
      </w:r>
    </w:p>
    <w:p w14:paraId="7FAABA86" w14:textId="546C6555" w:rsidR="00F65B25" w:rsidRDefault="44581A19" w:rsidP="44581A19">
      <w:pPr>
        <w:ind w:left="90"/>
        <w:rPr>
          <w:b/>
          <w:bCs/>
        </w:rPr>
      </w:pPr>
      <w:r w:rsidRPr="44581A19">
        <w:rPr>
          <w:b/>
          <w:bCs/>
        </w:rPr>
        <w:t xml:space="preserve">Proposal 1: Study the time domain granularity of SBFD operation and frequency domain granularity of subband. </w:t>
      </w:r>
    </w:p>
    <w:p w14:paraId="53C299B2" w14:textId="4FAFB1C0" w:rsidR="00F65B25" w:rsidRDefault="44581A19" w:rsidP="44581A19">
      <w:pPr>
        <w:ind w:left="90"/>
      </w:pPr>
      <w:r>
        <w:t xml:space="preserve">Implementing SBFD at the gNB results in inter sub-band interference between UL and DL sub-bands. The amount of interference depends upon the transmit power at the gNB, the guard between the sub-bands, etc. Further, the gNB might be capable of suppressing a certain amount of the interference by active dedicated circuitry or techniques like beamforming. One way to reduce the interference is to have separate panels for DL and UL operations at the gNB. The physical separation between the panel will ensure a minimum level of interference. The major bottleneck of this implementation will be its effect on reciprocity. In NR, many procedures assume reciprocity between DL and UL channels. E.g., the UE uses pathloss measured on DL RS for performing power control in UL. Thus, there is a need to study the impacts of using different panels at the gNB for DL and UL on reciprocity assumption of channels. </w:t>
      </w:r>
    </w:p>
    <w:p w14:paraId="6B8F149B" w14:textId="77777777" w:rsidR="00F65B25" w:rsidRDefault="44581A19" w:rsidP="44581A19">
      <w:pPr>
        <w:ind w:left="90"/>
        <w:rPr>
          <w:b/>
          <w:bCs/>
        </w:rPr>
      </w:pPr>
      <w:r w:rsidRPr="44581A19">
        <w:rPr>
          <w:b/>
          <w:bCs/>
        </w:rPr>
        <w:t>Observation 2: Using different panels at the gNB for DL and UL operation reduces interference but impacts reciprocity assumption between UL and DL channels.</w:t>
      </w:r>
    </w:p>
    <w:p w14:paraId="6B16816E" w14:textId="77777777" w:rsidR="00F65B25" w:rsidRDefault="44581A19" w:rsidP="44581A19">
      <w:pPr>
        <w:ind w:left="90"/>
        <w:rPr>
          <w:b/>
          <w:bCs/>
        </w:rPr>
      </w:pPr>
      <w:r w:rsidRPr="44581A19">
        <w:rPr>
          <w:b/>
          <w:bCs/>
        </w:rPr>
        <w:lastRenderedPageBreak/>
        <w:t>Proposal 2: Study the impacts of using different panels at the gNB for DL and UL operations on reciprocity assumption of channels.</w:t>
      </w:r>
    </w:p>
    <w:p w14:paraId="5970545E" w14:textId="7BEFAFC3" w:rsidR="00F65B25" w:rsidRDefault="44581A19" w:rsidP="44581A19">
      <w:pPr>
        <w:ind w:left="90"/>
      </w:pPr>
      <w:r>
        <w:t xml:space="preserve">A gNB capable of SBFD, should be able to configure a UE as DL and another UE as UL simultaneously. However, in the current NR framework, </w:t>
      </w:r>
      <w:r w:rsidRPr="44581A19">
        <w:rPr>
          <w:i/>
          <w:iCs/>
        </w:rPr>
        <w:t>TDD_UL_DL_config_common</w:t>
      </w:r>
      <w:r>
        <w:t xml:space="preserve"> provides a cell specific TDD configuration for all UEs within a cell. Therefore, the SBFD operation is limited to the F part of the TDD configuration provided by </w:t>
      </w:r>
      <w:r w:rsidRPr="44581A19">
        <w:rPr>
          <w:i/>
          <w:iCs/>
        </w:rPr>
        <w:t>TDD_UL_DL_config_common</w:t>
      </w:r>
      <w:r>
        <w:t xml:space="preserve">. Further, the UEs should be scheduled DL and UL in non-overlapping frequency resources. However, the active BWP of UEs can either be completely orthogonal to each other or overlap in frequency domain. In case of overlapping BWPs, scheduling should ensure that the UEs are performing DL and UL in non-overlapping subbands. </w:t>
      </w:r>
    </w:p>
    <w:p w14:paraId="45617A48" w14:textId="4FD08478" w:rsidR="00F65B25" w:rsidRDefault="44581A19" w:rsidP="44581A19">
      <w:pPr>
        <w:ind w:left="90"/>
      </w:pPr>
      <w:r w:rsidRPr="44581A19">
        <w:rPr>
          <w:color w:val="000000" w:themeColor="text1"/>
        </w:rPr>
        <w:t>However, this already existing way of implementing SBFD at the gNB is not the most efficient way. Enhancements should be studied for more efficient implementation of SBFD.</w:t>
      </w:r>
    </w:p>
    <w:p w14:paraId="479CF7B8" w14:textId="59B0B3AB" w:rsidR="00F65B25" w:rsidRDefault="44581A19" w:rsidP="44581A19">
      <w:pPr>
        <w:ind w:left="90"/>
        <w:rPr>
          <w:b/>
          <w:bCs/>
          <w:color w:val="000000" w:themeColor="text1"/>
        </w:rPr>
      </w:pPr>
      <w:r w:rsidRPr="44581A19">
        <w:rPr>
          <w:b/>
          <w:bCs/>
          <w:color w:val="000000" w:themeColor="text1"/>
        </w:rPr>
        <w:t>Proposal 3: Study enhancements related to TDD configuration for the efficient implementation of SBFD at the gNB.</w:t>
      </w:r>
    </w:p>
    <w:p w14:paraId="6BD82655" w14:textId="3B07EB10" w:rsidR="00F65B25" w:rsidRDefault="44581A19" w:rsidP="44581A19">
      <w:pPr>
        <w:ind w:left="90"/>
        <w:rPr>
          <w:b/>
          <w:bCs/>
          <w:color w:val="000000" w:themeColor="text1"/>
        </w:rPr>
      </w:pPr>
      <w:r w:rsidRPr="44581A19">
        <w:rPr>
          <w:b/>
          <w:bCs/>
          <w:color w:val="000000" w:themeColor="text1"/>
        </w:rPr>
        <w:t>Proposal 4: Study whether enhancements are needed for BWP configuration for the efficient implementation of SBFD at the gNB.</w:t>
      </w:r>
    </w:p>
    <w:p w14:paraId="5E437893" w14:textId="77777777" w:rsidR="00F65B25" w:rsidRDefault="00C80537">
      <w:pPr>
        <w:pStyle w:val="Heading1"/>
      </w:pPr>
      <w:r>
        <w:t>Schemes to utilize SBFD</w:t>
      </w:r>
    </w:p>
    <w:p w14:paraId="5D75763E" w14:textId="620CE940" w:rsidR="00F65B25" w:rsidRDefault="44581A19" w:rsidP="44581A19">
      <w:r>
        <w:t xml:space="preserve">SBFD at a gNB has different use cases like reducing latency of data traffic exchange, UL coverage enhancement etc. This will have an impact on various channels. E.g., UL coverage can be enhanced by repetition of data, control signals or reference signals (RS). In this scenario, certain enhancements will be needed in the data, control channels or RS for efficient implementation of the scheme, which in this case, is repetition of the signals. </w:t>
      </w:r>
    </w:p>
    <w:p w14:paraId="7E46165D" w14:textId="76F08B48" w:rsidR="00F65B25" w:rsidRDefault="44581A19" w:rsidP="44581A19">
      <w:pPr>
        <w:rPr>
          <w:b/>
          <w:bCs/>
        </w:rPr>
      </w:pPr>
      <w:r w:rsidRPr="44581A19">
        <w:rPr>
          <w:b/>
          <w:bCs/>
        </w:rPr>
        <w:t>Observation 3: Different use cases of SBFD will have impacts on the different channels.</w:t>
      </w:r>
    </w:p>
    <w:p w14:paraId="61D4F8ED" w14:textId="26D2877E" w:rsidR="00F65B25" w:rsidRDefault="44581A19" w:rsidP="44581A19">
      <w:pPr>
        <w:rPr>
          <w:b/>
          <w:bCs/>
        </w:rPr>
      </w:pPr>
      <w:r w:rsidRPr="44581A19">
        <w:rPr>
          <w:b/>
          <w:bCs/>
        </w:rPr>
        <w:t>Proposal 5: Study enhancements to data channel, control channel and RS to support different use cases of SBFD.</w:t>
      </w:r>
    </w:p>
    <w:p w14:paraId="425E81C7" w14:textId="77777777" w:rsidR="00F65B25" w:rsidRDefault="00C80537">
      <w:pPr>
        <w:pStyle w:val="Heading1"/>
      </w:pPr>
      <w:r>
        <w:t xml:space="preserve">Management of CLI </w:t>
      </w:r>
    </w:p>
    <w:p w14:paraId="3EA5756D" w14:textId="77777777" w:rsidR="00F65B25" w:rsidRDefault="44581A19" w:rsidP="44581A19">
      <w:r w:rsidRPr="44581A19">
        <w:rPr>
          <w:rFonts w:eastAsia="Times New Roman"/>
          <w:lang w:eastAsia="en-US"/>
        </w:rPr>
        <w:t xml:space="preserve">Fig. 3 shows a flexible TDD network where the adjacent gNBs are performing DL and UL simultaneously. As a result of this, there is  UE-to-UE and gNB-to-gNB CLI in the system as shown in the figure. In this scenario, the DL from BS 1 interferes with the UL signal received by BS 2 from UE 2, and the UL from UE 2 interferes with DL signal received by UE 1 from BS 1. The UE-to-UE CLI is inter-cell. Similar CLI will also be present in case of networks with SBFD enabled gNBs. </w:t>
      </w:r>
      <w:r>
        <w:t xml:space="preserve">Fig. 4 shows an example of an SBFD enabled gNB performing DL and UL simultaneously in different sub-bands. This will result in intra-cell UE-to-UE CLI. </w:t>
      </w:r>
      <w:r w:rsidRPr="44581A19">
        <w:rPr>
          <w:rFonts w:eastAsia="Wingdings" w:cs="Wingdings"/>
        </w:rPr>
        <w:t>Our companion contribution [2] discusses these CLI and potential enhancements to mitigate it.</w:t>
      </w:r>
    </w:p>
    <w:p w14:paraId="6C96B109" w14:textId="46A2D74D" w:rsidR="00F65B25" w:rsidRDefault="00C80537" w:rsidP="44581A19">
      <w:pPr>
        <w:ind w:left="720"/>
        <w:jc w:val="center"/>
      </w:pPr>
      <w:r>
        <w:rPr>
          <w:b/>
          <w:bCs/>
          <w:iCs/>
          <w:noProof/>
        </w:rPr>
        <w:drawing>
          <wp:inline distT="0" distB="0" distL="0" distR="0" wp14:anchorId="03280110" wp14:editId="062B4FD8">
            <wp:extent cx="3249295" cy="16116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107" t="-241" r="-107" b="-241"/>
                    <a:stretch>
                      <a:fillRect/>
                    </a:stretch>
                  </pic:blipFill>
                  <pic:spPr bwMode="auto">
                    <a:xfrm>
                      <a:off x="0" y="0"/>
                      <a:ext cx="3249295" cy="1611630"/>
                    </a:xfrm>
                    <a:prstGeom prst="rect">
                      <a:avLst/>
                    </a:prstGeom>
                    <a:solidFill>
                      <a:srgbClr val="FFFFFF"/>
                    </a:solidFill>
                    <a:ln>
                      <a:noFill/>
                    </a:ln>
                  </pic:spPr>
                </pic:pic>
              </a:graphicData>
            </a:graphic>
          </wp:inline>
        </w:drawing>
      </w:r>
      <w:r w:rsidRPr="44581A19">
        <w:rPr>
          <w:rFonts w:eastAsia="Times New Roman"/>
          <w:b/>
          <w:bCs/>
        </w:rPr>
        <w:t xml:space="preserve"> </w:t>
      </w:r>
    </w:p>
    <w:p w14:paraId="6C128953" w14:textId="77777777" w:rsidR="00F65B25" w:rsidRDefault="44581A19" w:rsidP="44581A19">
      <w:pPr>
        <w:ind w:left="720"/>
        <w:jc w:val="center"/>
      </w:pPr>
      <w:r w:rsidRPr="44581A19">
        <w:rPr>
          <w:rFonts w:eastAsia="Wingdings" w:cs="Wingdings"/>
        </w:rPr>
        <w:t>Fig. 3 CLI between gNBs (BSs) and UEs</w:t>
      </w:r>
    </w:p>
    <w:p w14:paraId="5A9B2E38" w14:textId="47B5CE0C" w:rsidR="44581A19" w:rsidRDefault="44581A19" w:rsidP="44581A19">
      <w:pPr>
        <w:ind w:left="1440"/>
        <w:jc w:val="center"/>
        <w:rPr>
          <w:color w:val="000000" w:themeColor="text1"/>
        </w:rPr>
      </w:pPr>
    </w:p>
    <w:p w14:paraId="4D6993A3" w14:textId="3D0F8D2E" w:rsidR="44581A19" w:rsidRDefault="44581A19" w:rsidP="44581A19">
      <w:pPr>
        <w:ind w:left="1440"/>
        <w:jc w:val="center"/>
        <w:rPr>
          <w:color w:val="000000" w:themeColor="text1"/>
        </w:rPr>
      </w:pPr>
    </w:p>
    <w:p w14:paraId="5C994D8A" w14:textId="1E9B138A" w:rsidR="44581A19" w:rsidRDefault="44581A19" w:rsidP="44581A19">
      <w:pPr>
        <w:ind w:left="1440"/>
        <w:jc w:val="center"/>
        <w:rPr>
          <w:color w:val="000000" w:themeColor="text1"/>
        </w:rPr>
      </w:pPr>
    </w:p>
    <w:p w14:paraId="6A5197A1" w14:textId="777788D6" w:rsidR="44581A19" w:rsidRDefault="44581A19" w:rsidP="44581A19">
      <w:pPr>
        <w:ind w:left="1440"/>
        <w:jc w:val="center"/>
        <w:rPr>
          <w:color w:val="000000" w:themeColor="text1"/>
        </w:rPr>
      </w:pPr>
      <w:r>
        <w:rPr>
          <w:noProof/>
        </w:rPr>
        <w:drawing>
          <wp:inline distT="0" distB="0" distL="0" distR="0" wp14:anchorId="785DB643" wp14:editId="6DDFFC0F">
            <wp:extent cx="2370455" cy="1711325"/>
            <wp:effectExtent l="0" t="0" r="0" b="0"/>
            <wp:docPr id="13582726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a:extLst>
                        <a:ext uri="{28A0092B-C50C-407E-A947-70E740481C1C}">
                          <a14:useLocalDpi xmlns:a14="http://schemas.microsoft.com/office/drawing/2010/main" val="0"/>
                        </a:ext>
                      </a:extLst>
                    </a:blip>
                    <a:srcRect l="-221" t="-305" r="-221" b="-305"/>
                    <a:stretch>
                      <a:fillRect/>
                    </a:stretch>
                  </pic:blipFill>
                  <pic:spPr bwMode="auto">
                    <a:xfrm>
                      <a:off x="0" y="0"/>
                      <a:ext cx="2370455" cy="1711325"/>
                    </a:xfrm>
                    <a:prstGeom prst="rect">
                      <a:avLst/>
                    </a:prstGeom>
                    <a:solidFill>
                      <a:srgbClr val="FFFFFF"/>
                    </a:solidFill>
                    <a:ln>
                      <a:noFill/>
                    </a:ln>
                  </pic:spPr>
                </pic:pic>
              </a:graphicData>
            </a:graphic>
          </wp:inline>
        </w:drawing>
      </w:r>
    </w:p>
    <w:p w14:paraId="1E2B1417" w14:textId="5E51102F" w:rsidR="00F65B25" w:rsidRDefault="00C80537">
      <w:pPr>
        <w:ind w:left="1440"/>
        <w:jc w:val="center"/>
      </w:pPr>
      <w:r w:rsidRPr="44581A19">
        <w:rPr>
          <w:color w:val="000000"/>
        </w:rPr>
        <w:t>Fig. 4 Intra-cell UE-to-UE CLI</w:t>
      </w:r>
    </w:p>
    <w:p w14:paraId="3FEDD8BD" w14:textId="397AAF9E" w:rsidR="00F65B25" w:rsidRDefault="44581A19" w:rsidP="44581A19">
      <w:pPr>
        <w:rPr>
          <w:b/>
          <w:bCs/>
          <w:color w:val="000000" w:themeColor="text1"/>
        </w:rPr>
      </w:pPr>
      <w:r w:rsidRPr="44581A19">
        <w:rPr>
          <w:b/>
          <w:bCs/>
        </w:rPr>
        <w:t xml:space="preserve">Observation 4: </w:t>
      </w:r>
      <w:r w:rsidRPr="44581A19">
        <w:rPr>
          <w:rStyle w:val="CommentReference"/>
          <w:b/>
          <w:bCs/>
          <w:sz w:val="22"/>
          <w:szCs w:val="22"/>
        </w:rPr>
        <w:t xml:space="preserve"> Networks with SBFD enabled </w:t>
      </w:r>
      <w:r w:rsidRPr="44581A19">
        <w:rPr>
          <w:b/>
          <w:bCs/>
        </w:rPr>
        <w:t>gNBs are subject to intra-cell UE-to-UE CLI, in addition to the CLI present in flexible TDD system.</w:t>
      </w:r>
    </w:p>
    <w:p w14:paraId="22A0AE64" w14:textId="5DA9AA7E" w:rsidR="00F65B25" w:rsidRDefault="44581A19" w:rsidP="44581A19">
      <w:pPr>
        <w:rPr>
          <w:b/>
          <w:bCs/>
          <w:color w:val="000000" w:themeColor="text1"/>
        </w:rPr>
      </w:pPr>
      <w:r w:rsidRPr="44581A19">
        <w:rPr>
          <w:b/>
          <w:bCs/>
        </w:rPr>
        <w:t xml:space="preserve">Proposal 6: </w:t>
      </w:r>
      <w:r w:rsidRPr="44581A19">
        <w:rPr>
          <w:b/>
          <w:bCs/>
          <w:color w:val="000000" w:themeColor="text1"/>
        </w:rPr>
        <w:t>Consider solutions proposed for CLI management in flexible TDD as the starting point for CLI management in networks with SBFD enabled gNBs.</w:t>
      </w:r>
    </w:p>
    <w:p w14:paraId="094F031B" w14:textId="5DD958C3" w:rsidR="00F65B25" w:rsidRDefault="44581A19" w:rsidP="44581A19">
      <w:pPr>
        <w:rPr>
          <w:color w:val="000000" w:themeColor="text1"/>
        </w:rPr>
      </w:pPr>
      <w:r>
        <w:t>In case of i</w:t>
      </w:r>
      <w:r w:rsidRPr="44581A19">
        <w:rPr>
          <w:color w:val="000000" w:themeColor="text1"/>
        </w:rPr>
        <w:t>ntra-cell UE-to-UE CLI scenario, the gNB will have information about the approximate location of different UEs in the cell, e.g., based on beams. gNB can use the location information to schedule UEs in such a way that 2 nearby UEs are not performing DL and UL simultaneously, thereby reducing the UE-to-UE CLI. Moreover, inter-cell UE-to-UE CLI management techniques can be applied here as well. Hence, a study needs to be performed to confirm whether any technique is required exclusively for handling intra-cell UE-to-UE interference.</w:t>
      </w:r>
    </w:p>
    <w:p w14:paraId="77203E35" w14:textId="7282657A" w:rsidR="00F65B25" w:rsidRDefault="44581A19" w:rsidP="44581A19">
      <w:pPr>
        <w:rPr>
          <w:b/>
          <w:bCs/>
          <w:color w:val="000000" w:themeColor="text1"/>
        </w:rPr>
      </w:pPr>
      <w:r w:rsidRPr="44581A19">
        <w:rPr>
          <w:b/>
          <w:bCs/>
          <w:color w:val="000000" w:themeColor="text1"/>
        </w:rPr>
        <w:t>Observation 5: Intra-cell UE-to-UE CLI can be managed by scheduling and inter-cell UE-to-UE CLI management techniques.</w:t>
      </w:r>
    </w:p>
    <w:p w14:paraId="4CADCCDD" w14:textId="12D46090" w:rsidR="00F65B25" w:rsidRDefault="44581A19" w:rsidP="44581A19">
      <w:pPr>
        <w:rPr>
          <w:b/>
          <w:bCs/>
        </w:rPr>
      </w:pPr>
      <w:r w:rsidRPr="44581A19">
        <w:rPr>
          <w:b/>
          <w:bCs/>
        </w:rPr>
        <w:t>Proposal 7: S</w:t>
      </w:r>
      <w:r w:rsidRPr="44581A19">
        <w:rPr>
          <w:b/>
          <w:bCs/>
          <w:color w:val="000000" w:themeColor="text1"/>
        </w:rPr>
        <w:t>tudy whether any technique is required exclusively for handling intra-cell UE-to-UE CLI in SBFD.</w:t>
      </w:r>
    </w:p>
    <w:p w14:paraId="089CBF29" w14:textId="77777777" w:rsidR="00F65B25" w:rsidRDefault="00C80537">
      <w:pPr>
        <w:pStyle w:val="Heading1"/>
      </w:pPr>
      <w:r>
        <w:rPr>
          <w:rFonts w:eastAsia="Wingdings" w:cs="Wingdings"/>
        </w:rPr>
        <w:t>Impact on legacy operation</w:t>
      </w:r>
    </w:p>
    <w:p w14:paraId="005E2D23" w14:textId="1B9C7852" w:rsidR="00F65B25" w:rsidRDefault="44581A19">
      <w:r w:rsidRPr="44581A19">
        <w:rPr>
          <w:rFonts w:eastAsia="Times New Roman"/>
        </w:rPr>
        <w:t xml:space="preserve">The victim UE in a UE-to-UE CLI scenario </w:t>
      </w:r>
      <w:r w:rsidRPr="44581A19">
        <w:rPr>
          <w:rFonts w:eastAsia="Wingdings" w:cs="Wingdings"/>
        </w:rPr>
        <w:t xml:space="preserve">might be a Rel. 18 UE or a legacy UE. </w:t>
      </w:r>
      <w:r>
        <w:t xml:space="preserve"> For </w:t>
      </w:r>
      <w:r w:rsidRPr="44581A19">
        <w:rPr>
          <w:rFonts w:eastAsia="Wingdings" w:cs="Wingdings"/>
        </w:rPr>
        <w:t xml:space="preserve">Rel. 15 UE, gNB can ensure by its scheduling mechanisms that </w:t>
      </w:r>
      <w:r>
        <w:t xml:space="preserve">intra cell UE-to-UE interference is avoided. Rel. 16 CLI management can be used for Rel. 16 and beyond UEs. However, there are no techniques to manage inter- cell </w:t>
      </w:r>
      <w:r w:rsidRPr="44581A19">
        <w:rPr>
          <w:rFonts w:eastAsia="Times New Roman"/>
        </w:rPr>
        <w:t xml:space="preserve">UE-to-UE CLI in case the victim UE is a Rel. 15 UE. </w:t>
      </w:r>
      <w:r>
        <w:t>Hence, techniques at the Rel. 18 UE transmitter is required to minimise the impact on legacy UEs, specially Rel. 15 UEs.</w:t>
      </w:r>
    </w:p>
    <w:p w14:paraId="37F655C2" w14:textId="391309E9" w:rsidR="00F65B25" w:rsidRDefault="44581A19" w:rsidP="44581A19">
      <w:pPr>
        <w:rPr>
          <w:b/>
          <w:bCs/>
        </w:rPr>
      </w:pPr>
      <w:r w:rsidRPr="44581A19">
        <w:rPr>
          <w:b/>
          <w:bCs/>
        </w:rPr>
        <w:t>Proposal 8: Study UE-to UE CLI management techniques at the transmitter side for Rel. 18 and beyond UEs to minimise impact on legacy UEs.</w:t>
      </w:r>
    </w:p>
    <w:p w14:paraId="0044B63E" w14:textId="77777777" w:rsidR="00F65B25" w:rsidRDefault="44581A19" w:rsidP="44581A19">
      <w:pPr>
        <w:pStyle w:val="Heading1"/>
        <w:numPr>
          <w:ilvl w:val="0"/>
          <w:numId w:val="0"/>
        </w:numPr>
      </w:pPr>
      <w:r w:rsidRPr="44581A19">
        <w:rPr>
          <w:rFonts w:eastAsia="Wingdings" w:cs="Wingdings"/>
        </w:rPr>
        <w:t>Conclusion</w:t>
      </w:r>
    </w:p>
    <w:p w14:paraId="202917C1" w14:textId="7F2AD026" w:rsidR="44581A19" w:rsidRDefault="44581A19" w:rsidP="44581A19">
      <w:r>
        <w:t>The following observations and proposals are made in this contribution,</w:t>
      </w:r>
    </w:p>
    <w:p w14:paraId="5BFE662C" w14:textId="7534B71E" w:rsidR="44581A19" w:rsidRDefault="44581A19" w:rsidP="44581A19">
      <w:pPr>
        <w:rPr>
          <w:b/>
          <w:bCs/>
        </w:rPr>
      </w:pPr>
      <w:r w:rsidRPr="44581A19">
        <w:rPr>
          <w:b/>
          <w:bCs/>
        </w:rPr>
        <w:t xml:space="preserve">Observation 1: Simultaneous DL and UL in SBFD can be made non-overlapping in frequency domain by restricting them to different sub-bands (groups of RBs) within a carrier or non-overlapping REs within a carrier.  </w:t>
      </w:r>
    </w:p>
    <w:p w14:paraId="37EFC9B1" w14:textId="3485CDC5" w:rsidR="44581A19" w:rsidRDefault="44581A19" w:rsidP="44581A19">
      <w:pPr>
        <w:rPr>
          <w:b/>
          <w:bCs/>
        </w:rPr>
      </w:pPr>
      <w:r w:rsidRPr="44581A19">
        <w:rPr>
          <w:b/>
          <w:bCs/>
        </w:rPr>
        <w:t>Proposal 1: Study the time domain granularity of SBFD operation and frequency domain granularity of subband.</w:t>
      </w:r>
    </w:p>
    <w:p w14:paraId="3F5BE1DA" w14:textId="77777777" w:rsidR="44581A19" w:rsidRDefault="44581A19" w:rsidP="44581A19">
      <w:pPr>
        <w:rPr>
          <w:b/>
          <w:bCs/>
        </w:rPr>
      </w:pPr>
      <w:r w:rsidRPr="44581A19">
        <w:rPr>
          <w:b/>
          <w:bCs/>
        </w:rPr>
        <w:t>Observation 2: Using different panels at the gNB for DL and UL operation reduces interference but impacts reciprocity assumption between UL and DL channels.</w:t>
      </w:r>
    </w:p>
    <w:p w14:paraId="1BC27CC3" w14:textId="77777777" w:rsidR="44581A19" w:rsidRDefault="44581A19" w:rsidP="44581A19">
      <w:pPr>
        <w:rPr>
          <w:b/>
          <w:bCs/>
        </w:rPr>
      </w:pPr>
      <w:r w:rsidRPr="44581A19">
        <w:rPr>
          <w:b/>
          <w:bCs/>
        </w:rPr>
        <w:t>Proposal 2: Study the impacts of using different panels at the gNB for DL and UL operations on reciprocity assumption of channels.</w:t>
      </w:r>
    </w:p>
    <w:p w14:paraId="73213B9A" w14:textId="59B0B3AB" w:rsidR="44581A19" w:rsidRDefault="44581A19" w:rsidP="44581A19">
      <w:pPr>
        <w:rPr>
          <w:b/>
          <w:bCs/>
          <w:color w:val="000000" w:themeColor="text1"/>
        </w:rPr>
      </w:pPr>
      <w:r w:rsidRPr="44581A19">
        <w:rPr>
          <w:b/>
          <w:bCs/>
          <w:color w:val="000000" w:themeColor="text1"/>
        </w:rPr>
        <w:lastRenderedPageBreak/>
        <w:t>Proposal 3: Study enhancements related to TDD configuration for the efficient implementation of SBFD at the gNB.</w:t>
      </w:r>
    </w:p>
    <w:p w14:paraId="6DE809F5" w14:textId="3B07EB10" w:rsidR="44581A19" w:rsidRDefault="44581A19" w:rsidP="44581A19">
      <w:pPr>
        <w:rPr>
          <w:b/>
          <w:bCs/>
          <w:color w:val="000000" w:themeColor="text1"/>
        </w:rPr>
      </w:pPr>
      <w:r w:rsidRPr="44581A19">
        <w:rPr>
          <w:b/>
          <w:bCs/>
          <w:color w:val="000000" w:themeColor="text1"/>
        </w:rPr>
        <w:t>Proposal 4: Study whether enhancements are needed for BWP configuration for the efficient implementation of SBFD at the gNB.</w:t>
      </w:r>
    </w:p>
    <w:p w14:paraId="6545D30A" w14:textId="76F08B48" w:rsidR="44581A19" w:rsidRDefault="44581A19" w:rsidP="44581A19">
      <w:pPr>
        <w:rPr>
          <w:b/>
          <w:bCs/>
        </w:rPr>
      </w:pPr>
      <w:r w:rsidRPr="44581A19">
        <w:rPr>
          <w:b/>
          <w:bCs/>
        </w:rPr>
        <w:t>Observation 3: Different use cases of SBFD will have impacts on the different channels.</w:t>
      </w:r>
    </w:p>
    <w:p w14:paraId="6A650CE7" w14:textId="26D2877E" w:rsidR="44581A19" w:rsidRDefault="44581A19" w:rsidP="44581A19">
      <w:pPr>
        <w:rPr>
          <w:b/>
          <w:bCs/>
        </w:rPr>
      </w:pPr>
      <w:r w:rsidRPr="44581A19">
        <w:rPr>
          <w:b/>
          <w:bCs/>
        </w:rPr>
        <w:t>Proposal 5: Study enhancements to data channel, control channel and RS to support different use cases of SBFD.</w:t>
      </w:r>
    </w:p>
    <w:p w14:paraId="30A1A97D" w14:textId="397AAF9E" w:rsidR="44581A19" w:rsidRDefault="44581A19" w:rsidP="44581A19">
      <w:pPr>
        <w:rPr>
          <w:b/>
          <w:bCs/>
          <w:color w:val="000000" w:themeColor="text1"/>
        </w:rPr>
      </w:pPr>
      <w:r w:rsidRPr="44581A19">
        <w:rPr>
          <w:b/>
          <w:bCs/>
        </w:rPr>
        <w:t>Observation 4:  Networks with SBFD enabled gNBs are subject to intra-cell UE-to-UE CLI, in addition to the CLI present in flexible TDD system.</w:t>
      </w:r>
    </w:p>
    <w:p w14:paraId="1B07FC01" w14:textId="5DA9AA7E" w:rsidR="44581A19" w:rsidRDefault="44581A19" w:rsidP="44581A19">
      <w:pPr>
        <w:rPr>
          <w:b/>
          <w:bCs/>
          <w:color w:val="000000" w:themeColor="text1"/>
        </w:rPr>
      </w:pPr>
      <w:r w:rsidRPr="44581A19">
        <w:rPr>
          <w:b/>
          <w:bCs/>
        </w:rPr>
        <w:t xml:space="preserve">Proposal 6: </w:t>
      </w:r>
      <w:r w:rsidRPr="44581A19">
        <w:rPr>
          <w:b/>
          <w:bCs/>
          <w:color w:val="000000" w:themeColor="text1"/>
        </w:rPr>
        <w:t>Consider solutions proposed for CLI management in flexible TDD as the starting point for CLI management in networks with SBFD enabled gNBs.</w:t>
      </w:r>
    </w:p>
    <w:p w14:paraId="405E712A" w14:textId="7282657A" w:rsidR="44581A19" w:rsidRDefault="44581A19" w:rsidP="44581A19">
      <w:pPr>
        <w:rPr>
          <w:b/>
          <w:bCs/>
          <w:color w:val="000000" w:themeColor="text1"/>
        </w:rPr>
      </w:pPr>
      <w:r w:rsidRPr="44581A19">
        <w:rPr>
          <w:b/>
          <w:bCs/>
          <w:color w:val="000000" w:themeColor="text1"/>
        </w:rPr>
        <w:t>Observation 5: Intra-cell UE-to-UE CLI can be managed by scheduling and inter-cell UE-to-UE CLI management techniques.</w:t>
      </w:r>
    </w:p>
    <w:p w14:paraId="5A5DE39F" w14:textId="12D46090" w:rsidR="44581A19" w:rsidRDefault="44581A19" w:rsidP="44581A19">
      <w:pPr>
        <w:rPr>
          <w:b/>
          <w:bCs/>
        </w:rPr>
      </w:pPr>
      <w:r w:rsidRPr="44581A19">
        <w:rPr>
          <w:b/>
          <w:bCs/>
        </w:rPr>
        <w:t>Proposal 7: S</w:t>
      </w:r>
      <w:r w:rsidRPr="44581A19">
        <w:rPr>
          <w:b/>
          <w:bCs/>
          <w:color w:val="000000" w:themeColor="text1"/>
        </w:rPr>
        <w:t>tudy whether any technique is required exclusively for handling intra-cell UE-to-UE CLI in SBFD.</w:t>
      </w:r>
    </w:p>
    <w:p w14:paraId="2660BCA5" w14:textId="391309E9" w:rsidR="44581A19" w:rsidRDefault="44581A19" w:rsidP="44581A19">
      <w:pPr>
        <w:rPr>
          <w:b/>
          <w:bCs/>
        </w:rPr>
      </w:pPr>
      <w:r w:rsidRPr="44581A19">
        <w:rPr>
          <w:b/>
          <w:bCs/>
        </w:rPr>
        <w:t>Proposal 8: Study UE-to UE CLI management techniques at the transmitter side for Rel. 18 and beyond UEs to minimise impact on legacy UEs.</w:t>
      </w:r>
    </w:p>
    <w:p w14:paraId="739C7546" w14:textId="77777777" w:rsidR="00F65B25" w:rsidRDefault="00C80537">
      <w:pPr>
        <w:pStyle w:val="Heading1"/>
        <w:numPr>
          <w:ilvl w:val="0"/>
          <w:numId w:val="0"/>
        </w:numPr>
        <w:ind w:left="432" w:hanging="432"/>
      </w:pPr>
      <w:bookmarkStart w:id="4" w:name="_Ref71620620"/>
      <w:bookmarkStart w:id="5" w:name="_Ref124671424"/>
      <w:bookmarkStart w:id="6" w:name="_Ref124589665"/>
      <w:r>
        <w:rPr>
          <w:rFonts w:eastAsia="Wingdings" w:cs="Wingdings"/>
        </w:rPr>
        <w:t>References</w:t>
      </w:r>
    </w:p>
    <w:p w14:paraId="544BF7AA" w14:textId="69113CD8" w:rsidR="00F65B25" w:rsidRDefault="44581A19" w:rsidP="44581A19">
      <w:pPr>
        <w:pStyle w:val="References"/>
        <w:numPr>
          <w:ilvl w:val="0"/>
          <w:numId w:val="1"/>
        </w:numPr>
        <w:rPr>
          <w:rFonts w:eastAsia="Times New Roman"/>
          <w:szCs w:val="20"/>
          <w:lang w:val="en-GB"/>
        </w:rPr>
      </w:pPr>
      <w:bookmarkStart w:id="7" w:name="OLE_LINK12"/>
      <w:bookmarkStart w:id="8" w:name="_Ref446582201"/>
      <w:bookmarkStart w:id="9" w:name="_Ref485833320"/>
      <w:bookmarkEnd w:id="3"/>
      <w:bookmarkEnd w:id="4"/>
      <w:bookmarkEnd w:id="5"/>
      <w:bookmarkEnd w:id="6"/>
      <w:r w:rsidRPr="44581A19">
        <w:rPr>
          <w:rFonts w:eastAsia="Wingdings" w:cs="Wingdings"/>
          <w:lang w:val="en-GB" w:eastAsia="ko-KR"/>
        </w:rPr>
        <w:t>RP-</w:t>
      </w:r>
      <w:bookmarkEnd w:id="7"/>
      <w:r w:rsidRPr="44581A19">
        <w:rPr>
          <w:rFonts w:eastAsia="Wingdings" w:cs="Wingdings"/>
          <w:lang w:val="en-GB" w:eastAsia="ko-KR"/>
        </w:rPr>
        <w:t>21</w:t>
      </w:r>
      <w:r w:rsidRPr="44581A19">
        <w:rPr>
          <w:lang w:val="en-GB"/>
        </w:rPr>
        <w:t xml:space="preserve">3591, </w:t>
      </w:r>
      <w:bookmarkEnd w:id="8"/>
      <w:bookmarkEnd w:id="9"/>
      <w:r w:rsidRPr="44581A19">
        <w:rPr>
          <w:lang w:val="en-GB"/>
        </w:rPr>
        <w:t>New SI: Study on evolution of NR duplex operation, RAN#94-e, Dec. 2021</w:t>
      </w:r>
    </w:p>
    <w:p w14:paraId="01690AB4" w14:textId="4CE9161E" w:rsidR="00F65B25" w:rsidRDefault="44581A19" w:rsidP="44581A19">
      <w:pPr>
        <w:pStyle w:val="References"/>
        <w:numPr>
          <w:ilvl w:val="0"/>
          <w:numId w:val="1"/>
        </w:numPr>
        <w:rPr>
          <w:rFonts w:eastAsia="Times New Roman"/>
          <w:szCs w:val="20"/>
          <w:lang w:val="en-GB" w:eastAsia="ko-KR"/>
        </w:rPr>
      </w:pPr>
      <w:r>
        <w:t>R1-2204752</w:t>
      </w:r>
      <w:r w:rsidR="00C80537" w:rsidRPr="44581A19">
        <w:rPr>
          <w:lang w:val="en-GB"/>
        </w:rPr>
        <w:t xml:space="preserve">, </w:t>
      </w:r>
      <w:r w:rsidR="00C80537">
        <w:rPr>
          <w:kern w:val="2"/>
          <w:lang w:val="en-GB"/>
        </w:rPr>
        <w:t xml:space="preserve">Discussion on </w:t>
      </w:r>
      <w:r w:rsidR="00C80537">
        <w:rPr>
          <w:rFonts w:eastAsia="Malgun Gothic"/>
          <w:kern w:val="2"/>
          <w:lang w:val="en-GB" w:eastAsia="ko-KR"/>
        </w:rPr>
        <w:t>enhancements on dynamic/flexible TDD, RAN1 #109.</w:t>
      </w:r>
    </w:p>
    <w:p w14:paraId="35CC5BFB" w14:textId="77777777" w:rsidR="00F65B25" w:rsidRDefault="00F65B25">
      <w:pPr>
        <w:pStyle w:val="References"/>
        <w:numPr>
          <w:ilvl w:val="0"/>
          <w:numId w:val="0"/>
        </w:numPr>
        <w:ind w:left="360"/>
      </w:pPr>
    </w:p>
    <w:sectPr w:rsidR="00F65B25">
      <w:pgSz w:w="11906" w:h="16838"/>
      <w:pgMar w:top="1440" w:right="11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Regular">
    <w:charset w:val="00"/>
    <w:family w:val="roman"/>
    <w:pitch w:val="default"/>
  </w:font>
  <w:font w:name="FreeSans">
    <w:altName w:val="Calibri"/>
    <w:charset w:val="00"/>
    <w:family w:val="roman"/>
    <w:pitch w:val="default"/>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lvlText w:val="o"/>
      <w:lvlJc w:val="left"/>
      <w:pPr>
        <w:tabs>
          <w:tab w:val="num" w:pos="0"/>
        </w:tabs>
        <w:ind w:left="720" w:hanging="360"/>
      </w:pPr>
      <w:rPr>
        <w:rFonts w:ascii="Courier New" w:hAnsi="Courier New" w:cs="Courier New" w:hint="default"/>
        <w:lang w:eastAsia="ko-KR"/>
      </w:rPr>
    </w:lvl>
    <w:lvl w:ilvl="1">
      <w:start w:val="1"/>
      <w:numFmt w:val="bullet"/>
      <w:lvlText w:val="o"/>
      <w:lvlJc w:val="left"/>
      <w:pPr>
        <w:tabs>
          <w:tab w:val="num" w:pos="0"/>
        </w:tabs>
        <w:ind w:left="1440" w:hanging="360"/>
      </w:pPr>
      <w:rPr>
        <w:rFonts w:ascii="Courier New" w:hAnsi="Courier New" w:cs="Courier New" w:hint="default"/>
        <w:lang w:eastAsia="ko-KR"/>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eastAsia="ko-KR"/>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eastAsia="ko-KR"/>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4"/>
    <w:multiLevelType w:val="multilevel"/>
    <w:tmpl w:val="00000004"/>
    <w:name w:val="WW8Num4"/>
    <w:lvl w:ilvl="0">
      <w:start w:val="1"/>
      <w:numFmt w:val="bullet"/>
      <w:lvlText w:val="o"/>
      <w:lvlJc w:val="left"/>
      <w:pPr>
        <w:tabs>
          <w:tab w:val="num" w:pos="0"/>
        </w:tabs>
        <w:ind w:left="720" w:hanging="360"/>
      </w:pPr>
      <w:rPr>
        <w:rFonts w:ascii="Courier New" w:hAnsi="Courier New" w:cs="Courier New" w:hint="default"/>
        <w:lang w:eastAsia="ko-KR"/>
      </w:rPr>
    </w:lvl>
    <w:lvl w:ilvl="1">
      <w:start w:val="1"/>
      <w:numFmt w:val="bullet"/>
      <w:lvlText w:val="o"/>
      <w:lvlJc w:val="left"/>
      <w:pPr>
        <w:tabs>
          <w:tab w:val="num" w:pos="0"/>
        </w:tabs>
        <w:ind w:left="1440" w:hanging="360"/>
      </w:pPr>
      <w:rPr>
        <w:rFonts w:ascii="Courier New" w:hAnsi="Courier New" w:cs="Courier New" w:hint="default"/>
        <w:lang w:eastAsia="ko-KR"/>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eastAsia="ko-KR"/>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eastAsia="ko-KR"/>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hint="default"/>
        <w:lang w:eastAsia="ko-KR"/>
      </w:rPr>
    </w:lvl>
    <w:lvl w:ilvl="1">
      <w:start w:val="1"/>
      <w:numFmt w:val="bullet"/>
      <w:lvlText w:val="o"/>
      <w:lvlJc w:val="left"/>
      <w:pPr>
        <w:tabs>
          <w:tab w:val="num" w:pos="0"/>
        </w:tabs>
        <w:ind w:left="1440" w:hanging="360"/>
      </w:pPr>
      <w:rPr>
        <w:rFonts w:ascii="Courier New" w:hAnsi="Courier New" w:cs="Courier New" w:hint="default"/>
        <w:sz w:val="24"/>
        <w:szCs w:val="24"/>
        <w:lang w:eastAsia="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eastAsia="ko-KR"/>
      </w:rPr>
    </w:lvl>
    <w:lvl w:ilvl="4">
      <w:start w:val="1"/>
      <w:numFmt w:val="bullet"/>
      <w:lvlText w:val="o"/>
      <w:lvlJc w:val="left"/>
      <w:pPr>
        <w:tabs>
          <w:tab w:val="num" w:pos="0"/>
        </w:tabs>
        <w:ind w:left="3600" w:hanging="360"/>
      </w:pPr>
      <w:rPr>
        <w:rFonts w:ascii="Courier New" w:hAnsi="Courier New" w:cs="Courier New" w:hint="default"/>
        <w:sz w:val="24"/>
        <w:szCs w:val="24"/>
        <w:lang w:eastAsia="en-US"/>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eastAsia="ko-KR"/>
      </w:rPr>
    </w:lvl>
    <w:lvl w:ilvl="7">
      <w:start w:val="1"/>
      <w:numFmt w:val="bullet"/>
      <w:lvlText w:val="o"/>
      <w:lvlJc w:val="left"/>
      <w:pPr>
        <w:tabs>
          <w:tab w:val="num" w:pos="0"/>
        </w:tabs>
        <w:ind w:left="5760" w:hanging="360"/>
      </w:pPr>
      <w:rPr>
        <w:rFonts w:ascii="Courier New" w:hAnsi="Courier New" w:cs="Courier New" w:hint="default"/>
        <w:sz w:val="24"/>
        <w:szCs w:val="24"/>
        <w:lang w:eastAsia="en-US"/>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6"/>
    <w:multiLevelType w:val="multilevel"/>
    <w:tmpl w:val="00000006"/>
    <w:name w:val="WW8Num6"/>
    <w:lvl w:ilvl="0">
      <w:start w:val="4"/>
      <w:numFmt w:val="bullet"/>
      <w:lvlText w:val="-"/>
      <w:lvlJc w:val="left"/>
      <w:pPr>
        <w:tabs>
          <w:tab w:val="num" w:pos="0"/>
        </w:tabs>
        <w:ind w:left="1080" w:hanging="360"/>
      </w:pPr>
      <w:rPr>
        <w:rFonts w:ascii="Times New Roman" w:hAnsi="Times New Roman" w:cs="Times New Roman"/>
        <w:lang w:eastAsia="ko-KR"/>
      </w:rPr>
    </w:lvl>
    <w:lvl w:ilvl="1">
      <w:start w:val="1"/>
      <w:numFmt w:val="bullet"/>
      <w:lvlText w:val=""/>
      <w:lvlJc w:val="left"/>
      <w:pPr>
        <w:tabs>
          <w:tab w:val="num" w:pos="0"/>
        </w:tabs>
        <w:ind w:left="1520" w:hanging="400"/>
      </w:pPr>
      <w:rPr>
        <w:rFonts w:ascii="Wingdings" w:hAnsi="Wingdings" w:cs="Wingdings"/>
      </w:rPr>
    </w:lvl>
    <w:lvl w:ilvl="2">
      <w:start w:val="1"/>
      <w:numFmt w:val="bullet"/>
      <w:lvlText w:val=""/>
      <w:lvlJc w:val="left"/>
      <w:pPr>
        <w:tabs>
          <w:tab w:val="num" w:pos="0"/>
        </w:tabs>
        <w:ind w:left="1920" w:hanging="400"/>
      </w:pPr>
      <w:rPr>
        <w:rFonts w:ascii="Wingdings" w:hAnsi="Wingdings" w:cs="Wingdings"/>
      </w:rPr>
    </w:lvl>
    <w:lvl w:ilvl="3">
      <w:start w:val="1"/>
      <w:numFmt w:val="bullet"/>
      <w:lvlText w:val=""/>
      <w:lvlJc w:val="left"/>
      <w:pPr>
        <w:tabs>
          <w:tab w:val="num" w:pos="0"/>
        </w:tabs>
        <w:ind w:left="2320" w:hanging="400"/>
      </w:pPr>
      <w:rPr>
        <w:rFonts w:ascii="Wingdings" w:hAnsi="Wingdings" w:cs="Wingdings"/>
      </w:rPr>
    </w:lvl>
    <w:lvl w:ilvl="4">
      <w:start w:val="1"/>
      <w:numFmt w:val="bullet"/>
      <w:lvlText w:val=""/>
      <w:lvlJc w:val="left"/>
      <w:pPr>
        <w:tabs>
          <w:tab w:val="num" w:pos="0"/>
        </w:tabs>
        <w:ind w:left="2720" w:hanging="400"/>
      </w:pPr>
      <w:rPr>
        <w:rFonts w:ascii="Wingdings" w:hAnsi="Wingdings" w:cs="Wingdings"/>
      </w:rPr>
    </w:lvl>
    <w:lvl w:ilvl="5">
      <w:start w:val="1"/>
      <w:numFmt w:val="bullet"/>
      <w:lvlText w:val=""/>
      <w:lvlJc w:val="left"/>
      <w:pPr>
        <w:tabs>
          <w:tab w:val="num" w:pos="0"/>
        </w:tabs>
        <w:ind w:left="3120" w:hanging="400"/>
      </w:pPr>
      <w:rPr>
        <w:rFonts w:ascii="Wingdings" w:hAnsi="Wingdings" w:cs="Wingdings"/>
      </w:rPr>
    </w:lvl>
    <w:lvl w:ilvl="6">
      <w:start w:val="1"/>
      <w:numFmt w:val="bullet"/>
      <w:lvlText w:val=""/>
      <w:lvlJc w:val="left"/>
      <w:pPr>
        <w:tabs>
          <w:tab w:val="num" w:pos="0"/>
        </w:tabs>
        <w:ind w:left="3520" w:hanging="400"/>
      </w:pPr>
      <w:rPr>
        <w:rFonts w:ascii="Wingdings" w:hAnsi="Wingdings" w:cs="Wingdings"/>
      </w:rPr>
    </w:lvl>
    <w:lvl w:ilvl="7">
      <w:start w:val="1"/>
      <w:numFmt w:val="bullet"/>
      <w:lvlText w:val=""/>
      <w:lvlJc w:val="left"/>
      <w:pPr>
        <w:tabs>
          <w:tab w:val="num" w:pos="0"/>
        </w:tabs>
        <w:ind w:left="3920" w:hanging="400"/>
      </w:pPr>
      <w:rPr>
        <w:rFonts w:ascii="Wingdings" w:hAnsi="Wingdings" w:cs="Wingdings"/>
      </w:rPr>
    </w:lvl>
    <w:lvl w:ilvl="8">
      <w:start w:val="1"/>
      <w:numFmt w:val="bullet"/>
      <w:lvlText w:val=""/>
      <w:lvlJc w:val="left"/>
      <w:pPr>
        <w:tabs>
          <w:tab w:val="num" w:pos="0"/>
        </w:tabs>
        <w:ind w:left="4320" w:hanging="400"/>
      </w:pPr>
      <w:rPr>
        <w:rFonts w:ascii="Wingdings" w:hAnsi="Wingdings" w:cs="Wingdings"/>
      </w:rPr>
    </w:lvl>
  </w:abstractNum>
  <w:abstractNum w:abstractNumId="6" w15:restartNumberingAfterBreak="0">
    <w:nsid w:val="465E40AD"/>
    <w:multiLevelType w:val="hybridMultilevel"/>
    <w:tmpl w:val="D3D8BC3C"/>
    <w:lvl w:ilvl="0" w:tplc="BD363EF6">
      <w:start w:val="1"/>
      <w:numFmt w:val="decimal"/>
      <w:lvlText w:val="%1."/>
      <w:lvlJc w:val="left"/>
      <w:pPr>
        <w:ind w:left="720" w:hanging="360"/>
      </w:pPr>
    </w:lvl>
    <w:lvl w:ilvl="1" w:tplc="C986A652">
      <w:start w:val="1"/>
      <w:numFmt w:val="lowerLetter"/>
      <w:lvlText w:val="%2."/>
      <w:lvlJc w:val="left"/>
      <w:pPr>
        <w:ind w:left="1440" w:hanging="360"/>
      </w:pPr>
    </w:lvl>
    <w:lvl w:ilvl="2" w:tplc="1FE4CD96">
      <w:start w:val="1"/>
      <w:numFmt w:val="lowerRoman"/>
      <w:lvlText w:val="%3."/>
      <w:lvlJc w:val="right"/>
      <w:pPr>
        <w:ind w:left="2160" w:hanging="180"/>
      </w:pPr>
    </w:lvl>
    <w:lvl w:ilvl="3" w:tplc="93602E18">
      <w:start w:val="1"/>
      <w:numFmt w:val="decimal"/>
      <w:lvlText w:val="%4."/>
      <w:lvlJc w:val="left"/>
      <w:pPr>
        <w:ind w:left="2880" w:hanging="360"/>
      </w:pPr>
    </w:lvl>
    <w:lvl w:ilvl="4" w:tplc="D91CA056">
      <w:start w:val="1"/>
      <w:numFmt w:val="lowerLetter"/>
      <w:lvlText w:val="%5."/>
      <w:lvlJc w:val="left"/>
      <w:pPr>
        <w:ind w:left="3600" w:hanging="360"/>
      </w:pPr>
    </w:lvl>
    <w:lvl w:ilvl="5" w:tplc="7C265C92">
      <w:start w:val="1"/>
      <w:numFmt w:val="lowerRoman"/>
      <w:lvlText w:val="%6."/>
      <w:lvlJc w:val="right"/>
      <w:pPr>
        <w:ind w:left="4320" w:hanging="180"/>
      </w:pPr>
    </w:lvl>
    <w:lvl w:ilvl="6" w:tplc="E4BE1394">
      <w:start w:val="1"/>
      <w:numFmt w:val="decimal"/>
      <w:lvlText w:val="%7."/>
      <w:lvlJc w:val="left"/>
      <w:pPr>
        <w:ind w:left="5040" w:hanging="360"/>
      </w:pPr>
    </w:lvl>
    <w:lvl w:ilvl="7" w:tplc="5E56841C">
      <w:start w:val="1"/>
      <w:numFmt w:val="lowerLetter"/>
      <w:lvlText w:val="%8."/>
      <w:lvlJc w:val="left"/>
      <w:pPr>
        <w:ind w:left="5760" w:hanging="360"/>
      </w:pPr>
    </w:lvl>
    <w:lvl w:ilvl="8" w:tplc="C6900F90">
      <w:start w:val="1"/>
      <w:numFmt w:val="lowerRoman"/>
      <w:lvlText w:val="%9."/>
      <w:lvlJc w:val="right"/>
      <w:pPr>
        <w:ind w:left="6480" w:hanging="180"/>
      </w:pPr>
    </w:lvl>
  </w:abstractNum>
  <w:num w:numId="1" w16cid:durableId="618531934">
    <w:abstractNumId w:val="6"/>
  </w:num>
  <w:num w:numId="2" w16cid:durableId="28528222">
    <w:abstractNumId w:val="0"/>
  </w:num>
  <w:num w:numId="3" w16cid:durableId="939488053">
    <w:abstractNumId w:val="1"/>
  </w:num>
  <w:num w:numId="4" w16cid:durableId="431781233">
    <w:abstractNumId w:val="2"/>
  </w:num>
  <w:num w:numId="5" w16cid:durableId="1256593662">
    <w:abstractNumId w:val="3"/>
  </w:num>
  <w:num w:numId="6" w16cid:durableId="2081977248">
    <w:abstractNumId w:val="4"/>
  </w:num>
  <w:num w:numId="7" w16cid:durableId="6013810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537"/>
    <w:rsid w:val="00991B61"/>
    <w:rsid w:val="00C80537"/>
    <w:rsid w:val="00F65B25"/>
    <w:rsid w:val="44581A19"/>
    <w:rsid w:val="463FD2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0C60E1"/>
  <w15:chartTrackingRefBased/>
  <w15:docId w15:val="{D2D18635-8B4F-431C-BE91-A2A95B8A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snapToGrid w:val="0"/>
      <w:spacing w:after="120"/>
      <w:jc w:val="both"/>
    </w:pPr>
    <w:rPr>
      <w:rFonts w:eastAsia="SimSun"/>
      <w:sz w:val="22"/>
      <w:szCs w:val="22"/>
      <w:lang w:eastAsia="zh-CN"/>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i w:val="0"/>
      <w:lang w:val="en-US"/>
    </w:rPr>
  </w:style>
  <w:style w:type="character" w:customStyle="1" w:styleId="WW8Num1z1">
    <w:name w:val="WW8Num1z1"/>
    <w:rPr>
      <w:rFonts w:ascii="Times New Roman" w:hAnsi="Times New Roman" w:cs="Times New Roman"/>
      <w:b/>
      <w:i w:val="0"/>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Courier New" w:eastAsia="Malgun Gothic" w:hAnsi="Courier New" w:cs="Courier New" w:hint="default"/>
      <w:lang w:eastAsia="ko-KR"/>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Courier New" w:eastAsia="Malgun Gothic" w:hAnsi="Courier New" w:cs="Courier New" w:hint="default"/>
      <w:lang w:eastAsia="ko-KR"/>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eastAsia="Malgun Gothic" w:hAnsi="Symbol" w:cs="Symbol" w:hint="default"/>
      <w:lang w:eastAsia="ko-KR"/>
    </w:rPr>
  </w:style>
  <w:style w:type="character" w:customStyle="1" w:styleId="WW8Num5z1">
    <w:name w:val="WW8Num5z1"/>
    <w:rPr>
      <w:rFonts w:ascii="Courier New" w:eastAsia="Malgun Gothic" w:hAnsi="Courier New" w:cs="Courier New" w:hint="default"/>
      <w:sz w:val="24"/>
      <w:szCs w:val="24"/>
      <w:lang w:eastAsia="en-US"/>
    </w:rPr>
  </w:style>
  <w:style w:type="character" w:customStyle="1" w:styleId="WW8Num5z2">
    <w:name w:val="WW8Num5z2"/>
    <w:rPr>
      <w:rFonts w:ascii="Wingdings" w:hAnsi="Wingdings" w:cs="Wingdings" w:hint="default"/>
    </w:rPr>
  </w:style>
  <w:style w:type="character" w:customStyle="1" w:styleId="WW8Num6z0">
    <w:name w:val="WW8Num6z0"/>
    <w:rPr>
      <w:rFonts w:ascii="Times New Roman" w:eastAsia="Malgun Gothic" w:hAnsi="Times New Roman" w:cs="Times New Roman"/>
      <w:lang w:eastAsia="ko-KR"/>
    </w:rPr>
  </w:style>
  <w:style w:type="character" w:customStyle="1" w:styleId="WW8Num6z1">
    <w:name w:val="WW8Num6z1"/>
    <w:rPr>
      <w:rFonts w:ascii="Wingdings" w:hAnsi="Wingdings" w:cs="Wingdings"/>
    </w:rPr>
  </w:style>
  <w:style w:type="character" w:customStyle="1" w:styleId="DefaultParagraphFont0">
    <w:name w:val="Default Paragraph Font0"/>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DefaultParagraphFont">
    <w:name w:val="WW-Default Paragraph Font"/>
  </w:style>
  <w:style w:type="character" w:customStyle="1" w:styleId="WW8Num3z1">
    <w:name w:val="WW8Num3z1"/>
    <w:rPr>
      <w:rFonts w:ascii="Wingdings" w:hAnsi="Wingdings" w:cs="Wingdings"/>
    </w:rPr>
  </w:style>
  <w:style w:type="character" w:customStyle="1" w:styleId="WW8Num8z0">
    <w:name w:val="WW8Num8z0"/>
    <w:rPr>
      <w:lang w:eastAsia="zh-CN"/>
    </w:rPr>
  </w:style>
  <w:style w:type="character" w:customStyle="1" w:styleId="WW8Num9z0">
    <w:name w:val="WW8Num9z0"/>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eastAsia="Wingdings" w:hAnsi="Symbol" w:cs="Symbol" w:hint="default"/>
    </w:rPr>
  </w:style>
  <w:style w:type="character" w:customStyle="1" w:styleId="WW8Num14z1">
    <w:name w:val="WW8Num14z1"/>
    <w:rPr>
      <w:rFonts w:ascii="Courier New" w:eastAsia="Wingdings" w:hAnsi="Courier New" w:cs="Courier New" w:hint="default"/>
      <w:sz w:val="24"/>
      <w:szCs w:val="24"/>
    </w:rPr>
  </w:style>
  <w:style w:type="character" w:customStyle="1" w:styleId="WW8Num14z2">
    <w:name w:val="WW8Num14z2"/>
    <w:rPr>
      <w:rFonts w:ascii="Wingdings" w:eastAsia="Wingdings" w:hAnsi="Wingdings" w:cs="Wingdings" w:hint="default"/>
    </w:rPr>
  </w:style>
  <w:style w:type="character" w:customStyle="1" w:styleId="WW8Num15z0">
    <w:name w:val="WW8Num15z0"/>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DefaultParagraphFont1">
    <w:name w:val="WW-Default Paragraph Font1"/>
  </w:style>
  <w:style w:type="character" w:customStyle="1" w:styleId="WW8Num2z1">
    <w:name w:val="WW8Num2z1"/>
    <w:rPr>
      <w:rFonts w:ascii="Wingdings" w:hAnsi="Wingdings" w:cs="Wingdings"/>
    </w:rPr>
  </w:style>
  <w:style w:type="character" w:customStyle="1" w:styleId="WW8Num4z1">
    <w:name w:val="WW8Num4z1"/>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1">
    <w:name w:val="WW8Num9z1"/>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
    <w:name w:val="默认段落字体"/>
  </w:style>
  <w:style w:type="character" w:customStyle="1" w:styleId="Char">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rPr>
      <w:b/>
      <w:bCs/>
      <w:kern w:val="2"/>
      <w:lang w:val="en-GB" w:eastAsia="zh-CN" w:bidi="ar-SA"/>
    </w:rPr>
  </w:style>
  <w:style w:type="character" w:customStyle="1" w:styleId="1">
    <w:name w:val="已访问的超链接1"/>
    <w:rPr>
      <w:color w:val="800080"/>
      <w:kern w:val="2"/>
      <w:u w:val="single"/>
      <w:lang w:val="en-GB" w:eastAsia="zh-CN" w:bidi="ar-SA"/>
    </w:rPr>
  </w:style>
  <w:style w:type="character" w:customStyle="1" w:styleId="FootnoteCharacters">
    <w:name w:val="Footnote Characters"/>
    <w:rPr>
      <w:kern w:val="2"/>
      <w:vertAlign w:val="superscript"/>
      <w:lang w:val="en-GB" w:eastAsia="zh-CN" w:bidi="ar-SA"/>
    </w:rPr>
  </w:style>
  <w:style w:type="character" w:customStyle="1" w:styleId="Char1">
    <w:name w:val="页眉 Char"/>
    <w:rPr>
      <w:kern w:val="2"/>
      <w:sz w:val="22"/>
      <w:szCs w:val="22"/>
      <w:lang w:val="en-GB" w:eastAsia="zh-CN" w:bidi="ar-SA"/>
    </w:rPr>
  </w:style>
  <w:style w:type="character" w:customStyle="1" w:styleId="Char2">
    <w:name w:val="页脚 Char"/>
    <w:rPr>
      <w:kern w:val="2"/>
      <w:sz w:val="22"/>
      <w:szCs w:val="22"/>
      <w:lang w:val="en-GB" w:eastAsia="zh-CN" w:bidi="ar-SA"/>
    </w:rPr>
  </w:style>
  <w:style w:type="character" w:customStyle="1" w:styleId="Char3">
    <w:name w:val="文档结构图 Char"/>
    <w:rPr>
      <w:rFonts w:ascii="SimSun" w:hAnsi="SimSun" w:cs="SimSun"/>
      <w:kern w:val="2"/>
      <w:sz w:val="18"/>
      <w:szCs w:val="18"/>
      <w:lang w:val="en-GB" w:bidi="ar-SA"/>
    </w:rPr>
  </w:style>
  <w:style w:type="character" w:customStyle="1" w:styleId="maintextChar">
    <w:name w:val="main text Char"/>
    <w:rPr>
      <w:rFonts w:eastAsia="Malgun Gothic" w:cs="Batang"/>
      <w:lang w:val="en-GB" w:eastAsia="ko-KR"/>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a0">
    <w:name w:val="批注引用"/>
    <w:rPr>
      <w:kern w:val="2"/>
      <w:sz w:val="21"/>
      <w:szCs w:val="21"/>
      <w:lang w:val="en-GB" w:eastAsia="zh-CN" w:bidi="ar-SA"/>
    </w:rPr>
  </w:style>
  <w:style w:type="character" w:customStyle="1" w:styleId="Char4">
    <w:name w:val="批注文字 Char"/>
    <w:rPr>
      <w:kern w:val="2"/>
      <w:sz w:val="22"/>
      <w:szCs w:val="22"/>
      <w:lang w:val="en-GB" w:bidi="ar-SA"/>
    </w:rPr>
  </w:style>
  <w:style w:type="character" w:customStyle="1" w:styleId="Char5">
    <w:name w:val="批注主题 Char"/>
    <w:rPr>
      <w:b/>
      <w:bCs/>
      <w:kern w:val="2"/>
      <w:sz w:val="22"/>
      <w:szCs w:val="22"/>
      <w:lang w:val="en-GB" w:bidi="ar-SA"/>
    </w:rPr>
  </w:style>
  <w:style w:type="character" w:styleId="CommentReference">
    <w:name w:val="annotation reference"/>
    <w:rPr>
      <w:sz w:val="16"/>
      <w:szCs w:val="16"/>
    </w:rPr>
  </w:style>
  <w:style w:type="character" w:customStyle="1" w:styleId="CommentTextChar">
    <w:name w:val="Comment Text Char"/>
    <w:rPr>
      <w:rFonts w:eastAsia="SimSun"/>
      <w:lang w:eastAsia="zh-CN"/>
    </w:rPr>
  </w:style>
  <w:style w:type="character" w:customStyle="1" w:styleId="CommentSubjectChar">
    <w:name w:val="Comment Subject Char"/>
    <w:rPr>
      <w:rFonts w:eastAsia="SimSun"/>
      <w:b/>
      <w:bCs/>
      <w:lang w:eastAsia="zh-CN"/>
    </w:rPr>
  </w:style>
  <w:style w:type="character" w:customStyle="1" w:styleId="NumberingSymbols">
    <w:name w:val="Numbering Symbols"/>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customStyle="1" w:styleId="a1">
    <w:name w:val="题注"/>
    <w:basedOn w:val="Normal"/>
    <w:next w:val="Normal"/>
    <w:pPr>
      <w:jc w:val="center"/>
    </w:pPr>
    <w:rPr>
      <w:b/>
      <w:bCs/>
      <w:kern w:val="2"/>
      <w:sz w:val="20"/>
      <w:szCs w:val="20"/>
      <w:lang w:val="en-GB"/>
    </w:rPr>
  </w:style>
  <w:style w:type="paragraph" w:customStyle="1" w:styleId="a2">
    <w:name w:val="列表项目符号"/>
    <w:basedOn w:val="List"/>
    <w:pPr>
      <w:autoSpaceDE/>
      <w:spacing w:after="180"/>
      <w:ind w:left="568" w:hanging="284"/>
      <w:jc w:val="left"/>
    </w:pPr>
    <w:rPr>
      <w:sz w:val="20"/>
      <w:szCs w:val="20"/>
      <w:lang w:val="en-GB"/>
    </w:rPr>
  </w:style>
  <w:style w:type="paragraph" w:customStyle="1" w:styleId="2">
    <w:name w:val="正文文本 2"/>
    <w:basedOn w:val="Normal"/>
    <w:pPr>
      <w:spacing w:after="0"/>
      <w:jc w:val="left"/>
    </w:pPr>
    <w:rPr>
      <w:szCs w:val="20"/>
    </w:rPr>
  </w:style>
  <w:style w:type="paragraph" w:customStyle="1" w:styleId="a3">
    <w:name w:val="批注框文本"/>
    <w:basedOn w:val="Normal"/>
    <w:rPr>
      <w:rFonts w:ascii="Tahoma" w:hAnsi="Tahoma" w:cs="Tahoma"/>
      <w:sz w:val="16"/>
      <w:szCs w:val="16"/>
    </w:rPr>
  </w:style>
  <w:style w:type="paragraph" w:customStyle="1" w:styleId="References">
    <w:name w:val="References"/>
    <w:basedOn w:val="Normal"/>
    <w:pPr>
      <w:numPr>
        <w:numId w:val="3"/>
      </w:num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pPr>
      <w:keepNext/>
      <w:jc w:val="center"/>
    </w:pPr>
  </w:style>
  <w:style w:type="paragraph" w:customStyle="1" w:styleId="Eqn">
    <w:name w:val="Eqn"/>
    <w:basedOn w:val="Normal"/>
    <w:rPr>
      <w:lang w:eastAsia="ja-JP"/>
    </w:rPr>
  </w:style>
  <w:style w:type="paragraph" w:customStyle="1" w:styleId="tablecell">
    <w:name w:val="tablecell"/>
    <w:basedOn w:val="Normal"/>
    <w:pPr>
      <w:spacing w:before="20" w:after="20"/>
      <w:jc w:val="left"/>
    </w:p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pPr>
      <w:jc w:val="center"/>
    </w:pPr>
    <w:rPr>
      <w:b/>
    </w:rPr>
  </w:style>
  <w:style w:type="paragraph" w:customStyle="1" w:styleId="a4">
    <w:name w:val="文档结构图"/>
    <w:basedOn w:val="Normal"/>
    <w:rPr>
      <w:rFonts w:ascii="SimSun" w:hAnsi="SimSun" w:cs="SimSun"/>
      <w:kern w:val="2"/>
      <w:sz w:val="18"/>
      <w:szCs w:val="18"/>
      <w:lang w:val="en-GB"/>
    </w:rPr>
  </w:style>
  <w:style w:type="paragraph" w:customStyle="1" w:styleId="maintext">
    <w:name w:val="main text"/>
    <w:basedOn w:val="Normal"/>
    <w:pPr>
      <w:autoSpaceDE/>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pPr>
      <w:autoSpaceDE/>
      <w:snapToGrid/>
      <w:spacing w:after="180" w:line="336" w:lineRule="auto"/>
      <w:ind w:firstLine="200"/>
    </w:pPr>
    <w:rPr>
      <w:rFonts w:eastAsia="Malgun Gothic"/>
      <w:sz w:val="20"/>
      <w:szCs w:val="20"/>
      <w:lang w:val="en-GB"/>
    </w:rPr>
  </w:style>
  <w:style w:type="paragraph" w:customStyle="1" w:styleId="a5">
    <w:name w:val="批注文字"/>
    <w:basedOn w:val="Normal"/>
    <w:pPr>
      <w:jc w:val="left"/>
    </w:pPr>
    <w:rPr>
      <w:kern w:val="2"/>
      <w:lang w:val="en-GB"/>
    </w:rPr>
  </w:style>
  <w:style w:type="paragraph" w:customStyle="1" w:styleId="a6">
    <w:name w:val="批注主题"/>
    <w:basedOn w:val="a5"/>
    <w:next w:val="a5"/>
    <w:rPr>
      <w:b/>
      <w:bCs/>
    </w:rPr>
  </w:style>
  <w:style w:type="paragraph" w:customStyle="1" w:styleId="a7">
    <w:name w:val="列出段落"/>
    <w:basedOn w:val="Normal"/>
    <w:pPr>
      <w:ind w:left="720"/>
      <w:contextualSpacing/>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1708</Words>
  <Characters>9740</Characters>
  <Application>Microsoft Office Word</Application>
  <DocSecurity>0</DocSecurity>
  <Lines>81</Lines>
  <Paragraphs>22</Paragraphs>
  <ScaleCrop>false</ScaleCrop>
  <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Deepak P M</cp:lastModifiedBy>
  <cp:revision>4</cp:revision>
  <cp:lastPrinted>2007-06-19T00:08:00Z</cp:lastPrinted>
  <dcterms:created xsi:type="dcterms:W3CDTF">2022-04-26T05:48:00Z</dcterms:created>
  <dcterms:modified xsi:type="dcterms:W3CDTF">2022-04-29T09:25:00Z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ies>
</file>