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42130F3" w14:textId="77777777" w:rsidR="006D4AAD" w:rsidRDefault="006342FD" w:rsidP="4989BE7F">
      <w:pPr>
        <w:tabs>
          <w:tab w:val="right" w:pos="9216"/>
        </w:tabs>
        <w:spacing w:after="0"/>
        <w:jc w:val="left"/>
        <w:rPr>
          <w:b/>
          <w:bCs/>
        </w:rPr>
      </w:pPr>
      <w:r w:rsidRPr="38BCAF55">
        <w:rPr>
          <w:b/>
          <w:bCs/>
          <w:kern w:val="2"/>
        </w:rPr>
        <w:t>3GPP TSG RAN WG1 Meeting #109-e</w:t>
      </w:r>
      <w:r>
        <w:rPr>
          <w:b/>
          <w:kern w:val="2"/>
        </w:rPr>
        <w:tab/>
      </w:r>
      <w:r w:rsidRPr="4989BE7F">
        <w:rPr>
          <w:b/>
          <w:bCs/>
        </w:rPr>
        <w:t>R1-2204750</w:t>
      </w:r>
    </w:p>
    <w:p w14:paraId="285F8FC7" w14:textId="77777777" w:rsidR="006D4AAD" w:rsidRDefault="006342FD">
      <w:pPr>
        <w:jc w:val="left"/>
      </w:pPr>
      <w:r>
        <w:rPr>
          <w:b/>
          <w:kern w:val="2"/>
        </w:rPr>
        <w:t>May 9</w:t>
      </w:r>
      <w:r>
        <w:rPr>
          <w:b/>
          <w:kern w:val="2"/>
          <w:vertAlign w:val="superscript"/>
        </w:rPr>
        <w:t>th</w:t>
      </w:r>
      <w:r>
        <w:rPr>
          <w:b/>
          <w:kern w:val="2"/>
        </w:rPr>
        <w:t xml:space="preserve"> – May 20</w:t>
      </w:r>
      <w:r>
        <w:rPr>
          <w:b/>
          <w:kern w:val="2"/>
          <w:vertAlign w:val="superscript"/>
        </w:rPr>
        <w:t>th</w:t>
      </w:r>
      <w:r>
        <w:rPr>
          <w:b/>
          <w:kern w:val="2"/>
        </w:rPr>
        <w:t>, 2022</w:t>
      </w:r>
    </w:p>
    <w:p w14:paraId="751B934A" w14:textId="77777777" w:rsidR="006D4AAD" w:rsidRDefault="006D4AAD">
      <w:pPr>
        <w:pBdr>
          <w:top w:val="single" w:sz="4" w:space="1" w:color="000000"/>
          <w:left w:val="none" w:sz="0" w:space="0" w:color="000000"/>
          <w:bottom w:val="none" w:sz="0" w:space="0" w:color="000000"/>
          <w:right w:val="none" w:sz="0" w:space="0" w:color="000000"/>
        </w:pBdr>
        <w:spacing w:after="0"/>
        <w:jc w:val="left"/>
        <w:rPr>
          <w:b/>
          <w:kern w:val="2"/>
          <w:sz w:val="16"/>
          <w:szCs w:val="16"/>
        </w:rPr>
      </w:pPr>
    </w:p>
    <w:p w14:paraId="3DEE8175" w14:textId="77777777" w:rsidR="006D4AAD" w:rsidRDefault="006342FD">
      <w:pPr>
        <w:spacing w:after="60"/>
        <w:ind w:left="1555" w:hanging="1555"/>
        <w:jc w:val="left"/>
      </w:pPr>
      <w:r>
        <w:rPr>
          <w:b/>
          <w:kern w:val="2"/>
        </w:rPr>
        <w:t>Agenda Item:</w:t>
      </w:r>
      <w:r>
        <w:rPr>
          <w:b/>
          <w:kern w:val="2"/>
        </w:rPr>
        <w:tab/>
        <w:t>9.3.1</w:t>
      </w:r>
    </w:p>
    <w:p w14:paraId="01E93DD9" w14:textId="4DFFCCCB" w:rsidR="006D4AAD" w:rsidRDefault="006342FD">
      <w:pPr>
        <w:spacing w:after="60"/>
        <w:ind w:left="1555" w:hanging="1555"/>
        <w:jc w:val="left"/>
      </w:pPr>
      <w:r>
        <w:rPr>
          <w:b/>
          <w:kern w:val="2"/>
        </w:rPr>
        <w:t>Source:</w:t>
      </w:r>
      <w:r>
        <w:rPr>
          <w:b/>
          <w:kern w:val="2"/>
        </w:rPr>
        <w:tab/>
        <w:t>CEWiT</w:t>
      </w:r>
      <w:r w:rsidR="00A35157">
        <w:rPr>
          <w:b/>
          <w:kern w:val="2"/>
        </w:rPr>
        <w:t xml:space="preserve">, IIT-M, IIT-K, Reliance Jio, </w:t>
      </w:r>
      <w:proofErr w:type="spellStart"/>
      <w:r w:rsidR="00A35157">
        <w:rPr>
          <w:b/>
          <w:kern w:val="2"/>
        </w:rPr>
        <w:t>Saankhya</w:t>
      </w:r>
      <w:proofErr w:type="spellEnd"/>
      <w:r w:rsidR="00A35157">
        <w:rPr>
          <w:b/>
          <w:kern w:val="2"/>
        </w:rPr>
        <w:t xml:space="preserve"> Labs</w:t>
      </w:r>
    </w:p>
    <w:p w14:paraId="6BF6673A" w14:textId="77777777" w:rsidR="006D4AAD" w:rsidRDefault="006342FD">
      <w:pPr>
        <w:spacing w:after="60"/>
        <w:ind w:left="1555" w:hanging="1555"/>
        <w:jc w:val="left"/>
      </w:pPr>
      <w:r>
        <w:rPr>
          <w:b/>
          <w:kern w:val="2"/>
        </w:rPr>
        <w:t>Title:</w:t>
      </w:r>
      <w:r>
        <w:rPr>
          <w:b/>
          <w:kern w:val="2"/>
        </w:rPr>
        <w:tab/>
        <w:t>Discussion on evaluation on NR duplex evolution</w:t>
      </w:r>
    </w:p>
    <w:p w14:paraId="66E2FB28" w14:textId="77777777" w:rsidR="006D4AAD" w:rsidRDefault="006342FD">
      <w:pPr>
        <w:spacing w:after="60"/>
        <w:ind w:left="1555" w:hanging="1555"/>
        <w:jc w:val="left"/>
      </w:pPr>
      <w:r>
        <w:rPr>
          <w:b/>
          <w:kern w:val="2"/>
        </w:rPr>
        <w:t>Document for:</w:t>
      </w:r>
      <w:r>
        <w:rPr>
          <w:b/>
          <w:kern w:val="2"/>
        </w:rPr>
        <w:tab/>
        <w:t xml:space="preserve">Discussion </w:t>
      </w:r>
    </w:p>
    <w:p w14:paraId="2CCA0B45" w14:textId="77777777" w:rsidR="006D4AAD" w:rsidRDefault="006D4AAD">
      <w:pPr>
        <w:pBdr>
          <w:top w:val="none" w:sz="0" w:space="0" w:color="000000"/>
          <w:left w:val="none" w:sz="0" w:space="0" w:color="000000"/>
          <w:bottom w:val="single" w:sz="4" w:space="1" w:color="000000"/>
          <w:right w:val="none" w:sz="0" w:space="0" w:color="000000"/>
        </w:pBdr>
        <w:spacing w:after="0"/>
        <w:jc w:val="left"/>
        <w:rPr>
          <w:b/>
          <w:kern w:val="2"/>
          <w:sz w:val="16"/>
          <w:szCs w:val="16"/>
        </w:rPr>
      </w:pPr>
    </w:p>
    <w:p w14:paraId="5E1F1275" w14:textId="77777777" w:rsidR="006D4AAD" w:rsidRDefault="006342FD">
      <w:pPr>
        <w:pStyle w:val="Heading1"/>
      </w:pPr>
      <w:bookmarkStart w:id="0" w:name="_Ref129681862"/>
      <w:bookmarkStart w:id="1" w:name="_Ref124589705"/>
      <w:r>
        <w:t>Introduction</w:t>
      </w:r>
      <w:bookmarkEnd w:id="0"/>
      <w:bookmarkEnd w:id="1"/>
    </w:p>
    <w:p w14:paraId="6913FBC7" w14:textId="77777777" w:rsidR="006D4AAD" w:rsidRDefault="38BCAF55">
      <w:r>
        <w:t>A new study item on “Study on evolution of NR duplex operation” was approved in RAN#94-e [1] with following objectives:</w:t>
      </w:r>
    </w:p>
    <w:p w14:paraId="3EAEE300" w14:textId="77777777" w:rsidR="006D4AAD" w:rsidRDefault="006342FD">
      <w:pPr>
        <w:ind w:right="-99"/>
      </w:pPr>
      <w:r>
        <w:rPr>
          <w:i/>
          <w:iCs/>
        </w:rPr>
        <w:t>The objective of this study is to identify and evaluate the potential enhancements to support duplex evolution for NR TDD in unpaired spectrum.</w:t>
      </w:r>
    </w:p>
    <w:p w14:paraId="08262318" w14:textId="77777777" w:rsidR="006D4AAD" w:rsidRDefault="38BCAF55">
      <w:pPr>
        <w:ind w:right="-99"/>
      </w:pPr>
      <w:r w:rsidRPr="38BCAF55">
        <w:rPr>
          <w:i/>
          <w:iCs/>
          <w:lang w:eastAsia="ko-KR"/>
        </w:rPr>
        <w:t>In this study, the followings are assumed:</w:t>
      </w:r>
    </w:p>
    <w:p w14:paraId="3A1CF88E" w14:textId="77777777" w:rsidR="006D4AAD" w:rsidRDefault="38BCAF55">
      <w:pPr>
        <w:numPr>
          <w:ilvl w:val="0"/>
          <w:numId w:val="4"/>
        </w:numPr>
      </w:pPr>
      <w:r w:rsidRPr="38BCAF55">
        <w:rPr>
          <w:rFonts w:eastAsia="Malgun Gothic"/>
          <w:i/>
          <w:iCs/>
          <w:lang w:eastAsia="ko-KR"/>
        </w:rPr>
        <w:t>Duplex enhancement at the gNB side</w:t>
      </w:r>
    </w:p>
    <w:p w14:paraId="04783934" w14:textId="77777777" w:rsidR="006D4AAD" w:rsidRDefault="006342FD">
      <w:pPr>
        <w:numPr>
          <w:ilvl w:val="0"/>
          <w:numId w:val="4"/>
        </w:numPr>
      </w:pPr>
      <w:r>
        <w:rPr>
          <w:rFonts w:eastAsia="Malgun Gothic"/>
          <w:bCs/>
          <w:i/>
          <w:iCs/>
          <w:lang w:eastAsia="ko-KR"/>
        </w:rPr>
        <w:t>Half duplex operation at the UE side</w:t>
      </w:r>
    </w:p>
    <w:p w14:paraId="13373CA9" w14:textId="77777777" w:rsidR="006D4AAD" w:rsidRDefault="006342FD">
      <w:pPr>
        <w:numPr>
          <w:ilvl w:val="0"/>
          <w:numId w:val="4"/>
        </w:numPr>
      </w:pPr>
      <w:r>
        <w:rPr>
          <w:rFonts w:eastAsia="Malgun Gothic"/>
          <w:bCs/>
          <w:i/>
          <w:iCs/>
          <w:lang w:eastAsia="ko-KR"/>
        </w:rPr>
        <w:t>No restriction on frequency ranges</w:t>
      </w:r>
    </w:p>
    <w:p w14:paraId="4055921F" w14:textId="77777777" w:rsidR="006D4AAD" w:rsidRDefault="006342FD">
      <w:pPr>
        <w:ind w:right="-99"/>
      </w:pPr>
      <w:r>
        <w:rPr>
          <w:bCs/>
          <w:i/>
          <w:iCs/>
          <w:lang w:eastAsia="ko-KR"/>
        </w:rPr>
        <w:t>The detailed objectives are as follows:</w:t>
      </w:r>
    </w:p>
    <w:p w14:paraId="2DD38595" w14:textId="77777777" w:rsidR="006D4AAD" w:rsidRDefault="006342FD">
      <w:pPr>
        <w:numPr>
          <w:ilvl w:val="0"/>
          <w:numId w:val="5"/>
        </w:numPr>
      </w:pPr>
      <w:r>
        <w:rPr>
          <w:i/>
          <w:iCs/>
        </w:rPr>
        <w:t>Identify applicable and relevant deployment scenarios (RAN1).</w:t>
      </w:r>
    </w:p>
    <w:p w14:paraId="26B86233" w14:textId="77777777" w:rsidR="006D4AAD" w:rsidRDefault="38BCAF55">
      <w:pPr>
        <w:numPr>
          <w:ilvl w:val="0"/>
          <w:numId w:val="5"/>
        </w:numPr>
      </w:pPr>
      <w:r w:rsidRPr="38BCAF55">
        <w:rPr>
          <w:i/>
          <w:iCs/>
        </w:rPr>
        <w:t>Develop evaluation methodology for duplex enhancement (RAN1).</w:t>
      </w:r>
    </w:p>
    <w:p w14:paraId="0A9BF36E" w14:textId="77777777" w:rsidR="006D4AAD" w:rsidRDefault="38BCAF55">
      <w:pPr>
        <w:numPr>
          <w:ilvl w:val="0"/>
          <w:numId w:val="5"/>
        </w:numPr>
      </w:pPr>
      <w:r w:rsidRPr="38BCAF55">
        <w:rPr>
          <w:rFonts w:eastAsia="Malgun Gothic"/>
          <w:i/>
          <w:iCs/>
          <w:lang w:eastAsia="ko-KR"/>
        </w:rPr>
        <w:t xml:space="preserve">Study the </w:t>
      </w:r>
      <w:proofErr w:type="spellStart"/>
      <w:r w:rsidRPr="38BCAF55">
        <w:rPr>
          <w:rFonts w:eastAsia="Malgun Gothic"/>
          <w:i/>
          <w:iCs/>
          <w:lang w:eastAsia="ko-KR"/>
        </w:rPr>
        <w:t>subband</w:t>
      </w:r>
      <w:proofErr w:type="spellEnd"/>
      <w:r w:rsidRPr="38BCAF55">
        <w:rPr>
          <w:rFonts w:eastAsia="Malgun Gothic"/>
          <w:i/>
          <w:iCs/>
          <w:lang w:eastAsia="ko-KR"/>
        </w:rPr>
        <w:t xml:space="preserve"> non-overlapping full duplex and </w:t>
      </w:r>
      <w:bookmarkStart w:id="2" w:name="_Hlk89796625"/>
      <w:r w:rsidRPr="38BCAF55">
        <w:rPr>
          <w:rFonts w:eastAsia="Malgun Gothic"/>
          <w:i/>
          <w:iCs/>
          <w:lang w:eastAsia="ko-KR"/>
        </w:rPr>
        <w:t>potential enhancements on dynamic/flexible TDD</w:t>
      </w:r>
      <w:bookmarkEnd w:id="2"/>
      <w:r w:rsidRPr="38BCAF55">
        <w:rPr>
          <w:rFonts w:eastAsia="Malgun Gothic"/>
          <w:i/>
          <w:iCs/>
          <w:lang w:eastAsia="ko-KR"/>
        </w:rPr>
        <w:t xml:space="preserve"> (RAN1, RAN4).</w:t>
      </w:r>
    </w:p>
    <w:p w14:paraId="1BD67F95" w14:textId="77777777" w:rsidR="006D4AAD" w:rsidRDefault="006342FD">
      <w:pPr>
        <w:pStyle w:val="ListParagraph"/>
        <w:numPr>
          <w:ilvl w:val="0"/>
          <w:numId w:val="6"/>
        </w:numPr>
      </w:pPr>
      <w:r>
        <w:rPr>
          <w:rFonts w:eastAsia="Malgun Gothic"/>
          <w:bCs/>
          <w:i/>
          <w:iCs/>
          <w:lang w:eastAsia="ko-KR"/>
        </w:rPr>
        <w:t>Identify possible schemes and evaluate their feasibility and performances (RAN1).</w:t>
      </w:r>
    </w:p>
    <w:p w14:paraId="0EE92896" w14:textId="77777777" w:rsidR="006D4AAD" w:rsidRDefault="38BCAF55">
      <w:pPr>
        <w:pStyle w:val="ListParagraph"/>
        <w:numPr>
          <w:ilvl w:val="0"/>
          <w:numId w:val="6"/>
        </w:numPr>
      </w:pPr>
      <w:r w:rsidRPr="38BCAF55">
        <w:rPr>
          <w:rFonts w:eastAsia="Malgun Gothic"/>
          <w:i/>
          <w:iCs/>
          <w:lang w:eastAsia="ko-KR"/>
        </w:rPr>
        <w:t xml:space="preserve">Study inter-gNB and inter-UE CLI handling and identify solutions to manage them (RAN1). </w:t>
      </w:r>
    </w:p>
    <w:p w14:paraId="21C6B179" w14:textId="77777777" w:rsidR="006D4AAD" w:rsidRDefault="38BCAF55">
      <w:pPr>
        <w:pStyle w:val="ListParagraph"/>
        <w:numPr>
          <w:ilvl w:val="1"/>
          <w:numId w:val="6"/>
        </w:numPr>
      </w:pPr>
      <w:r w:rsidRPr="38BCAF55">
        <w:rPr>
          <w:rFonts w:eastAsia="Malgun Gothic"/>
          <w:i/>
          <w:iCs/>
          <w:lang w:eastAsia="ko-KR"/>
        </w:rPr>
        <w:t>Consider intra-</w:t>
      </w:r>
      <w:proofErr w:type="spellStart"/>
      <w:r w:rsidRPr="38BCAF55">
        <w:rPr>
          <w:rFonts w:eastAsia="Malgun Gothic"/>
          <w:i/>
          <w:iCs/>
          <w:lang w:eastAsia="ko-KR"/>
        </w:rPr>
        <w:t>subband</w:t>
      </w:r>
      <w:proofErr w:type="spellEnd"/>
      <w:r w:rsidRPr="38BCAF55">
        <w:rPr>
          <w:rFonts w:eastAsia="Malgun Gothic"/>
          <w:i/>
          <w:iCs/>
          <w:lang w:eastAsia="ko-KR"/>
        </w:rPr>
        <w:t xml:space="preserve"> CLI and inter-</w:t>
      </w:r>
      <w:proofErr w:type="spellStart"/>
      <w:r w:rsidRPr="38BCAF55">
        <w:rPr>
          <w:rFonts w:eastAsia="Malgun Gothic"/>
          <w:i/>
          <w:iCs/>
          <w:lang w:eastAsia="ko-KR"/>
        </w:rPr>
        <w:t>subband</w:t>
      </w:r>
      <w:proofErr w:type="spellEnd"/>
      <w:r w:rsidRPr="38BCAF55">
        <w:rPr>
          <w:rFonts w:eastAsia="Malgun Gothic"/>
          <w:i/>
          <w:iCs/>
          <w:lang w:eastAsia="ko-KR"/>
        </w:rPr>
        <w:t xml:space="preserve"> CLI in case of the </w:t>
      </w:r>
      <w:proofErr w:type="spellStart"/>
      <w:r w:rsidRPr="38BCAF55">
        <w:rPr>
          <w:rFonts w:eastAsia="Malgun Gothic"/>
          <w:i/>
          <w:iCs/>
          <w:lang w:eastAsia="ko-KR"/>
        </w:rPr>
        <w:t>subband</w:t>
      </w:r>
      <w:proofErr w:type="spellEnd"/>
      <w:r w:rsidRPr="38BCAF55">
        <w:rPr>
          <w:rFonts w:eastAsia="Malgun Gothic"/>
          <w:i/>
          <w:iCs/>
          <w:lang w:eastAsia="ko-KR"/>
        </w:rPr>
        <w:t xml:space="preserve"> non-overlapping full duplex.</w:t>
      </w:r>
    </w:p>
    <w:p w14:paraId="5E934486" w14:textId="77777777" w:rsidR="006D4AAD" w:rsidRDefault="38BCAF55">
      <w:pPr>
        <w:pStyle w:val="ListParagraph"/>
        <w:numPr>
          <w:ilvl w:val="0"/>
          <w:numId w:val="6"/>
        </w:numPr>
      </w:pPr>
      <w:r w:rsidRPr="38BCAF55">
        <w:rPr>
          <w:rFonts w:eastAsia="Malgun Gothic"/>
          <w:i/>
          <w:iCs/>
          <w:lang w:eastAsia="ko-KR"/>
        </w:rPr>
        <w:t>Study the performance of the identified schemes as well as the impact on legacy operation assuming their co-existence in co-channel and adjacent channels (RAN1).</w:t>
      </w:r>
    </w:p>
    <w:p w14:paraId="52B8B327" w14:textId="77777777" w:rsidR="006D4AAD" w:rsidRDefault="006342FD">
      <w:pPr>
        <w:pStyle w:val="ListParagraph"/>
        <w:numPr>
          <w:ilvl w:val="0"/>
          <w:numId w:val="6"/>
        </w:numPr>
      </w:pPr>
      <w:r>
        <w:rPr>
          <w:rFonts w:eastAsia="Malgun Gothic"/>
          <w:bCs/>
          <w:i/>
          <w:iCs/>
          <w:lang w:eastAsia="ko-KR"/>
        </w:rPr>
        <w:t>Study the feasibility of and impact on RF requirements considering adjacent-channel co-existence with the legacy operation (RAN4).</w:t>
      </w:r>
    </w:p>
    <w:p w14:paraId="12BDBD48" w14:textId="77777777" w:rsidR="006D4AAD" w:rsidRDefault="38BCAF55">
      <w:pPr>
        <w:pStyle w:val="ListParagraph"/>
        <w:numPr>
          <w:ilvl w:val="0"/>
          <w:numId w:val="6"/>
        </w:numPr>
      </w:pPr>
      <w:r w:rsidRPr="38BCAF55">
        <w:rPr>
          <w:rFonts w:eastAsia="Malgun Gothic"/>
          <w:i/>
          <w:iCs/>
          <w:lang w:eastAsia="ko-KR"/>
        </w:rPr>
        <w:t>Study the feasibility of and impact on RF requirements considering the self-interference, the inter-</w:t>
      </w:r>
      <w:proofErr w:type="spellStart"/>
      <w:r w:rsidRPr="38BCAF55">
        <w:rPr>
          <w:rFonts w:eastAsia="Malgun Gothic"/>
          <w:i/>
          <w:iCs/>
          <w:lang w:eastAsia="ko-KR"/>
        </w:rPr>
        <w:t>subband</w:t>
      </w:r>
      <w:proofErr w:type="spellEnd"/>
      <w:r w:rsidRPr="38BCAF55">
        <w:rPr>
          <w:rFonts w:eastAsia="Malgun Gothic"/>
          <w:i/>
          <w:iCs/>
          <w:lang w:eastAsia="ko-KR"/>
        </w:rPr>
        <w:t xml:space="preserve"> CLI, and the inter-operator CLI at gNB and the inter-</w:t>
      </w:r>
      <w:proofErr w:type="spellStart"/>
      <w:r w:rsidRPr="38BCAF55">
        <w:rPr>
          <w:rFonts w:eastAsia="Malgun Gothic"/>
          <w:i/>
          <w:iCs/>
          <w:lang w:eastAsia="ko-KR"/>
        </w:rPr>
        <w:t>subband</w:t>
      </w:r>
      <w:proofErr w:type="spellEnd"/>
      <w:r w:rsidRPr="38BCAF55">
        <w:rPr>
          <w:rFonts w:eastAsia="Malgun Gothic"/>
          <w:i/>
          <w:iCs/>
          <w:lang w:eastAsia="ko-KR"/>
        </w:rPr>
        <w:t xml:space="preserve"> CLI and inter-operator CLI at UE (RAN4).</w:t>
      </w:r>
    </w:p>
    <w:p w14:paraId="14132C08" w14:textId="77777777" w:rsidR="006D4AAD" w:rsidRDefault="38BCAF55">
      <w:pPr>
        <w:pStyle w:val="ListParagraph"/>
        <w:numPr>
          <w:ilvl w:val="0"/>
          <w:numId w:val="7"/>
        </w:numPr>
      </w:pPr>
      <w:r w:rsidRPr="38BCAF55">
        <w:rPr>
          <w:rFonts w:eastAsia="Malgun Gothic"/>
          <w:i/>
          <w:iCs/>
          <w:lang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38BCAF55">
        <w:rPr>
          <w:rFonts w:eastAsia="Malgun Gothic"/>
          <w:i/>
          <w:iCs/>
          <w:lang w:eastAsia="ko-KR"/>
        </w:rPr>
        <w:t>filtering</w:t>
      </w:r>
      <w:proofErr w:type="gramEnd"/>
      <w:r w:rsidRPr="38BCAF55">
        <w:rPr>
          <w:rFonts w:eastAsia="Malgun Gothic"/>
          <w:i/>
          <w:iCs/>
          <w:lang w:eastAsia="ko-KR"/>
        </w:rPr>
        <w:t xml:space="preserve"> and digital interference suppression.</w:t>
      </w:r>
    </w:p>
    <w:p w14:paraId="3E8CDD36" w14:textId="77777777" w:rsidR="006D4AAD" w:rsidRDefault="38BCAF55">
      <w:pPr>
        <w:pStyle w:val="ListParagraph"/>
        <w:numPr>
          <w:ilvl w:val="0"/>
          <w:numId w:val="7"/>
        </w:numPr>
      </w:pPr>
      <w:r w:rsidRPr="38BCAF55">
        <w:rPr>
          <w:i/>
          <w:iCs/>
        </w:rPr>
        <w:t xml:space="preserve">Summarize the regulatory aspects that </w:t>
      </w:r>
      <w:proofErr w:type="gramStart"/>
      <w:r w:rsidRPr="38BCAF55">
        <w:rPr>
          <w:i/>
          <w:iCs/>
        </w:rPr>
        <w:t>have to</w:t>
      </w:r>
      <w:proofErr w:type="gramEnd"/>
      <w:r w:rsidRPr="38BCAF55">
        <w:rPr>
          <w:i/>
          <w:iCs/>
        </w:rPr>
        <w:t xml:space="preserve"> be considered for deploying the identified duplex enhancements in TDD unpaired spectrum (RAN4).</w:t>
      </w:r>
    </w:p>
    <w:p w14:paraId="3D0F4433" w14:textId="77777777" w:rsidR="006D4AAD" w:rsidRDefault="006342FD">
      <w:r>
        <w:rPr>
          <w:rFonts w:eastAsia="Times New Roman"/>
          <w:bCs/>
          <w:i/>
          <w:iCs/>
          <w:lang w:eastAsia="en-US"/>
        </w:rPr>
        <w:t>Note: For potential enhancements on dynamic/flexible TDD, utilize the outcome of discussion in Rel-15 and Rel-16 while avoiding the repetition of the same discussion.</w:t>
      </w:r>
    </w:p>
    <w:p w14:paraId="0DB81B5E" w14:textId="77777777" w:rsidR="006D4AAD" w:rsidRDefault="38BCAF55">
      <w:r w:rsidRPr="38BCAF55">
        <w:rPr>
          <w:rFonts w:eastAsia="Times New Roman"/>
          <w:lang w:eastAsia="en-US"/>
        </w:rPr>
        <w:t xml:space="preserve">To identify the relevant deployment scenarios for </w:t>
      </w:r>
      <w:r w:rsidRPr="38BCAF55">
        <w:rPr>
          <w:color w:val="000000" w:themeColor="text1"/>
        </w:rPr>
        <w:t xml:space="preserve">non-overlapping sub-band full duplexing (SBFD), an evaluation methodology needs to be developed. </w:t>
      </w:r>
      <w:r w:rsidRPr="38BCAF55">
        <w:rPr>
          <w:rFonts w:eastAsia="Times New Roman"/>
          <w:lang w:eastAsia="en-US"/>
        </w:rPr>
        <w:t>This contribution discusses the various important aspects of evaluation methodology that need to be defined to have consistent comparison of results across different scenarios.</w:t>
      </w:r>
      <w:bookmarkStart w:id="3" w:name="_Ref129681832"/>
    </w:p>
    <w:p w14:paraId="6AFE9985" w14:textId="77777777" w:rsidR="006D4AAD" w:rsidRDefault="006342FD">
      <w:pPr>
        <w:pStyle w:val="Heading1"/>
      </w:pPr>
      <w:r>
        <w:lastRenderedPageBreak/>
        <w:t>Evaluation methodology</w:t>
      </w:r>
    </w:p>
    <w:p w14:paraId="4454823F" w14:textId="77777777" w:rsidR="006D4AAD" w:rsidRDefault="38BCAF55">
      <w:r w:rsidRPr="38BCAF55">
        <w:rPr>
          <w:color w:val="000000" w:themeColor="text1"/>
        </w:rPr>
        <w:t>A node capable of SBFD, can transmit and receive simultaneously in different sub-bands in frequency domain. Thus, a gNB capable of SBFD can perform DL and UL at the same time but different sub-bands within the same carrier. As discussed in our companion contribution [2], Fig. 1 show how SBFD can be implemented.</w:t>
      </w:r>
    </w:p>
    <w:p w14:paraId="79157955" w14:textId="77777777" w:rsidR="006D4AAD" w:rsidRDefault="006D4AAD"/>
    <w:p w14:paraId="47DCB8E6" w14:textId="3EFE4E62" w:rsidR="006D4AAD" w:rsidRDefault="006342FD">
      <w:pPr>
        <w:ind w:firstLine="720"/>
        <w:jc w:val="center"/>
        <w:rPr>
          <w:color w:val="000000"/>
        </w:rPr>
      </w:pPr>
      <w:r>
        <w:rPr>
          <w:noProof/>
        </w:rPr>
        <w:drawing>
          <wp:inline distT="0" distB="0" distL="0" distR="0" wp14:anchorId="5F860982" wp14:editId="0991F205">
            <wp:extent cx="2762250" cy="1104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l="-128" t="-352" r="-128" b="-352"/>
                    <a:stretch>
                      <a:fillRect/>
                    </a:stretch>
                  </pic:blipFill>
                  <pic:spPr bwMode="auto">
                    <a:xfrm>
                      <a:off x="0" y="0"/>
                      <a:ext cx="2762250" cy="1104900"/>
                    </a:xfrm>
                    <a:prstGeom prst="rect">
                      <a:avLst/>
                    </a:prstGeom>
                    <a:solidFill>
                      <a:srgbClr val="FFFFFF"/>
                    </a:solidFill>
                    <a:ln>
                      <a:noFill/>
                    </a:ln>
                  </pic:spPr>
                </pic:pic>
              </a:graphicData>
            </a:graphic>
          </wp:inline>
        </w:drawing>
      </w:r>
    </w:p>
    <w:p w14:paraId="79AE35AE" w14:textId="77777777" w:rsidR="006D4AAD" w:rsidRDefault="006342FD">
      <w:pPr>
        <w:ind w:firstLine="720"/>
        <w:jc w:val="center"/>
      </w:pPr>
      <w:r>
        <w:rPr>
          <w:color w:val="000000"/>
        </w:rPr>
        <w:t>Fig. 1 SBFD in different non-overlapping sub-bands</w:t>
      </w:r>
    </w:p>
    <w:p w14:paraId="2B4E4428" w14:textId="77777777" w:rsidR="006D4AAD" w:rsidRDefault="4989BE7F">
      <w:r>
        <w:t>For evaluation of SBFD, the sub-band partitioning for DL and UL resources can be fixed or dynamic. A fixed sub-band partitioning would ensure fixed number of UL and DL resources in frequency domain per slot. The fixed number can be in terms of DL to UL ratio. A fixed partitioning would also ensure a fair comparison  with half duplex (HD) system which has fixed DL to UL ratio, e.g., 2:1 and 1:1.</w:t>
      </w:r>
    </w:p>
    <w:p w14:paraId="74997464" w14:textId="28D20EEA" w:rsidR="006D4AAD" w:rsidRDefault="4989BE7F" w:rsidP="4989BE7F">
      <w:pPr>
        <w:rPr>
          <w:b/>
          <w:bCs/>
        </w:rPr>
      </w:pPr>
      <w:r w:rsidRPr="4989BE7F">
        <w:rPr>
          <w:b/>
          <w:bCs/>
        </w:rPr>
        <w:t>Proposal 1: Sub-band partitioning for DL and UL resources based on fixed DL to UL ratio is supported for evaluations.</w:t>
      </w:r>
    </w:p>
    <w:p w14:paraId="3E131391" w14:textId="4A22D969" w:rsidR="006D4AAD" w:rsidRDefault="4989BE7F" w:rsidP="4989BE7F">
      <w:pPr>
        <w:rPr>
          <w:b/>
          <w:bCs/>
        </w:rPr>
      </w:pPr>
      <w:r w:rsidRPr="4989BE7F">
        <w:rPr>
          <w:b/>
          <w:bCs/>
        </w:rPr>
        <w:t>Proposal 2: Baseline TDD system with same DL to UL ratio can be used as reference for comparing the performance of SBFD system.</w:t>
      </w:r>
    </w:p>
    <w:p w14:paraId="7CE28999" w14:textId="7C7DCD30" w:rsidR="006D4AAD" w:rsidRDefault="4989BE7F">
      <w:r>
        <w:t xml:space="preserve">One of the main advantages of implementation of SBFD at the gNB is reduction of latency as compared to HD TDD systems in UL or DL. For latency evaluations, FTP 3 traffic model can be considered where the parameters should be commonly defined or provided as a part of the simulation parameters. </w:t>
      </w:r>
    </w:p>
    <w:p w14:paraId="19C5B050" w14:textId="1D7D0C02" w:rsidR="006D4AAD" w:rsidRDefault="4989BE7F">
      <w:r w:rsidRPr="4989BE7F">
        <w:rPr>
          <w:b/>
          <w:bCs/>
        </w:rPr>
        <w:t>Proposal 3: Define the various parameters (e.g., inter packet delay) for FTP 3 to be used in the evaluations.</w:t>
      </w:r>
    </w:p>
    <w:p w14:paraId="5009BF1C" w14:textId="475FF2F5" w:rsidR="006D4AAD" w:rsidRDefault="006342FD">
      <w:pPr>
        <w:spacing w:after="0"/>
        <w:jc w:val="left"/>
      </w:pPr>
      <w:r>
        <w:rPr>
          <w:kern w:val="2"/>
        </w:rPr>
        <w:t>In SBFD, CLI will be present in the network unlike TDD scenario. Networ</w:t>
      </w:r>
      <w:r w:rsidR="38BCAF55">
        <w:t xml:space="preserve">k </w:t>
      </w:r>
      <w:proofErr w:type="gramStart"/>
      <w:r w:rsidR="38BCAF55">
        <w:t>has to</w:t>
      </w:r>
      <w:proofErr w:type="gramEnd"/>
      <w:r>
        <w:rPr>
          <w:kern w:val="2"/>
        </w:rPr>
        <w:t xml:space="preserve"> manage the CLI to </w:t>
      </w:r>
      <w:proofErr w:type="spellStart"/>
      <w:r>
        <w:rPr>
          <w:kern w:val="2"/>
        </w:rPr>
        <w:t>minimise</w:t>
      </w:r>
      <w:proofErr w:type="spellEnd"/>
      <w:r>
        <w:rPr>
          <w:kern w:val="2"/>
        </w:rPr>
        <w:t xml:space="preserve"> its impact on the system throughput. E.g., UL throughput might get heavily affected by gNB-to-gNB CLI if not managed properly. However, the additional UL resources </w:t>
      </w:r>
      <w:r>
        <w:t>available in SBFD compared to conventional TDD can be used to implement schemes like</w:t>
      </w:r>
      <w:r>
        <w:rPr>
          <w:kern w:val="2"/>
        </w:rPr>
        <w:t xml:space="preserve"> repetition of UL signal, reduced code rate, longer sequences for UL data/reference signal/control signal which will provide an improvement in the SINR and helps to combat the CLI. Besides that, SINR improvement also provides coverage enhancement in UL. Thus, SBFD can also be exploited to improve the SINR of UL signals. </w:t>
      </w:r>
    </w:p>
    <w:p w14:paraId="02183E9F" w14:textId="4BAABB7F" w:rsidR="006D4AAD" w:rsidRDefault="4989BE7F">
      <w:r w:rsidRPr="4989BE7F">
        <w:rPr>
          <w:b/>
          <w:bCs/>
        </w:rPr>
        <w:t>Proposal 4: Define the use cases for SBFD evaluation, a. latency reduction, b. UL SINR improvement.</w:t>
      </w:r>
    </w:p>
    <w:p w14:paraId="77270105" w14:textId="4468FECE" w:rsidR="006D4AAD" w:rsidRDefault="4989BE7F">
      <w:r w:rsidRPr="4989BE7F">
        <w:rPr>
          <w:b/>
          <w:bCs/>
        </w:rPr>
        <w:t>Proposal 5: The following evaluation metrics are supported:</w:t>
      </w:r>
    </w:p>
    <w:p w14:paraId="2E5F23EA" w14:textId="77777777" w:rsidR="006D4AAD" w:rsidRDefault="006342FD">
      <w:r>
        <w:rPr>
          <w:b/>
          <w:bCs/>
        </w:rPr>
        <w:tab/>
      </w:r>
      <w:r>
        <w:rPr>
          <w:b/>
          <w:bCs/>
        </w:rPr>
        <w:tab/>
      </w:r>
      <w:r>
        <w:rPr>
          <w:b/>
          <w:bCs/>
        </w:rPr>
        <w:tab/>
        <w:t>a. Average latency for DL and UL</w:t>
      </w:r>
    </w:p>
    <w:p w14:paraId="12F1A599" w14:textId="77777777" w:rsidR="006D4AAD" w:rsidRDefault="006342FD">
      <w:r>
        <w:rPr>
          <w:b/>
          <w:bCs/>
        </w:rPr>
        <w:tab/>
      </w:r>
      <w:r>
        <w:rPr>
          <w:b/>
          <w:bCs/>
        </w:rPr>
        <w:tab/>
      </w:r>
      <w:r>
        <w:rPr>
          <w:b/>
          <w:bCs/>
        </w:rPr>
        <w:tab/>
        <w:t>b. Average SINR in UL</w:t>
      </w:r>
    </w:p>
    <w:p w14:paraId="21B183CA" w14:textId="3200F08E" w:rsidR="006D4AAD" w:rsidRDefault="4989BE7F" w:rsidP="38BCAF55">
      <w:pPr>
        <w:rPr>
          <w:b/>
          <w:bCs/>
        </w:rPr>
      </w:pPr>
      <w:r w:rsidRPr="4989BE7F">
        <w:rPr>
          <w:b/>
          <w:bCs/>
        </w:rPr>
        <w:t xml:space="preserve">Proposal 6: Evaluation metric “latency” is defined as the time taken from the generation of a packet to the complete transmission of the packet (including HARQ transmission). </w:t>
      </w:r>
    </w:p>
    <w:p w14:paraId="321996FA" w14:textId="4E671615" w:rsidR="006D4AAD" w:rsidRDefault="4989BE7F">
      <w:r>
        <w:t xml:space="preserve">Another important aspect of implementing SBFD at the gNB is the self-interference (SI) due to adjacent sub-bands of DL and UL. The gNB performs DL and UL simultaneously in different sub-bands within the carrier. This will result in leakage from the transmission in DL sub-band to the reception in UL sub-band. The leakage will be directly proportional to the transmit power in DL. The SI will degrade the performance in UL depending on its strength. Further, the gNB can use certain techniques, e.g., filtering, beamforming, etc., to reduce the SI. which can be implementation specific. As per the SID [1], the details of SI will be </w:t>
      </w:r>
      <w:r>
        <w:lastRenderedPageBreak/>
        <w:t xml:space="preserve">studied in RAN4. However, for evaluation of SBFD, the amount of SI at the gNB will have an impact on the UL reception. Thus, a common model of SI should be agreed upon which can be used for the evaluation. E.g., SI model can be as simple as defining the amount of SI suppression that is possible at the gNB. </w:t>
      </w:r>
    </w:p>
    <w:p w14:paraId="1AC1D04F" w14:textId="7CB73370" w:rsidR="006D4AAD" w:rsidRDefault="4989BE7F" w:rsidP="4989BE7F">
      <w:pPr>
        <w:rPr>
          <w:b/>
          <w:bCs/>
        </w:rPr>
      </w:pPr>
      <w:r w:rsidRPr="4989BE7F">
        <w:rPr>
          <w:b/>
          <w:bCs/>
        </w:rPr>
        <w:t>Proposal 7: Define the SI model to be used for SBFD evaluations.</w:t>
      </w:r>
    </w:p>
    <w:p w14:paraId="18613839" w14:textId="77777777" w:rsidR="006D4AAD" w:rsidRDefault="006D4AAD">
      <w:pPr>
        <w:rPr>
          <w:rFonts w:eastAsia="Wingdings" w:cs="Wingdings"/>
        </w:rPr>
      </w:pPr>
    </w:p>
    <w:p w14:paraId="64B6AE28" w14:textId="77777777" w:rsidR="006D4AAD" w:rsidRDefault="006342FD">
      <w:pPr>
        <w:pStyle w:val="Heading1"/>
      </w:pPr>
      <w:r>
        <w:rPr>
          <w:rFonts w:eastAsia="Wingdings" w:cs="Wingdings"/>
        </w:rPr>
        <w:t>Conclusion</w:t>
      </w:r>
    </w:p>
    <w:p w14:paraId="4F44315C" w14:textId="06364EDE" w:rsidR="006D4AAD" w:rsidRDefault="4989BE7F" w:rsidP="4989BE7F">
      <w:pPr>
        <w:rPr>
          <w:rFonts w:eastAsia="Wingdings" w:cs="Wingdings"/>
          <w:kern w:val="2"/>
          <w:lang w:val="en-GB"/>
        </w:rPr>
      </w:pPr>
      <w:r w:rsidRPr="4989BE7F">
        <w:rPr>
          <w:rFonts w:eastAsia="Wingdings" w:cs="Wingdings"/>
          <w:lang w:val="en-GB"/>
        </w:rPr>
        <w:t>The following observations and proposals are made in this contribution,</w:t>
      </w:r>
    </w:p>
    <w:p w14:paraId="3998ED12" w14:textId="28D20EEA" w:rsidR="4989BE7F" w:rsidRDefault="4989BE7F" w:rsidP="4989BE7F">
      <w:pPr>
        <w:rPr>
          <w:b/>
          <w:bCs/>
        </w:rPr>
      </w:pPr>
      <w:r w:rsidRPr="4989BE7F">
        <w:rPr>
          <w:b/>
          <w:bCs/>
        </w:rPr>
        <w:t>Proposal 1: Sub-band partitioning for DL and UL resources based on fixed DL to UL ratio is supported for evaluations.</w:t>
      </w:r>
    </w:p>
    <w:p w14:paraId="0BE9B898" w14:textId="4A22D969" w:rsidR="4989BE7F" w:rsidRDefault="4989BE7F" w:rsidP="4989BE7F">
      <w:pPr>
        <w:rPr>
          <w:b/>
          <w:bCs/>
        </w:rPr>
      </w:pPr>
      <w:r w:rsidRPr="4989BE7F">
        <w:rPr>
          <w:b/>
          <w:bCs/>
        </w:rPr>
        <w:t>Proposal 2: Baseline TDD system with same DL to UL ratio can be used as reference for comparing the performance of SBFD system.</w:t>
      </w:r>
    </w:p>
    <w:p w14:paraId="4FECEF86" w14:textId="1D7D0C02" w:rsidR="4989BE7F" w:rsidRDefault="4989BE7F">
      <w:r w:rsidRPr="4989BE7F">
        <w:rPr>
          <w:b/>
          <w:bCs/>
        </w:rPr>
        <w:t>Proposal 3: Define the various parameters (e.g., inter packet delay) for FTP 3 to be used in the evaluations.</w:t>
      </w:r>
    </w:p>
    <w:p w14:paraId="48030B19" w14:textId="4BAABB7F" w:rsidR="4989BE7F" w:rsidRDefault="4989BE7F">
      <w:r w:rsidRPr="4989BE7F">
        <w:rPr>
          <w:b/>
          <w:bCs/>
        </w:rPr>
        <w:t>Proposal 4: Define the use cases for SBFD evaluation, a. latency reduction, b. UL SINR improvement.</w:t>
      </w:r>
    </w:p>
    <w:p w14:paraId="43518DD8" w14:textId="4468FECE" w:rsidR="4989BE7F" w:rsidRDefault="4989BE7F">
      <w:r w:rsidRPr="4989BE7F">
        <w:rPr>
          <w:b/>
          <w:bCs/>
        </w:rPr>
        <w:t>Proposal 5: The following evaluation metrics are supported:</w:t>
      </w:r>
    </w:p>
    <w:p w14:paraId="37359E96" w14:textId="77777777" w:rsidR="4989BE7F" w:rsidRDefault="4989BE7F" w:rsidP="4989BE7F">
      <w:pPr>
        <w:ind w:firstLine="3456"/>
      </w:pPr>
      <w:r w:rsidRPr="4989BE7F">
        <w:rPr>
          <w:b/>
          <w:bCs/>
        </w:rPr>
        <w:t>a. Average latency for DL and UL</w:t>
      </w:r>
    </w:p>
    <w:p w14:paraId="787AC6D4" w14:textId="77777777" w:rsidR="4989BE7F" w:rsidRDefault="4989BE7F" w:rsidP="4989BE7F">
      <w:pPr>
        <w:ind w:firstLine="3456"/>
      </w:pPr>
      <w:r w:rsidRPr="4989BE7F">
        <w:rPr>
          <w:b/>
          <w:bCs/>
        </w:rPr>
        <w:t>b. Average SINR in UL</w:t>
      </w:r>
    </w:p>
    <w:p w14:paraId="3FF90086" w14:textId="478062E2" w:rsidR="4989BE7F" w:rsidRDefault="4989BE7F" w:rsidP="4989BE7F">
      <w:pPr>
        <w:rPr>
          <w:b/>
          <w:bCs/>
        </w:rPr>
      </w:pPr>
      <w:r w:rsidRPr="4989BE7F">
        <w:rPr>
          <w:b/>
          <w:bCs/>
        </w:rPr>
        <w:t>Proposal 6: Evaluation metric “latency” is defined as the time taken from the generation of a packet to the complete transmission of the packet (including HARQ transmission).</w:t>
      </w:r>
    </w:p>
    <w:p w14:paraId="4915831C" w14:textId="307A955E" w:rsidR="4989BE7F" w:rsidRDefault="4989BE7F" w:rsidP="4989BE7F">
      <w:pPr>
        <w:rPr>
          <w:b/>
          <w:bCs/>
        </w:rPr>
      </w:pPr>
      <w:r w:rsidRPr="4989BE7F">
        <w:rPr>
          <w:b/>
          <w:bCs/>
        </w:rPr>
        <w:t>Proposal 7: Define the SI model to be used for SBFD evaluations.</w:t>
      </w:r>
    </w:p>
    <w:p w14:paraId="0C6A3807" w14:textId="3A7E86F6" w:rsidR="4989BE7F" w:rsidRDefault="4989BE7F" w:rsidP="4989BE7F">
      <w:pPr>
        <w:rPr>
          <w:lang w:val="en-GB"/>
        </w:rPr>
      </w:pPr>
    </w:p>
    <w:p w14:paraId="062687CB" w14:textId="77777777" w:rsidR="006D4AAD" w:rsidRDefault="006342FD">
      <w:pPr>
        <w:pStyle w:val="Heading1"/>
        <w:numPr>
          <w:ilvl w:val="0"/>
          <w:numId w:val="0"/>
        </w:numPr>
        <w:ind w:left="432" w:hanging="432"/>
      </w:pPr>
      <w:bookmarkStart w:id="4" w:name="_Ref71620620"/>
      <w:bookmarkStart w:id="5" w:name="_Ref124671424"/>
      <w:bookmarkStart w:id="6" w:name="_Ref124589665"/>
      <w:r>
        <w:rPr>
          <w:rFonts w:eastAsia="Wingdings" w:cs="Wingdings"/>
        </w:rPr>
        <w:t>References</w:t>
      </w:r>
    </w:p>
    <w:p w14:paraId="0F342368" w14:textId="77777777" w:rsidR="006D4AAD" w:rsidRDefault="006342FD" w:rsidP="4989BE7F">
      <w:pPr>
        <w:pStyle w:val="References"/>
        <w:numPr>
          <w:ilvl w:val="0"/>
          <w:numId w:val="1"/>
        </w:numPr>
        <w:rPr>
          <w:rFonts w:eastAsia="Times New Roman"/>
          <w:color w:val="000000" w:themeColor="text1"/>
          <w:szCs w:val="20"/>
          <w:lang w:val="en-GB"/>
        </w:rPr>
      </w:pPr>
      <w:bookmarkStart w:id="7" w:name="OLE_LINK12"/>
      <w:bookmarkStart w:id="8" w:name="_Ref446582201"/>
      <w:bookmarkStart w:id="9" w:name="_Ref485833320"/>
      <w:bookmarkEnd w:id="3"/>
      <w:bookmarkEnd w:id="4"/>
      <w:bookmarkEnd w:id="5"/>
      <w:bookmarkEnd w:id="6"/>
      <w:r w:rsidRPr="4989BE7F">
        <w:rPr>
          <w:rFonts w:eastAsia="Wingdings" w:cs="Wingdings"/>
          <w:kern w:val="2"/>
          <w:lang w:val="en-GB" w:eastAsia="ko-KR"/>
        </w:rPr>
        <w:t>RP-</w:t>
      </w:r>
      <w:bookmarkEnd w:id="7"/>
      <w:r w:rsidRPr="4989BE7F">
        <w:rPr>
          <w:rFonts w:eastAsia="Wingdings" w:cs="Wingdings"/>
          <w:kern w:val="2"/>
          <w:lang w:val="en-GB" w:eastAsia="ko-KR"/>
        </w:rPr>
        <w:t>21</w:t>
      </w:r>
      <w:r w:rsidRPr="4989BE7F">
        <w:rPr>
          <w:rFonts w:eastAsia="Wingdings" w:cs="Wingdings"/>
          <w:kern w:val="2"/>
          <w:lang w:val="en-GB"/>
        </w:rPr>
        <w:t xml:space="preserve">3591, </w:t>
      </w:r>
      <w:bookmarkEnd w:id="8"/>
      <w:bookmarkEnd w:id="9"/>
      <w:r w:rsidRPr="4989BE7F">
        <w:rPr>
          <w:rFonts w:eastAsia="Wingdings" w:cs="Wingdings"/>
          <w:kern w:val="2"/>
          <w:lang w:val="en-GB"/>
        </w:rPr>
        <w:t>New SI: Study on evolution of NR duplex operation, RAN#94-e, Dec. 2021</w:t>
      </w:r>
    </w:p>
    <w:p w14:paraId="5E3F0A25" w14:textId="30FE159F" w:rsidR="006D4AAD" w:rsidRDefault="006342FD" w:rsidP="4989BE7F">
      <w:pPr>
        <w:pStyle w:val="References"/>
        <w:numPr>
          <w:ilvl w:val="0"/>
          <w:numId w:val="1"/>
        </w:numPr>
        <w:rPr>
          <w:rFonts w:eastAsia="Times New Roman"/>
          <w:szCs w:val="20"/>
          <w:lang w:val="en-GB" w:eastAsia="ko-KR"/>
        </w:rPr>
      </w:pPr>
      <w:r w:rsidRPr="4989BE7F">
        <w:rPr>
          <w:rFonts w:eastAsia="Wingdings" w:cs="Wingdings"/>
          <w:szCs w:val="20"/>
        </w:rPr>
        <w:t>R1-2204751</w:t>
      </w:r>
      <w:r w:rsidRPr="4989BE7F">
        <w:rPr>
          <w:rFonts w:eastAsia="Wingdings" w:cs="Wingdings"/>
          <w:szCs w:val="20"/>
          <w:lang w:val="en-GB"/>
        </w:rPr>
        <w:t>, Discussion o</w:t>
      </w:r>
      <w:r w:rsidRPr="4989BE7F">
        <w:rPr>
          <w:rFonts w:eastAsia="Wingdings" w:cs="Wingdings"/>
          <w:kern w:val="2"/>
          <w:lang w:val="en-GB"/>
        </w:rPr>
        <w:t xml:space="preserve">n </w:t>
      </w:r>
      <w:proofErr w:type="spellStart"/>
      <w:r w:rsidRPr="4989BE7F">
        <w:rPr>
          <w:rFonts w:eastAsia="Wingdings" w:cs="Wingdings"/>
          <w:kern w:val="2"/>
          <w:lang w:val="en-GB"/>
        </w:rPr>
        <w:t>s</w:t>
      </w:r>
      <w:r w:rsidRPr="4989BE7F">
        <w:rPr>
          <w:rFonts w:eastAsia="Malgun Gothic" w:cs="Wingdings"/>
          <w:kern w:val="2"/>
          <w:lang w:val="en-GB" w:eastAsia="ko-KR"/>
        </w:rPr>
        <w:t>ubband</w:t>
      </w:r>
      <w:proofErr w:type="spellEnd"/>
      <w:r w:rsidRPr="4989BE7F">
        <w:rPr>
          <w:rFonts w:eastAsia="Malgun Gothic" w:cs="Wingdings"/>
          <w:kern w:val="2"/>
          <w:lang w:val="en-GB" w:eastAsia="ko-KR"/>
        </w:rPr>
        <w:t xml:space="preserve"> n</w:t>
      </w:r>
      <w:r>
        <w:rPr>
          <w:rFonts w:eastAsia="Malgun Gothic" w:cs="Wingdings"/>
          <w:kern w:val="2"/>
          <w:lang w:val="en-GB" w:eastAsia="ko-KR"/>
        </w:rPr>
        <w:t>on-overlapping full duplex, RAN#109-e, May 2022</w:t>
      </w:r>
    </w:p>
    <w:sectPr w:rsidR="006D4AAD">
      <w:pgSz w:w="11906" w:h="16838"/>
      <w:pgMar w:top="1440" w:right="1152"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auto"/>
    <w:pitch w:val="default"/>
  </w:font>
  <w:font w:name="Noto Sans CJK SC Regular">
    <w:charset w:val="00"/>
    <w:family w:val="roman"/>
    <w:pitch w:val="default"/>
  </w:font>
  <w:font w:name="FreeSans">
    <w:altName w:val="Calibri"/>
    <w:charset w:val="01"/>
    <w:family w:val="auto"/>
    <w:pitch w:val="variable"/>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rFonts w:ascii="Times New Roman" w:hAnsi="Times New Roman" w:cs="Times New Roman"/>
        <w:b/>
        <w:i w:val="0"/>
        <w:sz w:val="24"/>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pStyle w:val="References"/>
      <w:lvlText w:val="[%1]"/>
      <w:lvlJc w:val="left"/>
      <w:pPr>
        <w:tabs>
          <w:tab w:val="num" w:pos="360"/>
        </w:tabs>
        <w:ind w:left="360" w:hanging="360"/>
      </w:pPr>
    </w:lvl>
  </w:abstractNum>
  <w:abstractNum w:abstractNumId="2" w15:restartNumberingAfterBreak="0">
    <w:nsid w:val="00000003"/>
    <w:multiLevelType w:val="multilevel"/>
    <w:tmpl w:val="00000003"/>
    <w:name w:val="WW8Num3"/>
    <w:lvl w:ilvl="0">
      <w:start w:val="1"/>
      <w:numFmt w:val="bullet"/>
      <w:lvlText w:val="o"/>
      <w:lvlJc w:val="left"/>
      <w:pPr>
        <w:tabs>
          <w:tab w:val="num" w:pos="0"/>
        </w:tabs>
        <w:ind w:left="720" w:hanging="360"/>
      </w:pPr>
      <w:rPr>
        <w:rFonts w:ascii="Courier New" w:hAnsi="Courier New" w:cs="Courier New" w:hint="default"/>
        <w:lang w:eastAsia="ko-KR"/>
      </w:rPr>
    </w:lvl>
    <w:lvl w:ilvl="1">
      <w:start w:val="1"/>
      <w:numFmt w:val="bullet"/>
      <w:lvlText w:val="o"/>
      <w:lvlJc w:val="left"/>
      <w:pPr>
        <w:tabs>
          <w:tab w:val="num" w:pos="0"/>
        </w:tabs>
        <w:ind w:left="1440" w:hanging="360"/>
      </w:pPr>
      <w:rPr>
        <w:rFonts w:ascii="Courier New" w:hAnsi="Courier New" w:cs="Courier New" w:hint="default"/>
        <w:lang w:eastAsia="ko-KR"/>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lang w:eastAsia="ko-KR"/>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lang w:eastAsia="ko-KR"/>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0000004"/>
    <w:multiLevelType w:val="multilevel"/>
    <w:tmpl w:val="00000004"/>
    <w:name w:val="WW8Num4"/>
    <w:lvl w:ilvl="0">
      <w:start w:val="1"/>
      <w:numFmt w:val="bullet"/>
      <w:lvlText w:val="o"/>
      <w:lvlJc w:val="left"/>
      <w:pPr>
        <w:tabs>
          <w:tab w:val="num" w:pos="0"/>
        </w:tabs>
        <w:ind w:left="720" w:hanging="360"/>
      </w:pPr>
      <w:rPr>
        <w:rFonts w:ascii="Courier New" w:hAnsi="Courier New" w:cs="Courier New" w:hint="default"/>
        <w:lang w:eastAsia="ko-KR"/>
      </w:rPr>
    </w:lvl>
    <w:lvl w:ilvl="1">
      <w:start w:val="1"/>
      <w:numFmt w:val="bullet"/>
      <w:lvlText w:val="o"/>
      <w:lvlJc w:val="left"/>
      <w:pPr>
        <w:tabs>
          <w:tab w:val="num" w:pos="0"/>
        </w:tabs>
        <w:ind w:left="1440" w:hanging="360"/>
      </w:pPr>
      <w:rPr>
        <w:rFonts w:ascii="Courier New" w:hAnsi="Courier New" w:cs="Courier New" w:hint="default"/>
        <w:lang w:eastAsia="ko-KR"/>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lang w:eastAsia="ko-KR"/>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lang w:eastAsia="ko-KR"/>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Symbol" w:hint="default"/>
        <w:lang w:eastAsia="ko-KR"/>
      </w:rPr>
    </w:lvl>
    <w:lvl w:ilvl="1">
      <w:start w:val="1"/>
      <w:numFmt w:val="bullet"/>
      <w:lvlText w:val="o"/>
      <w:lvlJc w:val="left"/>
      <w:pPr>
        <w:tabs>
          <w:tab w:val="num" w:pos="0"/>
        </w:tabs>
        <w:ind w:left="1440" w:hanging="360"/>
      </w:pPr>
      <w:rPr>
        <w:rFonts w:ascii="Courier New" w:hAnsi="Courier New" w:cs="Courier New" w:hint="default"/>
        <w:sz w:val="24"/>
        <w:szCs w:val="24"/>
        <w:lang w:eastAsia="en-US"/>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lang w:eastAsia="ko-KR"/>
      </w:rPr>
    </w:lvl>
    <w:lvl w:ilvl="4">
      <w:start w:val="1"/>
      <w:numFmt w:val="bullet"/>
      <w:lvlText w:val="o"/>
      <w:lvlJc w:val="left"/>
      <w:pPr>
        <w:tabs>
          <w:tab w:val="num" w:pos="0"/>
        </w:tabs>
        <w:ind w:left="3600" w:hanging="360"/>
      </w:pPr>
      <w:rPr>
        <w:rFonts w:ascii="Courier New" w:hAnsi="Courier New" w:cs="Courier New" w:hint="default"/>
        <w:sz w:val="24"/>
        <w:szCs w:val="24"/>
        <w:lang w:eastAsia="en-US"/>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lang w:eastAsia="ko-KR"/>
      </w:rPr>
    </w:lvl>
    <w:lvl w:ilvl="7">
      <w:start w:val="1"/>
      <w:numFmt w:val="bullet"/>
      <w:lvlText w:val="o"/>
      <w:lvlJc w:val="left"/>
      <w:pPr>
        <w:tabs>
          <w:tab w:val="num" w:pos="0"/>
        </w:tabs>
        <w:ind w:left="5760" w:hanging="360"/>
      </w:pPr>
      <w:rPr>
        <w:rFonts w:ascii="Courier New" w:hAnsi="Courier New" w:cs="Courier New" w:hint="default"/>
        <w:sz w:val="24"/>
        <w:szCs w:val="24"/>
        <w:lang w:eastAsia="en-US"/>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0000006"/>
    <w:multiLevelType w:val="multilevel"/>
    <w:tmpl w:val="00000006"/>
    <w:name w:val="WW8Num6"/>
    <w:lvl w:ilvl="0">
      <w:start w:val="4"/>
      <w:numFmt w:val="bullet"/>
      <w:lvlText w:val="-"/>
      <w:lvlJc w:val="left"/>
      <w:pPr>
        <w:tabs>
          <w:tab w:val="num" w:pos="0"/>
        </w:tabs>
        <w:ind w:left="1080" w:hanging="360"/>
      </w:pPr>
      <w:rPr>
        <w:rFonts w:ascii="Times New Roman" w:hAnsi="Times New Roman" w:cs="Times New Roman"/>
        <w:lang w:eastAsia="ko-KR"/>
      </w:rPr>
    </w:lvl>
    <w:lvl w:ilvl="1">
      <w:start w:val="1"/>
      <w:numFmt w:val="bullet"/>
      <w:lvlText w:val=""/>
      <w:lvlJc w:val="left"/>
      <w:pPr>
        <w:tabs>
          <w:tab w:val="num" w:pos="0"/>
        </w:tabs>
        <w:ind w:left="1520" w:hanging="400"/>
      </w:pPr>
      <w:rPr>
        <w:rFonts w:ascii="Wingdings" w:hAnsi="Wingdings" w:cs="Wingdings"/>
      </w:rPr>
    </w:lvl>
    <w:lvl w:ilvl="2">
      <w:start w:val="1"/>
      <w:numFmt w:val="bullet"/>
      <w:lvlText w:val=""/>
      <w:lvlJc w:val="left"/>
      <w:pPr>
        <w:tabs>
          <w:tab w:val="num" w:pos="0"/>
        </w:tabs>
        <w:ind w:left="1920" w:hanging="400"/>
      </w:pPr>
      <w:rPr>
        <w:rFonts w:ascii="Wingdings" w:hAnsi="Wingdings" w:cs="Wingdings"/>
      </w:rPr>
    </w:lvl>
    <w:lvl w:ilvl="3">
      <w:start w:val="1"/>
      <w:numFmt w:val="bullet"/>
      <w:lvlText w:val=""/>
      <w:lvlJc w:val="left"/>
      <w:pPr>
        <w:tabs>
          <w:tab w:val="num" w:pos="0"/>
        </w:tabs>
        <w:ind w:left="2320" w:hanging="400"/>
      </w:pPr>
      <w:rPr>
        <w:rFonts w:ascii="Wingdings" w:hAnsi="Wingdings" w:cs="Wingdings"/>
      </w:rPr>
    </w:lvl>
    <w:lvl w:ilvl="4">
      <w:start w:val="1"/>
      <w:numFmt w:val="bullet"/>
      <w:lvlText w:val=""/>
      <w:lvlJc w:val="left"/>
      <w:pPr>
        <w:tabs>
          <w:tab w:val="num" w:pos="0"/>
        </w:tabs>
        <w:ind w:left="2720" w:hanging="400"/>
      </w:pPr>
      <w:rPr>
        <w:rFonts w:ascii="Wingdings" w:hAnsi="Wingdings" w:cs="Wingdings"/>
      </w:rPr>
    </w:lvl>
    <w:lvl w:ilvl="5">
      <w:start w:val="1"/>
      <w:numFmt w:val="bullet"/>
      <w:lvlText w:val=""/>
      <w:lvlJc w:val="left"/>
      <w:pPr>
        <w:tabs>
          <w:tab w:val="num" w:pos="0"/>
        </w:tabs>
        <w:ind w:left="3120" w:hanging="400"/>
      </w:pPr>
      <w:rPr>
        <w:rFonts w:ascii="Wingdings" w:hAnsi="Wingdings" w:cs="Wingdings"/>
      </w:rPr>
    </w:lvl>
    <w:lvl w:ilvl="6">
      <w:start w:val="1"/>
      <w:numFmt w:val="bullet"/>
      <w:lvlText w:val=""/>
      <w:lvlJc w:val="left"/>
      <w:pPr>
        <w:tabs>
          <w:tab w:val="num" w:pos="0"/>
        </w:tabs>
        <w:ind w:left="3520" w:hanging="400"/>
      </w:pPr>
      <w:rPr>
        <w:rFonts w:ascii="Wingdings" w:hAnsi="Wingdings" w:cs="Wingdings"/>
      </w:rPr>
    </w:lvl>
    <w:lvl w:ilvl="7">
      <w:start w:val="1"/>
      <w:numFmt w:val="bullet"/>
      <w:lvlText w:val=""/>
      <w:lvlJc w:val="left"/>
      <w:pPr>
        <w:tabs>
          <w:tab w:val="num" w:pos="0"/>
        </w:tabs>
        <w:ind w:left="3920" w:hanging="400"/>
      </w:pPr>
      <w:rPr>
        <w:rFonts w:ascii="Wingdings" w:hAnsi="Wingdings" w:cs="Wingdings"/>
      </w:rPr>
    </w:lvl>
    <w:lvl w:ilvl="8">
      <w:start w:val="1"/>
      <w:numFmt w:val="bullet"/>
      <w:lvlText w:val=""/>
      <w:lvlJc w:val="left"/>
      <w:pPr>
        <w:tabs>
          <w:tab w:val="num" w:pos="0"/>
        </w:tabs>
        <w:ind w:left="4320" w:hanging="400"/>
      </w:pPr>
      <w:rPr>
        <w:rFonts w:ascii="Wingdings" w:hAnsi="Wingdings" w:cs="Wingdings"/>
      </w:rPr>
    </w:lvl>
  </w:abstractNum>
  <w:abstractNum w:abstractNumId="6" w15:restartNumberingAfterBreak="0">
    <w:nsid w:val="0322655D"/>
    <w:multiLevelType w:val="hybridMultilevel"/>
    <w:tmpl w:val="C1020122"/>
    <w:lvl w:ilvl="0" w:tplc="EC54F29C">
      <w:start w:val="1"/>
      <w:numFmt w:val="decimal"/>
      <w:lvlText w:val="%1."/>
      <w:lvlJc w:val="left"/>
      <w:pPr>
        <w:ind w:left="720" w:hanging="360"/>
      </w:pPr>
    </w:lvl>
    <w:lvl w:ilvl="1" w:tplc="024C73A0">
      <w:start w:val="1"/>
      <w:numFmt w:val="lowerLetter"/>
      <w:lvlText w:val="%2."/>
      <w:lvlJc w:val="left"/>
      <w:pPr>
        <w:ind w:left="1440" w:hanging="360"/>
      </w:pPr>
    </w:lvl>
    <w:lvl w:ilvl="2" w:tplc="4D0E943A">
      <w:start w:val="1"/>
      <w:numFmt w:val="lowerRoman"/>
      <w:lvlText w:val="%3."/>
      <w:lvlJc w:val="right"/>
      <w:pPr>
        <w:ind w:left="2160" w:hanging="180"/>
      </w:pPr>
    </w:lvl>
    <w:lvl w:ilvl="3" w:tplc="E794D662">
      <w:start w:val="1"/>
      <w:numFmt w:val="decimal"/>
      <w:lvlText w:val="%4."/>
      <w:lvlJc w:val="left"/>
      <w:pPr>
        <w:ind w:left="2880" w:hanging="360"/>
      </w:pPr>
    </w:lvl>
    <w:lvl w:ilvl="4" w:tplc="EA2AE62A">
      <w:start w:val="1"/>
      <w:numFmt w:val="lowerLetter"/>
      <w:lvlText w:val="%5."/>
      <w:lvlJc w:val="left"/>
      <w:pPr>
        <w:ind w:left="3600" w:hanging="360"/>
      </w:pPr>
    </w:lvl>
    <w:lvl w:ilvl="5" w:tplc="66B6D5CE">
      <w:start w:val="1"/>
      <w:numFmt w:val="lowerRoman"/>
      <w:lvlText w:val="%6."/>
      <w:lvlJc w:val="right"/>
      <w:pPr>
        <w:ind w:left="4320" w:hanging="180"/>
      </w:pPr>
    </w:lvl>
    <w:lvl w:ilvl="6" w:tplc="C730EE66">
      <w:start w:val="1"/>
      <w:numFmt w:val="decimal"/>
      <w:lvlText w:val="%7."/>
      <w:lvlJc w:val="left"/>
      <w:pPr>
        <w:ind w:left="5040" w:hanging="360"/>
      </w:pPr>
    </w:lvl>
    <w:lvl w:ilvl="7" w:tplc="6B563BB6">
      <w:start w:val="1"/>
      <w:numFmt w:val="lowerLetter"/>
      <w:lvlText w:val="%8."/>
      <w:lvlJc w:val="left"/>
      <w:pPr>
        <w:ind w:left="5760" w:hanging="360"/>
      </w:pPr>
    </w:lvl>
    <w:lvl w:ilvl="8" w:tplc="3EFA570E">
      <w:start w:val="1"/>
      <w:numFmt w:val="lowerRoman"/>
      <w:lvlText w:val="%9."/>
      <w:lvlJc w:val="right"/>
      <w:pPr>
        <w:ind w:left="6480" w:hanging="180"/>
      </w:pPr>
    </w:lvl>
  </w:abstractNum>
  <w:num w:numId="1" w16cid:durableId="45885283">
    <w:abstractNumId w:val="6"/>
  </w:num>
  <w:num w:numId="2" w16cid:durableId="910041590">
    <w:abstractNumId w:val="0"/>
  </w:num>
  <w:num w:numId="3" w16cid:durableId="457603920">
    <w:abstractNumId w:val="1"/>
  </w:num>
  <w:num w:numId="4" w16cid:durableId="2061781242">
    <w:abstractNumId w:val="2"/>
  </w:num>
  <w:num w:numId="5" w16cid:durableId="1830755658">
    <w:abstractNumId w:val="3"/>
  </w:num>
  <w:num w:numId="6" w16cid:durableId="1307927175">
    <w:abstractNumId w:val="4"/>
  </w:num>
  <w:num w:numId="7" w16cid:durableId="6724151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152"/>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2FD"/>
    <w:rsid w:val="006342FD"/>
    <w:rsid w:val="006D4AAD"/>
    <w:rsid w:val="00A35157"/>
    <w:rsid w:val="38BCAF55"/>
    <w:rsid w:val="4989BE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009B589"/>
  <w15:chartTrackingRefBased/>
  <w15:docId w15:val="{CE314E04-DF58-40DD-AC43-D759B2A30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E w:val="0"/>
      <w:snapToGrid w:val="0"/>
      <w:spacing w:after="120"/>
      <w:jc w:val="both"/>
    </w:pPr>
    <w:rPr>
      <w:rFonts w:eastAsia="SimSun"/>
      <w:sz w:val="22"/>
      <w:szCs w:val="22"/>
      <w:lang w:eastAsia="zh-CN"/>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ind w:left="720" w:hanging="720"/>
      <w:outlineLvl w:val="3"/>
    </w:pPr>
    <w:rPr>
      <w:b/>
      <w:bCs/>
      <w:szCs w:val="28"/>
    </w:rPr>
  </w:style>
  <w:style w:type="paragraph" w:styleId="Heading5">
    <w:name w:val="heading 5"/>
    <w:basedOn w:val="Normal"/>
    <w:next w:val="Normal"/>
    <w:qFormat/>
    <w:pPr>
      <w:keepNext/>
      <w:numPr>
        <w:ilvl w:val="4"/>
        <w:numId w:val="2"/>
      </w:numPr>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i w:val="0"/>
      <w:lang w:val="en-US"/>
    </w:rPr>
  </w:style>
  <w:style w:type="character" w:customStyle="1" w:styleId="WW8Num1z1">
    <w:name w:val="WW8Num1z1"/>
    <w:rPr>
      <w:rFonts w:ascii="Times New Roman" w:hAnsi="Times New Roman" w:cs="Times New Roman"/>
      <w:b/>
      <w:i w:val="0"/>
      <w:sz w:val="24"/>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3z0">
    <w:name w:val="WW8Num3z0"/>
    <w:rPr>
      <w:rFonts w:ascii="Courier New" w:eastAsia="Malgun Gothic" w:hAnsi="Courier New" w:cs="Courier New" w:hint="default"/>
      <w:lang w:eastAsia="ko-KR"/>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Courier New" w:eastAsia="Malgun Gothic" w:hAnsi="Courier New" w:cs="Courier New" w:hint="default"/>
      <w:lang w:eastAsia="ko-KR"/>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Symbol" w:eastAsia="Malgun Gothic" w:hAnsi="Symbol" w:cs="Symbol" w:hint="default"/>
      <w:lang w:eastAsia="ko-KR"/>
    </w:rPr>
  </w:style>
  <w:style w:type="character" w:customStyle="1" w:styleId="WW8Num5z1">
    <w:name w:val="WW8Num5z1"/>
    <w:rPr>
      <w:rFonts w:ascii="Courier New" w:eastAsia="Malgun Gothic" w:hAnsi="Courier New" w:cs="Courier New" w:hint="default"/>
      <w:sz w:val="24"/>
      <w:szCs w:val="24"/>
      <w:lang w:eastAsia="en-US"/>
    </w:rPr>
  </w:style>
  <w:style w:type="character" w:customStyle="1" w:styleId="WW8Num5z2">
    <w:name w:val="WW8Num5z2"/>
    <w:rPr>
      <w:rFonts w:ascii="Wingdings" w:hAnsi="Wingdings" w:cs="Wingdings" w:hint="default"/>
    </w:rPr>
  </w:style>
  <w:style w:type="character" w:customStyle="1" w:styleId="WW8Num6z0">
    <w:name w:val="WW8Num6z0"/>
    <w:rPr>
      <w:rFonts w:ascii="Times New Roman" w:eastAsia="Malgun Gothic" w:hAnsi="Times New Roman" w:cs="Times New Roman"/>
      <w:lang w:eastAsia="ko-KR"/>
    </w:rPr>
  </w:style>
  <w:style w:type="character" w:customStyle="1" w:styleId="WW8Num6z1">
    <w:name w:val="WW8Num6z1"/>
    <w:rPr>
      <w:rFonts w:ascii="Wingdings" w:hAnsi="Wingdings" w:cs="Wingdings"/>
    </w:rPr>
  </w:style>
  <w:style w:type="character" w:customStyle="1" w:styleId="DefaultParagraphFont0">
    <w:name w:val="Default Paragraph Font0"/>
  </w:style>
  <w:style w:type="character" w:customStyle="1" w:styleId="WW8Num3z1">
    <w:name w:val="WW8Num3z1"/>
    <w:rPr>
      <w:rFonts w:ascii="Wingdings" w:hAnsi="Wingdings" w:cs="Wingdings"/>
    </w:rPr>
  </w:style>
  <w:style w:type="character" w:customStyle="1" w:styleId="WW8Num7z0">
    <w:name w:val="WW8Num7z0"/>
    <w:rPr>
      <w:rFonts w:eastAsia="Wingdings" w:cs="Wingdings"/>
    </w:rPr>
  </w:style>
  <w:style w:type="character" w:customStyle="1" w:styleId="WW8Num8z0">
    <w:name w:val="WW8Num8z0"/>
    <w:rPr>
      <w:lang w:eastAsia="zh-CN"/>
    </w:rPr>
  </w:style>
  <w:style w:type="character" w:customStyle="1" w:styleId="WW8Num9z0">
    <w:name w:val="WW8Num9z0"/>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Symbol" w:eastAsia="Wingdings" w:hAnsi="Symbol" w:cs="Symbol" w:hint="default"/>
    </w:rPr>
  </w:style>
  <w:style w:type="character" w:customStyle="1" w:styleId="WW8Num14z1">
    <w:name w:val="WW8Num14z1"/>
    <w:rPr>
      <w:rFonts w:ascii="Courier New" w:eastAsia="Wingdings" w:hAnsi="Courier New" w:cs="Courier New" w:hint="default"/>
      <w:sz w:val="24"/>
      <w:szCs w:val="24"/>
    </w:rPr>
  </w:style>
  <w:style w:type="character" w:customStyle="1" w:styleId="WW8Num14z2">
    <w:name w:val="WW8Num14z2"/>
    <w:rPr>
      <w:rFonts w:ascii="Wingdings" w:eastAsia="Wingdings" w:hAnsi="Wingdings" w:cs="Wingdings" w:hint="default"/>
    </w:rPr>
  </w:style>
  <w:style w:type="character" w:customStyle="1" w:styleId="WW8Num15z0">
    <w:name w:val="WW8Num15z0"/>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DefaultParagraphFont">
    <w:name w:val="WW-Default Paragraph Font"/>
  </w:style>
  <w:style w:type="character" w:customStyle="1" w:styleId="WW8Num2z1">
    <w:name w:val="WW8Num2z1"/>
    <w:rPr>
      <w:rFonts w:ascii="Wingdings" w:hAnsi="Wingdings" w:cs="Wingdings"/>
    </w:rPr>
  </w:style>
  <w:style w:type="character" w:customStyle="1" w:styleId="WW8Num4z1">
    <w:name w:val="WW8Num4z1"/>
    <w:rPr>
      <w:rFonts w:ascii="Wingdings" w:hAnsi="Wingdings" w:cs="Wingdings"/>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1">
    <w:name w:val="WW8Num9z1"/>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a">
    <w:name w:val="默认段落字体"/>
  </w:style>
  <w:style w:type="character" w:customStyle="1" w:styleId="Char">
    <w:name w:val="正文文本 Char"/>
    <w:rPr>
      <w:kern w:val="2"/>
      <w:lang w:val="en-GB" w:eastAsia="zh-CN" w:bidi="ar-SA"/>
    </w:rPr>
  </w:style>
  <w:style w:type="character" w:styleId="Hyperlink">
    <w:name w:val="Hyperlink"/>
    <w:rPr>
      <w:color w:val="0000FF"/>
      <w:kern w:val="2"/>
      <w:u w:val="single"/>
      <w:lang w:val="en-GB" w:eastAsia="zh-CN" w:bidi="ar-SA"/>
    </w:rPr>
  </w:style>
  <w:style w:type="character" w:customStyle="1" w:styleId="Char0">
    <w:name w:val="题注 Char"/>
    <w:rPr>
      <w:b/>
      <w:bCs/>
      <w:kern w:val="2"/>
      <w:lang w:val="en-GB" w:eastAsia="zh-CN" w:bidi="ar-SA"/>
    </w:rPr>
  </w:style>
  <w:style w:type="character" w:customStyle="1" w:styleId="1">
    <w:name w:val="已访问的超链接1"/>
    <w:rPr>
      <w:color w:val="800080"/>
      <w:kern w:val="2"/>
      <w:u w:val="single"/>
      <w:lang w:val="en-GB" w:eastAsia="zh-CN" w:bidi="ar-SA"/>
    </w:rPr>
  </w:style>
  <w:style w:type="character" w:customStyle="1" w:styleId="FootnoteCharacters">
    <w:name w:val="Footnote Characters"/>
    <w:rPr>
      <w:kern w:val="2"/>
      <w:vertAlign w:val="superscript"/>
      <w:lang w:val="en-GB" w:eastAsia="zh-CN" w:bidi="ar-SA"/>
    </w:rPr>
  </w:style>
  <w:style w:type="character" w:customStyle="1" w:styleId="Char1">
    <w:name w:val="页眉 Char"/>
    <w:rPr>
      <w:kern w:val="2"/>
      <w:sz w:val="22"/>
      <w:szCs w:val="22"/>
      <w:lang w:val="en-GB" w:eastAsia="zh-CN" w:bidi="ar-SA"/>
    </w:rPr>
  </w:style>
  <w:style w:type="character" w:customStyle="1" w:styleId="Char2">
    <w:name w:val="页脚 Char"/>
    <w:rPr>
      <w:kern w:val="2"/>
      <w:sz w:val="22"/>
      <w:szCs w:val="22"/>
      <w:lang w:val="en-GB" w:eastAsia="zh-CN" w:bidi="ar-SA"/>
    </w:rPr>
  </w:style>
  <w:style w:type="character" w:customStyle="1" w:styleId="Char3">
    <w:name w:val="文档结构图 Char"/>
    <w:rPr>
      <w:rFonts w:ascii="SimSun" w:hAnsi="SimSun" w:cs="SimSun"/>
      <w:kern w:val="2"/>
      <w:sz w:val="18"/>
      <w:szCs w:val="18"/>
      <w:lang w:val="en-GB" w:bidi="ar-SA"/>
    </w:rPr>
  </w:style>
  <w:style w:type="character" w:customStyle="1" w:styleId="maintextChar">
    <w:name w:val="main text Char"/>
    <w:rPr>
      <w:rFonts w:eastAsia="Malgun Gothic" w:cs="Batang"/>
      <w:lang w:val="en-GB" w:eastAsia="ko-KR"/>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a0">
    <w:name w:val="批注引用"/>
    <w:rPr>
      <w:kern w:val="2"/>
      <w:sz w:val="21"/>
      <w:szCs w:val="21"/>
      <w:lang w:val="en-GB" w:eastAsia="zh-CN" w:bidi="ar-SA"/>
    </w:rPr>
  </w:style>
  <w:style w:type="character" w:customStyle="1" w:styleId="Char4">
    <w:name w:val="批注文字 Char"/>
    <w:rPr>
      <w:kern w:val="2"/>
      <w:sz w:val="22"/>
      <w:szCs w:val="22"/>
      <w:lang w:val="en-GB" w:bidi="ar-SA"/>
    </w:rPr>
  </w:style>
  <w:style w:type="character" w:customStyle="1" w:styleId="Char5">
    <w:name w:val="批注主题 Char"/>
    <w:rPr>
      <w:b/>
      <w:bCs/>
      <w:kern w:val="2"/>
      <w:sz w:val="22"/>
      <w:szCs w:val="22"/>
      <w:lang w:val="en-GB" w:bidi="ar-SA"/>
    </w:rPr>
  </w:style>
  <w:style w:type="character" w:styleId="CommentReference">
    <w:name w:val="annotation reference"/>
    <w:rPr>
      <w:sz w:val="16"/>
      <w:szCs w:val="16"/>
    </w:rPr>
  </w:style>
  <w:style w:type="character" w:customStyle="1" w:styleId="CommentTextChar">
    <w:name w:val="Comment Text Char"/>
    <w:rPr>
      <w:rFonts w:eastAsia="SimSun"/>
      <w:lang w:eastAsia="zh-CN"/>
    </w:rPr>
  </w:style>
  <w:style w:type="character" w:customStyle="1" w:styleId="CommentSubjectChar">
    <w:name w:val="Comment Subject Char"/>
    <w:rPr>
      <w:rFonts w:eastAsia="SimSun"/>
      <w:b/>
      <w:bCs/>
      <w:lang w:eastAsia="zh-CN"/>
    </w:rPr>
  </w:style>
  <w:style w:type="paragraph" w:customStyle="1" w:styleId="Heading">
    <w:name w:val="Heading"/>
    <w:basedOn w:val="Normal"/>
    <w:next w:val="BodyText"/>
    <w:pPr>
      <w:keepNext/>
      <w:spacing w:before="240"/>
    </w:pPr>
    <w:rPr>
      <w:rFonts w:ascii="Liberation Sans" w:eastAsia="Noto Sans CJK SC Regular" w:hAnsi="Liberation Sans" w:cs="FreeSans"/>
      <w:sz w:val="28"/>
      <w:szCs w:val="28"/>
    </w:rPr>
  </w:style>
  <w:style w:type="paragraph" w:styleId="BodyText">
    <w:name w:val="Body Text"/>
    <w:basedOn w:val="Normal"/>
    <w:rPr>
      <w:kern w:val="2"/>
      <w:sz w:val="20"/>
      <w:szCs w:val="20"/>
      <w:lang w:val="en-GB"/>
    </w:rPr>
  </w:style>
  <w:style w:type="paragraph" w:styleId="List">
    <w:name w:val="List"/>
    <w:basedOn w:val="Normal"/>
    <w:pPr>
      <w:ind w:left="360" w:hanging="360"/>
    </w:pPr>
  </w:style>
  <w:style w:type="paragraph" w:styleId="Caption">
    <w:name w:val="caption"/>
    <w:basedOn w:val="Normal"/>
    <w:qFormat/>
    <w:pPr>
      <w:suppressLineNumbers/>
      <w:spacing w:before="120"/>
    </w:pPr>
    <w:rPr>
      <w:rFonts w:cs="FreeSans"/>
      <w:i/>
      <w:iCs/>
      <w:sz w:val="24"/>
      <w:szCs w:val="24"/>
    </w:rPr>
  </w:style>
  <w:style w:type="paragraph" w:customStyle="1" w:styleId="Index">
    <w:name w:val="Index"/>
    <w:basedOn w:val="Normal"/>
    <w:pPr>
      <w:suppressLineNumbers/>
    </w:pPr>
    <w:rPr>
      <w:rFonts w:cs="FreeSans"/>
    </w:rPr>
  </w:style>
  <w:style w:type="paragraph" w:customStyle="1" w:styleId="a1">
    <w:name w:val="题注"/>
    <w:basedOn w:val="Normal"/>
    <w:next w:val="Normal"/>
    <w:pPr>
      <w:jc w:val="center"/>
    </w:pPr>
    <w:rPr>
      <w:b/>
      <w:bCs/>
      <w:kern w:val="2"/>
      <w:sz w:val="20"/>
      <w:szCs w:val="20"/>
      <w:lang w:val="en-GB"/>
    </w:rPr>
  </w:style>
  <w:style w:type="paragraph" w:customStyle="1" w:styleId="a2">
    <w:name w:val="列表项目符号"/>
    <w:basedOn w:val="List"/>
    <w:pPr>
      <w:autoSpaceDE/>
      <w:spacing w:after="180"/>
      <w:ind w:left="568" w:hanging="284"/>
      <w:jc w:val="left"/>
    </w:pPr>
    <w:rPr>
      <w:sz w:val="20"/>
      <w:szCs w:val="20"/>
      <w:lang w:val="en-GB"/>
    </w:rPr>
  </w:style>
  <w:style w:type="paragraph" w:customStyle="1" w:styleId="2">
    <w:name w:val="正文文本 2"/>
    <w:basedOn w:val="Normal"/>
    <w:pPr>
      <w:spacing w:after="0"/>
      <w:jc w:val="left"/>
    </w:pPr>
    <w:rPr>
      <w:szCs w:val="20"/>
    </w:rPr>
  </w:style>
  <w:style w:type="paragraph" w:customStyle="1" w:styleId="a3">
    <w:name w:val="批注框文本"/>
    <w:basedOn w:val="Normal"/>
    <w:rPr>
      <w:rFonts w:ascii="Tahoma" w:hAnsi="Tahoma" w:cs="Tahoma"/>
      <w:sz w:val="16"/>
      <w:szCs w:val="16"/>
    </w:rPr>
  </w:style>
  <w:style w:type="paragraph" w:customStyle="1" w:styleId="References">
    <w:name w:val="References"/>
    <w:basedOn w:val="Normal"/>
    <w:pPr>
      <w:numPr>
        <w:numId w:val="3"/>
      </w:numPr>
      <w:spacing w:after="60"/>
    </w:pPr>
    <w:rPr>
      <w:sz w:val="20"/>
      <w:szCs w:val="16"/>
    </w:rPr>
  </w:style>
  <w:style w:type="paragraph" w:styleId="FootnoteText">
    <w:name w:val="footnote text"/>
    <w:basedOn w:val="Normal"/>
    <w:rPr>
      <w:sz w:val="20"/>
      <w:szCs w:val="20"/>
    </w:rPr>
  </w:style>
  <w:style w:type="paragraph" w:customStyle="1" w:styleId="Figure">
    <w:name w:val="Figure"/>
    <w:basedOn w:val="Normal"/>
    <w:pPr>
      <w:keepNext/>
      <w:jc w:val="center"/>
    </w:pPr>
  </w:style>
  <w:style w:type="paragraph" w:customStyle="1" w:styleId="Eqn">
    <w:name w:val="Eqn"/>
    <w:basedOn w:val="Normal"/>
    <w:rPr>
      <w:lang w:eastAsia="ja-JP"/>
    </w:rPr>
  </w:style>
  <w:style w:type="paragraph" w:customStyle="1" w:styleId="tablecell">
    <w:name w:val="tablecell"/>
    <w:basedOn w:val="Normal"/>
    <w:pPr>
      <w:spacing w:before="20" w:after="20"/>
      <w:jc w:val="left"/>
    </w:pPr>
  </w:style>
  <w:style w:type="paragraph" w:customStyle="1" w:styleId="HeaderandFooter">
    <w:name w:val="Header and Footer"/>
    <w:basedOn w:val="Normal"/>
    <w:pPr>
      <w:suppressLineNumbers/>
      <w:tabs>
        <w:tab w:val="center" w:pos="4986"/>
        <w:tab w:val="right" w:pos="9972"/>
      </w:tabs>
    </w:pPr>
  </w:style>
  <w:style w:type="paragraph" w:styleId="Header">
    <w:name w:val="header"/>
    <w:basedOn w:val="Normal"/>
    <w:rPr>
      <w:kern w:val="2"/>
      <w:lang w:val="en-GB"/>
    </w:rPr>
  </w:style>
  <w:style w:type="paragraph" w:styleId="Footer">
    <w:name w:val="footer"/>
    <w:basedOn w:val="Normal"/>
    <w:rPr>
      <w:kern w:val="2"/>
      <w:lang w:val="en-GB"/>
    </w:rPr>
  </w:style>
  <w:style w:type="paragraph" w:customStyle="1" w:styleId="tablecol">
    <w:name w:val="tablecol"/>
    <w:basedOn w:val="tablecell"/>
    <w:pPr>
      <w:jc w:val="center"/>
    </w:pPr>
    <w:rPr>
      <w:b/>
    </w:rPr>
  </w:style>
  <w:style w:type="paragraph" w:customStyle="1" w:styleId="a4">
    <w:name w:val="文档结构图"/>
    <w:basedOn w:val="Normal"/>
    <w:rPr>
      <w:rFonts w:ascii="SimSun" w:hAnsi="SimSun" w:cs="SimSun"/>
      <w:kern w:val="2"/>
      <w:sz w:val="18"/>
      <w:szCs w:val="18"/>
      <w:lang w:val="en-GB"/>
    </w:rPr>
  </w:style>
  <w:style w:type="paragraph" w:customStyle="1" w:styleId="maintext">
    <w:name w:val="main text"/>
    <w:basedOn w:val="Normal"/>
    <w:pPr>
      <w:autoSpaceDE/>
      <w:snapToGrid/>
      <w:spacing w:before="60" w:after="60" w:line="288" w:lineRule="auto"/>
      <w:ind w:firstLine="200"/>
    </w:pPr>
    <w:rPr>
      <w:rFonts w:eastAsia="Malgun Gothic"/>
      <w:sz w:val="20"/>
      <w:szCs w:val="20"/>
      <w:lang w:val="en-GB" w:eastAsia="ko-KR"/>
    </w:rPr>
  </w:style>
  <w:style w:type="paragraph" w:customStyle="1" w:styleId="2222">
    <w:name w:val="스타일 스타일 스타일 스타일 양쪽 첫 줄:  2 글자 + 첫 줄:  2 글자 + 첫 줄:  2 글자 + 첫 줄:  2..."/>
    <w:basedOn w:val="Normal"/>
    <w:pPr>
      <w:autoSpaceDE/>
      <w:snapToGrid/>
      <w:spacing w:after="180" w:line="336" w:lineRule="auto"/>
      <w:ind w:firstLine="200"/>
    </w:pPr>
    <w:rPr>
      <w:rFonts w:eastAsia="Malgun Gothic"/>
      <w:sz w:val="20"/>
      <w:szCs w:val="20"/>
      <w:lang w:val="en-GB"/>
    </w:rPr>
  </w:style>
  <w:style w:type="paragraph" w:customStyle="1" w:styleId="a5">
    <w:name w:val="批注文字"/>
    <w:basedOn w:val="Normal"/>
    <w:pPr>
      <w:jc w:val="left"/>
    </w:pPr>
    <w:rPr>
      <w:kern w:val="2"/>
      <w:lang w:val="en-GB"/>
    </w:rPr>
  </w:style>
  <w:style w:type="paragraph" w:customStyle="1" w:styleId="a6">
    <w:name w:val="批注主题"/>
    <w:basedOn w:val="a5"/>
    <w:next w:val="a5"/>
    <w:rPr>
      <w:b/>
      <w:bCs/>
    </w:rPr>
  </w:style>
  <w:style w:type="paragraph" w:customStyle="1" w:styleId="a7">
    <w:name w:val="列出段落"/>
    <w:basedOn w:val="Normal"/>
    <w:pPr>
      <w:ind w:left="720"/>
      <w:contextualSpacing/>
    </w:p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18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1078</Words>
  <Characters>6146</Characters>
  <Application>Microsoft Office Word</Application>
  <DocSecurity>0</DocSecurity>
  <Lines>51</Lines>
  <Paragraphs>14</Paragraphs>
  <ScaleCrop>false</ScaleCrop>
  <Company/>
  <LinksUpToDate>false</LinksUpToDate>
  <CharactersWithSpaces>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Deepak P M</cp:lastModifiedBy>
  <cp:revision>4</cp:revision>
  <cp:lastPrinted>2007-06-19T00:08:00Z</cp:lastPrinted>
  <dcterms:created xsi:type="dcterms:W3CDTF">2022-04-26T06:07:00Z</dcterms:created>
  <dcterms:modified xsi:type="dcterms:W3CDTF">2022-04-29T09:22:00Z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(3)B4ElOIyWbFUE0i2tg9MxI9gGzPxGuIqJUFbpw59zWXb8/+veGTTY5TsxAsd3fGK76tVcIP4j_x000d_
NUkxuEPw1S2C2kT05vGJ3MRbTPq2HHQ5EIFdj+r/U27eDM7Au9J2C4qEziqv40QybXjei0bu_x000d_
mYCL3V1Bkj6SSUME2k7qTb1VErnBpairRjETp9UabKVMqEWV+osNdnc806CL3GtnVovpJVyE_x000d_
UPZKOiRaFnZ7fjU4VY</vt:lpwstr>
  </property>
  <property fmtid="{D5CDD505-2E9C-101B-9397-08002B2CF9AE}" pid="3" name="_2015_ms_pID_7253431">
    <vt:lpwstr>96HbNWILQ9YTEEPZZg62tYX9waDwbAKem3MSBEO2wIsQmvlJQn0Ws+_x000d_
m+nc+PT3UuvRJ1T/8+yat5ds36/WX/v9V9XpguFE1iHNxoafwtQDWeQopJLa+AdKtoutqvGk_x000d_
hlT57uJMspTEYIM2NXshMpXuJ++Mh9W8eEgrBBHsyltaXepOIRKSefkRpsRl5XG67wk4bCGo_x000d_
xfHSO8ZKxcDR6ZcHcjWi+DgGO38FK5XsTZgy</vt:lpwstr>
  </property>
  <property fmtid="{D5CDD505-2E9C-101B-9397-08002B2CF9AE}" pid="4" name="_2015_ms_pID_7253431_00">
    <vt:lpwstr>_2015_ms_pID_7253431</vt:lpwstr>
  </property>
  <property fmtid="{D5CDD505-2E9C-101B-9397-08002B2CF9AE}" pid="5" name="_2015_ms_pID_7253432">
    <vt:lpwstr>9qLhyHC9obdVHv8/RLoYiwEXWdzr8N8/jd2r_x000d_
Z4zgO54Jul26UUC1NNoYDAts+rdWXA==</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1"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12" name="_ms_pID_7253431_00">
    <vt:lpwstr>_ms_pID_7253431</vt:lpwstr>
  </property>
  <property fmtid="{D5CDD505-2E9C-101B-9397-08002B2CF9AE}" pid="13" name="_ms_pID_725343_00">
    <vt:lpwstr>_ms_pID_725343</vt:lpwstr>
  </property>
  <property fmtid="{D5CDD505-2E9C-101B-9397-08002B2CF9AE}" pid="14"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15"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16" name="_new_ms_pID_725431_00">
    <vt:lpwstr>_new_ms_pID_725431</vt:lpwstr>
  </property>
  <property fmtid="{D5CDD505-2E9C-101B-9397-08002B2CF9AE}" pid="17" name="_new_ms_pID_725432">
    <vt:lpwstr>5ODSr9xM8Xe/xX3rgoOAg9xBQQRuph+xauB2_x000d_
+Uz1cw0AjCoGCO2oa+/H2hSUl4V/TuAc1JprpjrQiCnOJfR4pc0=</vt:lpwstr>
  </property>
  <property fmtid="{D5CDD505-2E9C-101B-9397-08002B2CF9AE}" pid="18" name="_new_ms_pID_725432_00">
    <vt:lpwstr>_new_ms_pID_725432</vt:lpwstr>
  </property>
  <property fmtid="{D5CDD505-2E9C-101B-9397-08002B2CF9AE}" pid="19" name="_new_ms_pID_72543_00">
    <vt:lpwstr>_new_ms_pID_72543</vt:lpwstr>
  </property>
  <property fmtid="{D5CDD505-2E9C-101B-9397-08002B2CF9AE}" pid="20" name="_readonly">
    <vt:lpwstr/>
  </property>
  <property fmtid="{D5CDD505-2E9C-101B-9397-08002B2CF9AE}" pid="21" name="sflag">
    <vt:lpwstr>1510973513</vt:lpwstr>
  </property>
</Properties>
</file>