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F83F5" w14:textId="06A7BBAE" w:rsidR="00695123" w:rsidRPr="00695123" w:rsidRDefault="00695123" w:rsidP="00695123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8"/>
        </w:rPr>
      </w:pPr>
      <w:r w:rsidRPr="00695123">
        <w:rPr>
          <w:b/>
          <w:bCs/>
          <w:sz w:val="28"/>
        </w:rPr>
        <w:t xml:space="preserve">3GPP TSG RAN WG1 </w:t>
      </w:r>
      <w:r w:rsidR="00EB6FA4" w:rsidRPr="00EB6FA4">
        <w:rPr>
          <w:b/>
          <w:bCs/>
          <w:sz w:val="28"/>
        </w:rPr>
        <w:t>#</w:t>
      </w:r>
      <w:r w:rsidR="001C6FCD" w:rsidRPr="00EB6FA4">
        <w:rPr>
          <w:b/>
          <w:bCs/>
          <w:sz w:val="28"/>
        </w:rPr>
        <w:t>10</w:t>
      </w:r>
      <w:r w:rsidR="005A6E20">
        <w:rPr>
          <w:b/>
          <w:bCs/>
          <w:sz w:val="28"/>
        </w:rPr>
        <w:t>9</w:t>
      </w:r>
      <w:r w:rsidR="00EB6FA4" w:rsidRPr="00EB6FA4">
        <w:rPr>
          <w:b/>
          <w:bCs/>
          <w:sz w:val="28"/>
        </w:rPr>
        <w:t>-e</w:t>
      </w:r>
      <w:r w:rsidRPr="00695123">
        <w:rPr>
          <w:b/>
          <w:bCs/>
          <w:sz w:val="28"/>
        </w:rPr>
        <w:tab/>
      </w:r>
      <w:r w:rsidRPr="00695123">
        <w:rPr>
          <w:b/>
          <w:bCs/>
          <w:sz w:val="28"/>
        </w:rPr>
        <w:tab/>
        <w:t xml:space="preserve">    </w:t>
      </w:r>
      <w:r w:rsidRPr="00695123">
        <w:rPr>
          <w:b/>
          <w:bCs/>
          <w:sz w:val="28"/>
        </w:rPr>
        <w:tab/>
        <w:t>R1-</w:t>
      </w:r>
      <w:r w:rsidR="001C6FCD" w:rsidRPr="00695123">
        <w:rPr>
          <w:b/>
          <w:bCs/>
          <w:sz w:val="28"/>
        </w:rPr>
        <w:t>2</w:t>
      </w:r>
      <w:r w:rsidR="001C6FCD">
        <w:rPr>
          <w:b/>
          <w:bCs/>
          <w:sz w:val="28"/>
        </w:rPr>
        <w:t>20</w:t>
      </w:r>
      <w:r w:rsidR="005A6E20">
        <w:rPr>
          <w:b/>
          <w:bCs/>
          <w:sz w:val="28"/>
        </w:rPr>
        <w:t>4706</w:t>
      </w:r>
    </w:p>
    <w:p w14:paraId="468022D7" w14:textId="4DF76BE2" w:rsidR="005C41F1" w:rsidRPr="00695123" w:rsidRDefault="00695123" w:rsidP="00695123">
      <w:pPr>
        <w:spacing w:afterLines="50" w:after="120"/>
        <w:ind w:left="1985" w:hanging="1985"/>
        <w:rPr>
          <w:b/>
          <w:sz w:val="28"/>
          <w:szCs w:val="28"/>
        </w:rPr>
      </w:pPr>
      <w:r w:rsidRPr="00695123">
        <w:rPr>
          <w:rFonts w:eastAsia="MS Mincho"/>
          <w:b/>
          <w:bCs/>
          <w:sz w:val="28"/>
          <w:lang w:eastAsia="ja-JP"/>
        </w:rPr>
        <w:t xml:space="preserve">e-Meeting, </w:t>
      </w:r>
      <w:r w:rsidR="005A6E20" w:rsidRPr="005A6E20">
        <w:rPr>
          <w:rFonts w:eastAsia="MS Mincho"/>
          <w:b/>
          <w:bCs/>
          <w:sz w:val="28"/>
          <w:lang w:eastAsia="ja-JP"/>
        </w:rPr>
        <w:t>May 9th – 20th, 2022</w:t>
      </w:r>
    </w:p>
    <w:p w14:paraId="301899BC" w14:textId="632A9573" w:rsidR="003C20D3" w:rsidRPr="005C41F1" w:rsidRDefault="007A41F6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Agenda item:</w:t>
      </w:r>
      <w:r>
        <w:rPr>
          <w:b/>
          <w:sz w:val="28"/>
          <w:szCs w:val="28"/>
        </w:rPr>
        <w:tab/>
        <w:t>8.2</w:t>
      </w:r>
      <w:r w:rsidR="0050043D">
        <w:rPr>
          <w:b/>
          <w:sz w:val="28"/>
          <w:szCs w:val="28"/>
        </w:rPr>
        <w:t>.</w:t>
      </w:r>
      <w:r w:rsidR="00895F04">
        <w:rPr>
          <w:b/>
          <w:sz w:val="28"/>
          <w:szCs w:val="28"/>
        </w:rPr>
        <w:t>2</w:t>
      </w:r>
    </w:p>
    <w:p w14:paraId="3ACE8376" w14:textId="1AFC6C67" w:rsidR="003C20D3" w:rsidRPr="007D4109" w:rsidRDefault="0050043D" w:rsidP="00895F04">
      <w:pPr>
        <w:spacing w:afterLines="50" w:after="120"/>
        <w:ind w:left="1985" w:hanging="1985"/>
        <w:rPr>
          <w:b/>
          <w:sz w:val="28"/>
          <w:szCs w:val="28"/>
        </w:rPr>
      </w:pPr>
      <w:r>
        <w:rPr>
          <w:b/>
          <w:sz w:val="28"/>
          <w:szCs w:val="28"/>
        </w:rPr>
        <w:t>Title:</w:t>
      </w:r>
      <w:r>
        <w:rPr>
          <w:b/>
          <w:sz w:val="28"/>
          <w:szCs w:val="28"/>
        </w:rPr>
        <w:tab/>
      </w:r>
      <w:r w:rsidR="00B76646">
        <w:rPr>
          <w:b/>
          <w:sz w:val="28"/>
          <w:szCs w:val="28"/>
        </w:rPr>
        <w:t xml:space="preserve">Remaining discussion on </w:t>
      </w:r>
      <w:r w:rsidR="00895F04" w:rsidRPr="00895F04">
        <w:rPr>
          <w:b/>
          <w:sz w:val="28"/>
          <w:szCs w:val="28"/>
        </w:rPr>
        <w:t>PDCCH monitoring enhancement for 52.6-71 GHz NR operation</w:t>
      </w:r>
    </w:p>
    <w:p w14:paraId="1F960842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Source:</w:t>
      </w:r>
      <w:r w:rsidRPr="007D4109">
        <w:rPr>
          <w:b/>
          <w:bCs/>
          <w:sz w:val="28"/>
          <w:szCs w:val="28"/>
        </w:rPr>
        <w:tab/>
        <w:t>MediaTek Inc.</w:t>
      </w:r>
    </w:p>
    <w:p w14:paraId="59C77CE7" w14:textId="77777777" w:rsidR="003C20D3" w:rsidRPr="007D4109" w:rsidRDefault="003C20D3" w:rsidP="004366E0">
      <w:pPr>
        <w:spacing w:afterLines="50" w:after="120"/>
        <w:ind w:left="1985" w:hanging="1985"/>
        <w:rPr>
          <w:b/>
          <w:bCs/>
          <w:sz w:val="28"/>
          <w:szCs w:val="28"/>
        </w:rPr>
      </w:pPr>
      <w:r w:rsidRPr="007D4109">
        <w:rPr>
          <w:b/>
          <w:sz w:val="28"/>
          <w:szCs w:val="28"/>
        </w:rPr>
        <w:t>Document for:</w:t>
      </w:r>
      <w:r w:rsidRPr="007D4109">
        <w:rPr>
          <w:b/>
          <w:bCs/>
          <w:sz w:val="28"/>
          <w:szCs w:val="28"/>
        </w:rPr>
        <w:tab/>
        <w:t>Discussion</w:t>
      </w:r>
    </w:p>
    <w:p w14:paraId="2D57680F" w14:textId="65BB70AD" w:rsidR="00494DC2" w:rsidRPr="007D4109" w:rsidRDefault="00014DC8" w:rsidP="004366E0">
      <w:pPr>
        <w:spacing w:afterLines="50" w:after="120"/>
        <w:rPr>
          <w:b/>
          <w:sz w:val="28"/>
        </w:rPr>
      </w:pPr>
      <w:r>
        <w:pict w14:anchorId="0D3FDAD9">
          <v:rect id="_x0000_i1025" style="width:415.3pt;height:1pt" o:hralign="center" o:hrstd="t" o:hrnoshade="t" o:hr="t" fillcolor="black [3213]" stroked="f"/>
        </w:pict>
      </w:r>
    </w:p>
    <w:p w14:paraId="4CD78FEA" w14:textId="6D198DF5" w:rsidR="0055330E" w:rsidRPr="006E7A57" w:rsidRDefault="00494DC2" w:rsidP="004366E0">
      <w:pPr>
        <w:pStyle w:val="ListParagraph"/>
        <w:numPr>
          <w:ilvl w:val="0"/>
          <w:numId w:val="5"/>
        </w:numPr>
        <w:spacing w:afterLines="50" w:after="120"/>
        <w:outlineLvl w:val="0"/>
        <w:rPr>
          <w:b/>
          <w:sz w:val="28"/>
        </w:rPr>
      </w:pPr>
      <w:r w:rsidRPr="007D4109">
        <w:rPr>
          <w:b/>
          <w:sz w:val="28"/>
        </w:rPr>
        <w:t>Introduction</w:t>
      </w:r>
    </w:p>
    <w:p w14:paraId="02219E3F" w14:textId="0E3BA0F4" w:rsidR="004E01EA" w:rsidRPr="0052558F" w:rsidRDefault="008640D4" w:rsidP="008640D4">
      <w:pPr>
        <w:rPr>
          <w:szCs w:val="22"/>
        </w:rPr>
      </w:pPr>
      <w:r>
        <w:t xml:space="preserve">It has been identified during the SI phase </w:t>
      </w:r>
      <w:r w:rsidR="007E3EFF">
        <w:t>[</w:t>
      </w:r>
      <w:r w:rsidR="00241ABA">
        <w:t>1</w:t>
      </w:r>
      <w:r w:rsidR="007E3EFF">
        <w:t xml:space="preserve">] </w:t>
      </w:r>
      <w:r>
        <w:t xml:space="preserve">that per slot monitoring under high SCSs, i.e., 480 kHz and 960 kHz, might not be a desirable configuration for UE due to the PDCCH monitoring power consumption from relatively short slot duration. Furthermore, under the assumption of per slot monitoring, the associated BD/CCE limit per slot for SCSs higher than 120 kHz might be limited to a small number to accommodate UE capability, e.g., </w:t>
      </w:r>
      <w:r w:rsidR="0037642B">
        <w:t xml:space="preserve">less than 16 </w:t>
      </w:r>
      <w:r>
        <w:t xml:space="preserve">CCE limit per slot, </w:t>
      </w:r>
      <w:r w:rsidR="00831D4E">
        <w:t>which leads to degraded</w:t>
      </w:r>
      <w:r>
        <w:t xml:space="preserve"> scheduling efficiency. To address these two PDCCH monitoring issues, it has been agreed in RAN #90e </w:t>
      </w:r>
      <w:r w:rsidR="007E3EFF">
        <w:t>[</w:t>
      </w:r>
      <w:r w:rsidR="00241ABA">
        <w:t>2</w:t>
      </w:r>
      <w:r w:rsidR="007E3EFF">
        <w:t>]</w:t>
      </w:r>
      <w:r w:rsidR="00241ABA">
        <w:t xml:space="preserve"> </w:t>
      </w:r>
      <w:r>
        <w:t xml:space="preserve">that UE PDCCH monitoring complexity is considered as one of the enhancements for operation in 52.6GHz to 71GHz </w:t>
      </w:r>
      <w:r w:rsidR="0037642B">
        <w:t xml:space="preserve">and </w:t>
      </w:r>
      <w:r>
        <w:t xml:space="preserve">the following aspects </w:t>
      </w:r>
      <w:r w:rsidR="0037642B">
        <w:t xml:space="preserve">are included in the scope </w:t>
      </w:r>
      <w:r>
        <w:t>for further discussion:</w:t>
      </w:r>
      <w:r w:rsidRPr="00B41743">
        <w:t xml:space="preserve"> blind detection/CCE budget, multi-slot span monitoring, potential limitation to UE PDCCH configuration and capability related to PDCCH monitoring</w:t>
      </w:r>
      <w:r>
        <w:t xml:space="preserve">. </w:t>
      </w:r>
      <w:r w:rsidR="00B76646">
        <w:t xml:space="preserve">In RAN1 #107e, the basic multi-slot PDCCH monitoring framework and the associated UE capability on BD/CCE limit have been specified. However, more advanced capability on BD/CCE limit and multi-slot PDCCH monitoring for multi-cell operation is still missing. </w:t>
      </w:r>
      <w:r>
        <w:t xml:space="preserve">Our views on those aspects are as follows.   </w:t>
      </w:r>
    </w:p>
    <w:p w14:paraId="479BFEA9" w14:textId="165C02DE" w:rsidR="00494DC2" w:rsidRPr="007D4109" w:rsidRDefault="00014DC8" w:rsidP="004366E0">
      <w:pPr>
        <w:spacing w:afterLines="50" w:after="120"/>
        <w:jc w:val="both"/>
        <w:rPr>
          <w:color w:val="FF0000"/>
          <w:sz w:val="22"/>
        </w:rPr>
      </w:pPr>
      <w:r>
        <w:pict w14:anchorId="2293ACE1">
          <v:rect id="_x0000_i1026" style="width:415.3pt;height:1pt" o:hralign="center" o:hrstd="t" o:hrnoshade="t" o:hr="t" fillcolor="black [3213]" stroked="f"/>
        </w:pict>
      </w:r>
    </w:p>
    <w:p w14:paraId="0303EB60" w14:textId="4DA10C97" w:rsidR="000D5DFA" w:rsidRDefault="000D5DFA" w:rsidP="008640D4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b/>
          <w:sz w:val="28"/>
        </w:rPr>
      </w:pPr>
      <w:bookmarkStart w:id="0" w:name="_Ref494794648"/>
      <w:r w:rsidRPr="000D5DFA">
        <w:rPr>
          <w:b/>
          <w:sz w:val="28"/>
        </w:rPr>
        <w:t>PDCCH</w:t>
      </w:r>
      <w:r w:rsidR="00831D4E">
        <w:rPr>
          <w:b/>
          <w:sz w:val="28"/>
        </w:rPr>
        <w:t xml:space="preserve"> monitoring enhancement</w:t>
      </w:r>
    </w:p>
    <w:p w14:paraId="0CCED445" w14:textId="77777777" w:rsidR="00C32F15" w:rsidRDefault="00C32F15" w:rsidP="00E239E3"/>
    <w:p w14:paraId="196ED928" w14:textId="012DF21B" w:rsidR="00E16F16" w:rsidRDefault="00D85612" w:rsidP="00E239E3">
      <w:r>
        <w:t>Slot gr</w:t>
      </w:r>
      <w:r w:rsidR="000D7C8F">
        <w:t>o</w:t>
      </w:r>
      <w:r>
        <w:t>up notion wa</w:t>
      </w:r>
      <w:r w:rsidR="006531AD">
        <w:t xml:space="preserve">s </w:t>
      </w:r>
      <w:r w:rsidR="00B76646">
        <w:t xml:space="preserve">agreed </w:t>
      </w:r>
      <w:r w:rsidR="006531AD">
        <w:t>in RAN1 #106</w:t>
      </w:r>
      <w:r w:rsidR="00B50369">
        <w:t xml:space="preserve"> bis </w:t>
      </w:r>
      <w:r w:rsidR="006531AD">
        <w:t>e meeting</w:t>
      </w:r>
      <w:r w:rsidR="00611909">
        <w:t>:</w:t>
      </w:r>
    </w:p>
    <w:p w14:paraId="6DAD1E2E" w14:textId="77777777" w:rsidR="00B50369" w:rsidRDefault="00B50369" w:rsidP="00B50369">
      <w:pPr>
        <w:rPr>
          <w:lang w:eastAsia="x-none"/>
        </w:rPr>
      </w:pPr>
      <w:r w:rsidRPr="00DF0C18">
        <w:rPr>
          <w:highlight w:val="green"/>
          <w:lang w:eastAsia="x-none"/>
        </w:rPr>
        <w:t>Agreement:</w:t>
      </w:r>
    </w:p>
    <w:p w14:paraId="256BBC4E" w14:textId="77777777" w:rsidR="00B50369" w:rsidRPr="00392E7D" w:rsidRDefault="00B50369" w:rsidP="00B50369">
      <w:pPr>
        <w:numPr>
          <w:ilvl w:val="0"/>
          <w:numId w:val="48"/>
        </w:numPr>
        <w:rPr>
          <w:b/>
          <w:bCs/>
          <w:lang w:eastAsia="x-none"/>
        </w:rPr>
      </w:pPr>
      <w:r w:rsidRPr="00392E7D">
        <w:rPr>
          <w:lang w:eastAsia="x-none"/>
        </w:rPr>
        <w:t>Multi-slot PDCCH monitoring is based on slots within a slot group</w:t>
      </w:r>
    </w:p>
    <w:p w14:paraId="3123BDE6" w14:textId="77777777" w:rsidR="00B50369" w:rsidRPr="00392E7D" w:rsidRDefault="00B50369" w:rsidP="00B50369">
      <w:pPr>
        <w:numPr>
          <w:ilvl w:val="1"/>
          <w:numId w:val="48"/>
        </w:numPr>
        <w:rPr>
          <w:lang w:eastAsia="x-none"/>
        </w:rPr>
      </w:pPr>
      <w:r w:rsidRPr="00392E7D">
        <w:rPr>
          <w:lang w:eastAsia="x-none"/>
        </w:rPr>
        <w:t>Each slot group consists of X consecutive slots</w:t>
      </w:r>
    </w:p>
    <w:p w14:paraId="4338F7EC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Slot groups are consecutive and non-overlapping</w:t>
      </w:r>
    </w:p>
    <w:p w14:paraId="7B8BEAA1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41B510C8" w14:textId="77777777" w:rsidR="00B50369" w:rsidRPr="00392E7D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5A51B0E1" w14:textId="77777777" w:rsidR="00B50369" w:rsidRDefault="00B50369" w:rsidP="00B50369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Reporting the BD/CCE budget for X=4/8 slots (for 480/960 kHz resp.) is mandatory</w:t>
      </w:r>
      <w:r>
        <w:rPr>
          <w:lang w:eastAsia="x-none"/>
        </w:rPr>
        <w:t xml:space="preserve"> (if UE supports the corresponding SCS)</w:t>
      </w:r>
      <w:r w:rsidRPr="00392E7D">
        <w:rPr>
          <w:lang w:eastAsia="x-none"/>
        </w:rPr>
        <w:t>, and is optional for X</w:t>
      </w:r>
      <w:proofErr w:type="gramStart"/>
      <w:r w:rsidRPr="00392E7D">
        <w:rPr>
          <w:lang w:eastAsia="x-none"/>
        </w:rPr>
        <w:t>=</w:t>
      </w:r>
      <w:r>
        <w:rPr>
          <w:lang w:eastAsia="x-none"/>
        </w:rPr>
        <w:t>[</w:t>
      </w:r>
      <w:proofErr w:type="gramEnd"/>
      <w:r w:rsidRPr="00392E7D">
        <w:rPr>
          <w:lang w:eastAsia="x-none"/>
        </w:rPr>
        <w:t>2</w:t>
      </w:r>
      <w:r>
        <w:rPr>
          <w:lang w:eastAsia="x-none"/>
        </w:rPr>
        <w:t>]</w:t>
      </w:r>
      <w:r w:rsidRPr="00392E7D">
        <w:rPr>
          <w:lang w:eastAsia="x-none"/>
        </w:rPr>
        <w:t>/4 slots (for 480/960 kHz resp.)</w:t>
      </w:r>
    </w:p>
    <w:p w14:paraId="0AFB9AFB" w14:textId="77777777" w:rsidR="00B50369" w:rsidRPr="00392E7D" w:rsidRDefault="00B50369" w:rsidP="00B50369">
      <w:pPr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t>There is a common BD budget for all search spaces</w:t>
      </w:r>
    </w:p>
    <w:p w14:paraId="67B2450F" w14:textId="37E85092" w:rsidR="00C41C39" w:rsidRDefault="00611909" w:rsidP="00DE403B">
      <w:r>
        <w:t xml:space="preserve"> </w:t>
      </w:r>
    </w:p>
    <w:p w14:paraId="62A816C3" w14:textId="56EC207D" w:rsidR="00B76646" w:rsidRDefault="00B76646" w:rsidP="00DE403B">
      <w:r>
        <w:t>In RAN1 #107-e meeting, the basic multi-slot PDCCH monitoring have been agreed as follows</w:t>
      </w:r>
      <w:r w:rsidR="000D7C8F">
        <w:t>:</w:t>
      </w:r>
    </w:p>
    <w:p w14:paraId="2E532515" w14:textId="77777777" w:rsidR="00B76646" w:rsidRPr="00581EDA" w:rsidRDefault="00B76646" w:rsidP="00B76646">
      <w:pPr>
        <w:rPr>
          <w:b/>
        </w:rPr>
      </w:pPr>
      <w:bookmarkStart w:id="1" w:name="_Hlk88187306"/>
      <w:r w:rsidRPr="00581EDA">
        <w:rPr>
          <w:b/>
          <w:highlight w:val="green"/>
        </w:rPr>
        <w:t>Agreement</w:t>
      </w:r>
    </w:p>
    <w:p w14:paraId="46C259C4" w14:textId="77777777" w:rsidR="00B76646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>
        <w:t>For Group (1) SS: Type 1 CSS with dedicated RRC configuration and type 3 CSS, UE specific SS</w:t>
      </w:r>
    </w:p>
    <w:p w14:paraId="28FA8474" w14:textId="77777777" w:rsidR="00B76646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>
        <w:t>A SS is monitored within Y consecutive slots within a slot group of X slots</w:t>
      </w:r>
    </w:p>
    <w:p w14:paraId="2DB81E39" w14:textId="77777777" w:rsidR="00B76646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>
        <w:t>The Y consecutive slots can be located anywhere within the slot group of X slots</w:t>
      </w:r>
    </w:p>
    <w:p w14:paraId="0B6C4082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lastRenderedPageBreak/>
        <w:t>Note: There is no requirement to align the Y consecutive slots across UEs or with slot n0</w:t>
      </w:r>
    </w:p>
    <w:p w14:paraId="52F37FDC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The location of the Y consecutive slots within the slot group of X slots is maintained across different slot groups</w:t>
      </w:r>
    </w:p>
    <w:p w14:paraId="627D0372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BD attempts for all Group (1) SSs are restricted to fall within the same Y consecutive slots</w:t>
      </w:r>
    </w:p>
    <w:p w14:paraId="70FA1529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For Group (2) SS: Type 1 CSS without dedicated RRC configuration and type 0, 0A, and 2 CSS</w:t>
      </w:r>
    </w:p>
    <w:p w14:paraId="450AC38D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SS monitoring locations can be anywhere within a slot group of X slots, with the following exception</w:t>
      </w:r>
    </w:p>
    <w:p w14:paraId="48FCC33A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 xml:space="preserve">BD attempts for Type0-CSS for SSB/CORESET 0 multiplexing pattern 1, and additionally for Type0A/2-CSS if </w:t>
      </w:r>
      <w:proofErr w:type="spellStart"/>
      <w:r w:rsidRPr="00827264">
        <w:rPr>
          <w:i/>
          <w:iCs/>
        </w:rPr>
        <w:t>searchSpaceId</w:t>
      </w:r>
      <w:proofErr w:type="spellEnd"/>
      <w:r w:rsidRPr="00827264">
        <w:t xml:space="preserve"> = 0, occur in slots with index n0 and n0+X0, where n0 is as in Rel-15, X0=4 for 480 kHz SCS and X0=8 for 960 kHz SCS.</w:t>
      </w:r>
    </w:p>
    <w:p w14:paraId="23DA5B18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Supported combinations of (</w:t>
      </w:r>
      <w:proofErr w:type="gramStart"/>
      <w:r w:rsidRPr="00827264">
        <w:t>X,Y</w:t>
      </w:r>
      <w:proofErr w:type="gramEnd"/>
      <w:r w:rsidRPr="00827264">
        <w:t>)</w:t>
      </w:r>
    </w:p>
    <w:p w14:paraId="0AE5651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mandatorily supports</w:t>
      </w:r>
    </w:p>
    <w:p w14:paraId="1D63CDC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480 kHz: (</w:t>
      </w:r>
      <w:proofErr w:type="gramStart"/>
      <w:r w:rsidRPr="00827264">
        <w:t>X,Y</w:t>
      </w:r>
      <w:proofErr w:type="gramEnd"/>
      <w:r w:rsidRPr="00827264">
        <w:t>) = (4,1)</w:t>
      </w:r>
    </w:p>
    <w:p w14:paraId="18D9AAB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960 kHz: (</w:t>
      </w:r>
      <w:proofErr w:type="gramStart"/>
      <w:r w:rsidRPr="00827264">
        <w:t>X,Y</w:t>
      </w:r>
      <w:proofErr w:type="gramEnd"/>
      <w:r w:rsidRPr="00827264">
        <w:t>) = (8,1)</w:t>
      </w:r>
    </w:p>
    <w:p w14:paraId="71766E5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optionally supports</w:t>
      </w:r>
    </w:p>
    <w:p w14:paraId="6773ED39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480 kHz: (</w:t>
      </w:r>
      <w:proofErr w:type="gramStart"/>
      <w:r w:rsidRPr="00827264">
        <w:t>X,Y</w:t>
      </w:r>
      <w:proofErr w:type="gramEnd"/>
      <w:r w:rsidRPr="00827264">
        <w:t>) = (4,2)</w:t>
      </w:r>
    </w:p>
    <w:p w14:paraId="65609A04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For SCS 960 kHz: (</w:t>
      </w:r>
      <w:proofErr w:type="gramStart"/>
      <w:r w:rsidRPr="00827264">
        <w:t>X,Y</w:t>
      </w:r>
      <w:proofErr w:type="gramEnd"/>
      <w:r w:rsidRPr="00827264">
        <w:t>) = (8,4), (4,2), (4,1)</w:t>
      </w:r>
    </w:p>
    <w:p w14:paraId="46018463" w14:textId="77777777" w:rsidR="00B76646" w:rsidRPr="00827264" w:rsidRDefault="00B76646" w:rsidP="00B76646">
      <w:pPr>
        <w:pStyle w:val="ListParagraph"/>
        <w:numPr>
          <w:ilvl w:val="3"/>
          <w:numId w:val="52"/>
        </w:numPr>
        <w:snapToGrid w:val="0"/>
        <w:spacing w:line="259" w:lineRule="auto"/>
        <w:contextualSpacing w:val="0"/>
      </w:pPr>
      <w:r w:rsidRPr="00827264">
        <w:rPr>
          <w:highlight w:val="darkYellow"/>
        </w:rPr>
        <w:t>Working assumption:</w:t>
      </w:r>
      <w:r w:rsidRPr="00827264">
        <w:t xml:space="preserve"> BD/CCE budget for (4,2), (4,1) is half that of X=8</w:t>
      </w:r>
    </w:p>
    <w:p w14:paraId="4340AA3F" w14:textId="77777777" w:rsidR="00B76646" w:rsidRPr="00827264" w:rsidRDefault="00B76646" w:rsidP="00B76646">
      <w:pPr>
        <w:pStyle w:val="ListParagraph"/>
        <w:numPr>
          <w:ilvl w:val="0"/>
          <w:numId w:val="52"/>
        </w:numPr>
        <w:snapToGrid w:val="0"/>
        <w:spacing w:line="259" w:lineRule="auto"/>
        <w:contextualSpacing w:val="0"/>
      </w:pPr>
      <w:r w:rsidRPr="00827264">
        <w:t>A UE capable of multi-slot monitoring mandatorily supports the following PDCCH monitoring within Y slots</w:t>
      </w:r>
    </w:p>
    <w:p w14:paraId="22D01C63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For Y&gt;1: FG3-1 (monitoring Group (1) SSs in the first 3 OFDM symbols of each of the Y slots)</w:t>
      </w:r>
    </w:p>
    <w:bookmarkEnd w:id="1"/>
    <w:p w14:paraId="24DDD23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 xml:space="preserve">For 960 kHz SCS </w:t>
      </w:r>
      <w:proofErr w:type="gramStart"/>
      <w:r w:rsidRPr="00827264">
        <w:t>For</w:t>
      </w:r>
      <w:proofErr w:type="gramEnd"/>
      <w:r w:rsidRPr="00827264">
        <w:t xml:space="preserve"> Y=1: FG3-5b with </w:t>
      </w:r>
      <w:r w:rsidRPr="00827264">
        <w:rPr>
          <w:i/>
        </w:rPr>
        <w:t>set1</w:t>
      </w:r>
      <w:r w:rsidRPr="00827264">
        <w:t xml:space="preserve"> = (7, 3)</w:t>
      </w:r>
    </w:p>
    <w:p w14:paraId="6CD6500F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[FL Note: The first number is the minimum gap in symbols between the start of two spans, the second number is the span duration in symbols (cf. TS 38.822)]</w:t>
      </w:r>
    </w:p>
    <w:p w14:paraId="74CA459C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 xml:space="preserve">For 480 kHz SCS </w:t>
      </w:r>
      <w:proofErr w:type="gramStart"/>
      <w:r w:rsidRPr="00827264">
        <w:t>For</w:t>
      </w:r>
      <w:proofErr w:type="gramEnd"/>
      <w:r w:rsidRPr="00827264">
        <w:t xml:space="preserve"> Y=1: FG3-5b with </w:t>
      </w:r>
      <w:r w:rsidRPr="00827264">
        <w:rPr>
          <w:i/>
        </w:rPr>
        <w:t>set2</w:t>
      </w:r>
      <w:r w:rsidRPr="00827264">
        <w:t xml:space="preserve"> = (4, 3) and (7, 3) with a modification with maximum two monitoring spans in a slot</w:t>
      </w:r>
    </w:p>
    <w:p w14:paraId="0EDD5CBF" w14:textId="77777777" w:rsidR="00B76646" w:rsidRPr="00827264" w:rsidRDefault="00B76646" w:rsidP="00B76646">
      <w:pPr>
        <w:pStyle w:val="ListParagraph"/>
        <w:numPr>
          <w:ilvl w:val="2"/>
          <w:numId w:val="52"/>
        </w:numPr>
        <w:snapToGrid w:val="0"/>
        <w:spacing w:line="259" w:lineRule="auto"/>
        <w:contextualSpacing w:val="0"/>
      </w:pPr>
      <w:r w:rsidRPr="00827264">
        <w:t>[FL Note: The first number is the minimum gap in symbols between the start of two spans, the second number is the span duration in symbols (cf. TS 38.822)]</w:t>
      </w:r>
    </w:p>
    <w:p w14:paraId="5D3BD497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contextualSpacing w:val="0"/>
      </w:pPr>
      <w:r w:rsidRPr="00827264">
        <w:t>The</w:t>
      </w:r>
      <w:r w:rsidRPr="00827264">
        <w:rPr>
          <w:rFonts w:hint="eastAsia"/>
        </w:rPr>
        <w:t xml:space="preserve"> </w:t>
      </w:r>
      <w:r w:rsidRPr="00827264">
        <w:t>following supersedes FG3-5b and FG3-1 definition:</w:t>
      </w:r>
    </w:p>
    <w:p w14:paraId="5B579073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ind w:leftChars="740" w:left="2136"/>
        <w:contextualSpacing w:val="0"/>
      </w:pPr>
      <w:r w:rsidRPr="00827264">
        <w:t>Processing one unicast DCI scheduling DL and one unicast DCI scheduling UL per slot group of X slots per scheduled CC for FDD</w:t>
      </w:r>
    </w:p>
    <w:p w14:paraId="494D85AF" w14:textId="77777777" w:rsidR="00B76646" w:rsidRPr="00827264" w:rsidRDefault="00B76646" w:rsidP="00B76646">
      <w:pPr>
        <w:pStyle w:val="ListParagraph"/>
        <w:numPr>
          <w:ilvl w:val="1"/>
          <w:numId w:val="52"/>
        </w:numPr>
        <w:snapToGrid w:val="0"/>
        <w:spacing w:line="259" w:lineRule="auto"/>
        <w:ind w:leftChars="740" w:left="2136"/>
        <w:contextualSpacing w:val="0"/>
      </w:pPr>
      <w:r w:rsidRPr="00827264">
        <w:t>Processing one unicast DCI scheduling DL and 2 unicast DCI scheduling UL per slot group of X slots per scheduled CC for TDD</w:t>
      </w:r>
    </w:p>
    <w:p w14:paraId="16FB04B3" w14:textId="22094987" w:rsidR="00B76646" w:rsidRDefault="00B76646" w:rsidP="00DE403B"/>
    <w:p w14:paraId="22C51298" w14:textId="2538B5E9" w:rsidR="00F26F66" w:rsidRDefault="00DD11E4">
      <w:r>
        <w:t xml:space="preserve">The </w:t>
      </w:r>
      <w:r w:rsidR="00F26F66">
        <w:t>working assumption</w:t>
      </w:r>
      <w:r>
        <w:t xml:space="preserve"> is further </w:t>
      </w:r>
      <w:r w:rsidR="00F26F66">
        <w:t>confirmed</w:t>
      </w:r>
      <w:r>
        <w:t xml:space="preserve"> in RAN1 #108-e meeting</w:t>
      </w:r>
      <w:r w:rsidR="00F26F66">
        <w:t>, which allows UE to report several supported (</w:t>
      </w:r>
      <w:proofErr w:type="gramStart"/>
      <w:r w:rsidR="00F26F66">
        <w:t>X,Y</w:t>
      </w:r>
      <w:proofErr w:type="gramEnd"/>
      <w:r w:rsidR="00F26F66">
        <w:t>) as UE capability. One remaining issue is the determination of (</w:t>
      </w:r>
      <w:proofErr w:type="gramStart"/>
      <w:r w:rsidR="00F26F66">
        <w:t>X,Y</w:t>
      </w:r>
      <w:proofErr w:type="gramEnd"/>
      <w:r w:rsidR="00F26F66">
        <w:t>) for a configured CC. It has been identified in RAN1 #108-e meeting that the value of Y has no impact on determining BD/CCE limit and UE should only determine</w:t>
      </w:r>
      <w:r w:rsidR="00282694">
        <w:t xml:space="preserve"> the associated BD/CCE limit by having a decision on</w:t>
      </w:r>
      <w:r w:rsidR="00F26F66">
        <w:t xml:space="preserve"> X when </w:t>
      </w:r>
      <w:r w:rsidR="00282694">
        <w:t>the received PDCCH monitoring configurations complies with more than one pairs of (</w:t>
      </w:r>
      <w:proofErr w:type="gramStart"/>
      <w:r w:rsidR="00282694">
        <w:t>X,Y</w:t>
      </w:r>
      <w:proofErr w:type="gramEnd"/>
      <w:r w:rsidR="00282694">
        <w:t xml:space="preserve">). However, from UE implementation perspective, determination of Y is essential for PDCCH candidate dropping procedure and power saving for a given X. </w:t>
      </w:r>
      <w:r w:rsidR="00FC39E4">
        <w:t>Furthermore, the determination of (</w:t>
      </w:r>
      <w:proofErr w:type="gramStart"/>
      <w:r w:rsidR="00FC39E4">
        <w:t>X,Y</w:t>
      </w:r>
      <w:proofErr w:type="gramEnd"/>
      <w:r w:rsidR="00FC39E4">
        <w:t xml:space="preserve">) also has impact on the discussion of search space set group (SSSG) switching feature. Therefore, if such </w:t>
      </w:r>
      <w:r w:rsidR="00FC39E4">
        <w:lastRenderedPageBreak/>
        <w:t xml:space="preserve">decision rule of Y was not standardized, UE needs to make the decision on Y by implementation, which is not desirable for implementation and the discussion of SSSG switching feature. </w:t>
      </w:r>
    </w:p>
    <w:p w14:paraId="76179339" w14:textId="77777777" w:rsidR="00F26F66" w:rsidRDefault="00F26F66"/>
    <w:p w14:paraId="007BCF60" w14:textId="77777777" w:rsidR="00BF1C70" w:rsidRDefault="00BF1C70"/>
    <w:p w14:paraId="3593B878" w14:textId="0732CA36" w:rsidR="00BF1C70" w:rsidRPr="003D4F68" w:rsidRDefault="00BF1C70" w:rsidP="00BF1C70">
      <w:pPr>
        <w:rPr>
          <w:b/>
        </w:rPr>
      </w:pPr>
      <w:bookmarkStart w:id="2" w:name="_Ref92449662"/>
      <w:r w:rsidRPr="003D4F68"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E7581">
        <w:rPr>
          <w:b/>
          <w:noProof/>
        </w:rPr>
        <w:t>1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r w:rsidR="00EF370C">
        <w:rPr>
          <w:b/>
        </w:rPr>
        <w:t xml:space="preserve">To determine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="00EF370C">
        <w:rPr>
          <w:b/>
        </w:rPr>
        <w:t xml:space="preserve"> for PDCCH monitoring configuration in a cell, </w:t>
      </w:r>
      <w:r w:rsidR="00EF370C" w:rsidRPr="000C5821">
        <w:rPr>
          <w:b/>
        </w:rPr>
        <w:t xml:space="preserve">if more than one of the PDCCH monitoring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="00EF370C" w:rsidRPr="000C5821">
        <w:rPr>
          <w:b/>
        </w:rPr>
        <w:t xml:space="preserve"> capability combinations supported by a UE comply with all configured search space sets, then the UE selects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EF370C" w:rsidRPr="000C5821">
        <w:rPr>
          <w:b/>
        </w:rPr>
        <w:t xml:space="preserve"> and smalles</w:t>
      </w:r>
      <w:r w:rsidR="00EF370C">
        <w:rPr>
          <w:b/>
        </w:rPr>
        <w:t>t</w:t>
      </w:r>
      <w:r w:rsidR="00EF370C" w:rsidRPr="000C5821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EF370C" w:rsidRPr="000C5821">
        <w:rPr>
          <w:b/>
        </w:rPr>
        <w:t xml:space="preserve"> such that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</w:rPr>
              <m:t>,μ</m:t>
            </m:r>
          </m:sup>
        </m:sSubSup>
      </m:oMath>
      <w:r w:rsidR="00EF370C" w:rsidRPr="000C5821">
        <w:rPr>
          <w:b/>
        </w:rPr>
        <w:t xml:space="preserve"> 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</w:rPr>
              <m:t>,μ</m:t>
            </m:r>
          </m:sup>
        </m:sSubSup>
      </m:oMath>
      <w:r w:rsidR="00EF370C" w:rsidRPr="000C5821">
        <w:rPr>
          <w:b/>
        </w:rPr>
        <w:t xml:space="preserve"> values corresponding to the complying combination with the largest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</w:rPr>
              <m:t>,μ</m:t>
            </m:r>
          </m:sup>
        </m:sSubSup>
      </m:oMath>
      <w:r w:rsidR="00EF370C" w:rsidRPr="000C5821">
        <w:rPr>
          <w:b/>
        </w:rPr>
        <w:t> and  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bi"/>
              </m:rPr>
              <w:rPr>
                <w:rFonts w:ascii="Cambria Math" w:hAnsi="Cambria Math"/>
              </w:rPr>
              <m:t>,μ</m:t>
            </m:r>
          </m:sup>
        </m:sSubSup>
      </m:oMath>
      <w:r w:rsidR="00EF370C" w:rsidRPr="00BB123B">
        <w:rPr>
          <w:b/>
        </w:rPr>
        <w:t> </w:t>
      </w:r>
      <w:r w:rsidR="00EF370C" w:rsidRPr="000C5821">
        <w:rPr>
          <w:b/>
        </w:rPr>
        <w:t>values.</w:t>
      </w:r>
      <w:bookmarkEnd w:id="2"/>
    </w:p>
    <w:p w14:paraId="28CF58F0" w14:textId="77777777" w:rsidR="00BF1C70" w:rsidRDefault="00BF1C70"/>
    <w:p w14:paraId="1DB6862D" w14:textId="77777777" w:rsidR="00F06BD8" w:rsidRDefault="00F06BD8" w:rsidP="00E239E3"/>
    <w:p w14:paraId="1A44025D" w14:textId="4284339D" w:rsidR="009A22A6" w:rsidRDefault="00EF370C" w:rsidP="00E239E3">
      <w:r>
        <w:t>The other aspect has not been progressed further is the search space set group switching feature for 480kHz and 960kHz.</w:t>
      </w:r>
      <w:r w:rsidR="00FC39E4">
        <w:t xml:space="preserve"> The main discussion focus is whether the PDCCH configuration (</w:t>
      </w:r>
      <w:proofErr w:type="gramStart"/>
      <w:r w:rsidR="00FC39E4">
        <w:t>X,Y</w:t>
      </w:r>
      <w:proofErr w:type="gramEnd"/>
      <w:r w:rsidR="00FC39E4">
        <w:t xml:space="preserve">) can change to different (X,Y) along with SSSG switching. In our view, </w:t>
      </w:r>
      <w:r w:rsidR="00373729">
        <w:t>the consequence of supporting SSSG switching with (</w:t>
      </w:r>
      <w:proofErr w:type="gramStart"/>
      <w:r w:rsidR="00373729">
        <w:t>X,Y</w:t>
      </w:r>
      <w:proofErr w:type="gramEnd"/>
      <w:r w:rsidR="00373729">
        <w:t>) adaptation is UE has to implement dynamic PDCCH dropping rule and the associated timeline should be discussed together</w:t>
      </w:r>
      <w:r w:rsidR="00150C61">
        <w:t xml:space="preserve"> since the timelines discussed in Rel-16 NRU assume the same PDCCH capability after SSSG switching</w:t>
      </w:r>
      <w:r w:rsidR="00373729">
        <w:t>. Note that, such dynamic PDCCH dropping behavior has impact on BD/CCE limit budget on single CC operation and CA operation. In the maintenance stage, we prefer to support same (</w:t>
      </w:r>
      <w:proofErr w:type="gramStart"/>
      <w:r w:rsidR="00373729">
        <w:t>X,Y</w:t>
      </w:r>
      <w:proofErr w:type="gramEnd"/>
      <w:r w:rsidR="00373729">
        <w:t>) before and after SSSG swi</w:t>
      </w:r>
      <w:r w:rsidR="00150C61">
        <w:t>t</w:t>
      </w:r>
      <w:r w:rsidR="00373729">
        <w:t xml:space="preserve">ching  </w:t>
      </w:r>
      <w:r w:rsidR="00FC39E4">
        <w:t xml:space="preserve"> </w:t>
      </w:r>
    </w:p>
    <w:p w14:paraId="1C041E5E" w14:textId="77777777" w:rsidR="00EF370C" w:rsidRDefault="00EF370C" w:rsidP="00E239E3"/>
    <w:p w14:paraId="30193E19" w14:textId="77777777" w:rsidR="005021AD" w:rsidRPr="00D5707B" w:rsidRDefault="005021AD" w:rsidP="00C63576"/>
    <w:p w14:paraId="559300AA" w14:textId="77777777" w:rsidR="00BC2F4C" w:rsidRDefault="00BC2F4C" w:rsidP="00C63576"/>
    <w:p w14:paraId="3A6C3059" w14:textId="25995CC2" w:rsidR="005021AD" w:rsidRPr="003D4F68" w:rsidRDefault="005021AD" w:rsidP="005021AD">
      <w:pPr>
        <w:rPr>
          <w:b/>
        </w:rPr>
      </w:pPr>
      <w:bookmarkStart w:id="3" w:name="_Ref95217564"/>
      <w:r w:rsidRPr="003D4F68">
        <w:rPr>
          <w:b/>
        </w:rPr>
        <w:t xml:space="preserve">Proposal </w:t>
      </w:r>
      <w:r>
        <w:rPr>
          <w:b/>
        </w:rPr>
        <w:fldChar w:fldCharType="begin"/>
      </w:r>
      <w:r>
        <w:rPr>
          <w:b/>
        </w:rPr>
        <w:instrText xml:space="preserve"> SEQ Proposal \* ARABIC </w:instrText>
      </w:r>
      <w:r>
        <w:rPr>
          <w:b/>
        </w:rPr>
        <w:fldChar w:fldCharType="separate"/>
      </w:r>
      <w:r w:rsidR="000E7581">
        <w:rPr>
          <w:b/>
          <w:noProof/>
        </w:rPr>
        <w:t>2</w:t>
      </w:r>
      <w:r>
        <w:rPr>
          <w:b/>
        </w:rPr>
        <w:fldChar w:fldCharType="end"/>
      </w:r>
      <w:r w:rsidRPr="003D4F68">
        <w:rPr>
          <w:b/>
        </w:rPr>
        <w:t xml:space="preserve">: </w:t>
      </w:r>
      <w:r w:rsidR="00373729" w:rsidRPr="00373729">
        <w:rPr>
          <w:b/>
        </w:rPr>
        <w:t xml:space="preserve">For </w:t>
      </w:r>
      <w:r w:rsidR="00373729">
        <w:rPr>
          <w:b/>
        </w:rPr>
        <w:t xml:space="preserve">Rel-18 SSSG switching functionality, for </w:t>
      </w:r>
      <w:r w:rsidR="00373729" w:rsidRPr="00373729">
        <w:rPr>
          <w:b/>
        </w:rPr>
        <w:t>a given SCS, only support same (</w:t>
      </w:r>
      <w:proofErr w:type="gramStart"/>
      <w:r w:rsidR="00373729" w:rsidRPr="00373729">
        <w:rPr>
          <w:b/>
        </w:rPr>
        <w:t>X,Y</w:t>
      </w:r>
      <w:proofErr w:type="gramEnd"/>
      <w:r w:rsidR="00373729" w:rsidRPr="00373729">
        <w:rPr>
          <w:b/>
        </w:rPr>
        <w:t xml:space="preserve">) </w:t>
      </w:r>
      <w:r w:rsidR="00373729">
        <w:rPr>
          <w:b/>
        </w:rPr>
        <w:t>before and after</w:t>
      </w:r>
      <w:r w:rsidR="00373729" w:rsidRPr="00373729">
        <w:rPr>
          <w:b/>
        </w:rPr>
        <w:t xml:space="preserve"> the search space set group switching is applied</w:t>
      </w:r>
      <w:bookmarkEnd w:id="3"/>
    </w:p>
    <w:p w14:paraId="60FD988B" w14:textId="77777777" w:rsidR="00BC2F4C" w:rsidRDefault="00BC2F4C" w:rsidP="00C63576"/>
    <w:p w14:paraId="41F39B15" w14:textId="77777777" w:rsidR="00BC2F4C" w:rsidRDefault="00BC2F4C" w:rsidP="00C63576"/>
    <w:p w14:paraId="19F25E0B" w14:textId="0B80D0FD" w:rsidR="000D7C8F" w:rsidRDefault="003B5BD9" w:rsidP="00C63576">
      <w:r>
        <w:t xml:space="preserve"> </w:t>
      </w:r>
      <w:r w:rsidR="00904101">
        <w:t xml:space="preserve">Another </w:t>
      </w:r>
      <w:r w:rsidR="00D4659A">
        <w:t>essential discussion</w:t>
      </w:r>
      <w:r w:rsidR="008D2719">
        <w:t xml:space="preserve"> </w:t>
      </w:r>
      <w:r w:rsidR="00D4659A">
        <w:t xml:space="preserve">to complete the multi-slot PDCCH monitoring design </w:t>
      </w:r>
      <w:r w:rsidR="00425CF2">
        <w:t xml:space="preserve">is </w:t>
      </w:r>
      <w:r w:rsidR="00F06BD8">
        <w:t xml:space="preserve">how to extend the framework to multi-cell operation and how to specify the BD/CCE limit for multi-cell operation. To </w:t>
      </w:r>
      <w:r w:rsidR="00BF6335">
        <w:t>address th</w:t>
      </w:r>
      <w:r w:rsidR="000D7C8F">
        <w:t>ose</w:t>
      </w:r>
      <w:r w:rsidR="00BF6335">
        <w:t xml:space="preserve"> aspect</w:t>
      </w:r>
      <w:r w:rsidR="000D7C8F">
        <w:t>s</w:t>
      </w:r>
      <w:r w:rsidR="00BF6335">
        <w:t>,</w:t>
      </w:r>
      <w:r w:rsidR="00F06BD8">
        <w:t xml:space="preserve"> it is necessary to discuss </w:t>
      </w:r>
      <w:r w:rsidR="00425CF2">
        <w:t xml:space="preserve">whether the </w:t>
      </w:r>
      <w:r w:rsidR="00425CF2" w:rsidRPr="005C4493">
        <w:t>fixed pattern of slot groups</w:t>
      </w:r>
      <w:r w:rsidR="00425CF2">
        <w:t xml:space="preserve"> </w:t>
      </w:r>
      <w:r>
        <w:t xml:space="preserve">is </w:t>
      </w:r>
      <w:r w:rsidR="00425CF2">
        <w:t xml:space="preserve">the same across CCs </w:t>
      </w:r>
      <w:r w:rsidR="00D33D47">
        <w:t>with (</w:t>
      </w:r>
      <w:proofErr w:type="gramStart"/>
      <w:r w:rsidR="00D33D47">
        <w:t>X,Y</w:t>
      </w:r>
      <w:proofErr w:type="gramEnd"/>
      <w:r w:rsidR="00D33D47">
        <w:t xml:space="preserve">) </w:t>
      </w:r>
      <w:r w:rsidR="00CF655F">
        <w:t xml:space="preserve">multi-slot PDCCH monitoring </w:t>
      </w:r>
      <w:r w:rsidR="00D33D47">
        <w:t>configuration</w:t>
      </w:r>
      <w:r w:rsidR="00425CF2">
        <w:t xml:space="preserve">. </w:t>
      </w:r>
      <w:r w:rsidR="003C2F5E">
        <w:t xml:space="preserve">Based on the </w:t>
      </w:r>
      <w:r w:rsidR="00BF6335">
        <w:t xml:space="preserve">RAN1 #106bis-e </w:t>
      </w:r>
      <w:r w:rsidR="003C2F5E">
        <w:t>agreement</w:t>
      </w:r>
      <w:r w:rsidR="000D7C8F">
        <w:t xml:space="preserve"> </w:t>
      </w:r>
    </w:p>
    <w:p w14:paraId="005CE0B8" w14:textId="77777777" w:rsidR="000D7C8F" w:rsidRPr="00392E7D" w:rsidRDefault="000D7C8F" w:rsidP="000D7C8F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the first slot group in a subframe is aligned with the subframe boundary</w:t>
      </w:r>
    </w:p>
    <w:p w14:paraId="0625B46A" w14:textId="77777777" w:rsidR="000D7C8F" w:rsidRPr="00392E7D" w:rsidRDefault="000D7C8F" w:rsidP="000D7C8F">
      <w:pPr>
        <w:numPr>
          <w:ilvl w:val="2"/>
          <w:numId w:val="48"/>
        </w:numPr>
        <w:rPr>
          <w:lang w:eastAsia="x-none"/>
        </w:rPr>
      </w:pPr>
      <w:r w:rsidRPr="00392E7D">
        <w:rPr>
          <w:lang w:eastAsia="x-none"/>
        </w:rPr>
        <w:t>The start of each slot group is aligned with a slot boundary</w:t>
      </w:r>
    </w:p>
    <w:p w14:paraId="45141E11" w14:textId="61841966" w:rsidR="008F26DD" w:rsidRDefault="000D7C8F" w:rsidP="00C63576">
      <w:r>
        <w:t xml:space="preserve">it can be concluded that </w:t>
      </w:r>
      <w:r w:rsidR="00CF655F">
        <w:t>all the CCs with (</w:t>
      </w:r>
      <w:proofErr w:type="gramStart"/>
      <w:r w:rsidR="00CF655F">
        <w:t>X,Y</w:t>
      </w:r>
      <w:proofErr w:type="gramEnd"/>
      <w:r w:rsidR="00CF655F">
        <w:t>)</w:t>
      </w:r>
      <w:r w:rsidR="00CF655F" w:rsidRPr="00CF655F">
        <w:t xml:space="preserve"> </w:t>
      </w:r>
      <w:r w:rsidR="00CF655F">
        <w:t>multi-slot PDCCH monitoring configuration share the same pattern of slot groups.</w:t>
      </w:r>
      <w:r w:rsidR="00241B7E">
        <w:t xml:space="preserve"> </w:t>
      </w:r>
    </w:p>
    <w:p w14:paraId="22AE2AC7" w14:textId="77777777" w:rsidR="004E7930" w:rsidRDefault="004E7930" w:rsidP="0046067E"/>
    <w:p w14:paraId="02C0E283" w14:textId="12CD53CD" w:rsidR="00A400B4" w:rsidRDefault="00A400B4">
      <w:pPr>
        <w:pStyle w:val="Caption"/>
      </w:pPr>
      <w:r>
        <w:t xml:space="preserve">Observation </w:t>
      </w:r>
      <w:fldSimple w:instr=" SEQ Observation \* ARABIC ">
        <w:r w:rsidR="000E7581">
          <w:rPr>
            <w:noProof/>
          </w:rPr>
          <w:t>1</w:t>
        </w:r>
      </w:fldSimple>
      <w:r>
        <w:t>:</w:t>
      </w:r>
      <w:r w:rsidRPr="00A400B4">
        <w:t xml:space="preserve"> </w:t>
      </w:r>
      <w:r>
        <w:t>All the CCs</w:t>
      </w:r>
      <w:r w:rsidRPr="005C6A36">
        <w:t xml:space="preserve"> </w:t>
      </w:r>
      <w:r>
        <w:t xml:space="preserve">with the same subcarrier spacing </w:t>
      </w:r>
      <m:oMath>
        <m:r>
          <m:rPr>
            <m:sty m:val="bi"/>
          </m:rPr>
          <w:rPr>
            <w:rFonts w:ascii="Cambria Math" w:hAnsi="Cambria Math"/>
          </w:rPr>
          <m:t>15×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>
        <w:t xml:space="preserve"> and same (</w:t>
      </w:r>
      <w:proofErr w:type="gramStart"/>
      <w:r>
        <w:t>X,Y</w:t>
      </w:r>
      <w:proofErr w:type="gramEnd"/>
      <w:r>
        <w:t>)</w:t>
      </w:r>
      <w:r w:rsidRPr="00CF655F">
        <w:t xml:space="preserve"> </w:t>
      </w:r>
      <w:bookmarkStart w:id="4" w:name="_Ref92452325"/>
      <w:r>
        <w:t>in multi-slot PDCCH monitoring configuration share the same pattern of slot groups</w:t>
      </w:r>
      <w:bookmarkEnd w:id="4"/>
    </w:p>
    <w:p w14:paraId="5EF0C7DE" w14:textId="77777777" w:rsidR="00A400B4" w:rsidRDefault="00A400B4" w:rsidP="0046067E"/>
    <w:p w14:paraId="39DC53F9" w14:textId="221B349A" w:rsidR="00DF0C43" w:rsidRDefault="0027054C" w:rsidP="00C63576">
      <w:r>
        <w:t xml:space="preserve">Consequently, it is natural to link the slot group notion in 480kHz or 960kHz and the slot notion in 120kHz, and it is desirable to reuse the multi-cell BD/CCE budget calculation method specified for slot-based PDCCH </w:t>
      </w:r>
      <w:r w:rsidR="000D7C8F">
        <w:t xml:space="preserve">monitoring </w:t>
      </w:r>
      <w:r w:rsidR="00BF6335">
        <w:t xml:space="preserve">when </w:t>
      </w:r>
      <w:r w:rsidR="000D7C8F">
        <w:t xml:space="preserve">determining </w:t>
      </w:r>
      <w:r>
        <w:t xml:space="preserve">the multi-cell BD/CCE budget calculation method for slot-group based PDCCH monitoring. That is, when the number of scheduled cells is less than </w:t>
      </w:r>
      <w:r w:rsidR="00AD4162">
        <w:t xml:space="preserve">or equal to </w:t>
      </w:r>
      <w:r>
        <w:t xml:space="preserve">the number of cells UE can support, UE is not required to monitor more than the </w:t>
      </w:r>
      <w:r w:rsidR="00AD4162">
        <w:t xml:space="preserve">BD/CCE limit </w:t>
      </w:r>
      <w:r w:rsidR="00BF6335">
        <w:t xml:space="preserve">per slot-group </w:t>
      </w:r>
      <w:r w:rsidR="00AD4162">
        <w:t xml:space="preserve">specified for a single cell on a DL BWP of scheduling cell. When the number of scheduled cells is larger than the number of cells UE can support, the multi-cell BD/CCE budget </w:t>
      </w:r>
      <w:r w:rsidR="00BF6335">
        <w:t xml:space="preserve">per slot group across CCs </w:t>
      </w:r>
      <w:r w:rsidR="00AD4162">
        <w:t xml:space="preserve">UE will follow can be derived based on the multi-cell BD/CCE budget calculation method specified for </w:t>
      </w:r>
      <w:proofErr w:type="gramStart"/>
      <w:r w:rsidR="00AD4162">
        <w:t>slot-based</w:t>
      </w:r>
      <w:proofErr w:type="gramEnd"/>
      <w:r w:rsidR="00AD4162">
        <w:t xml:space="preserve"> PDCCH.</w:t>
      </w:r>
    </w:p>
    <w:p w14:paraId="427FB093" w14:textId="77777777" w:rsidR="0027054C" w:rsidRDefault="0027054C" w:rsidP="00C63576"/>
    <w:p w14:paraId="6DA13CFB" w14:textId="6F0E090E" w:rsidR="0027054C" w:rsidRPr="0046067E" w:rsidRDefault="00AD4162" w:rsidP="00C63576">
      <w:pPr>
        <w:rPr>
          <w:b/>
        </w:rPr>
      </w:pPr>
      <w:bookmarkStart w:id="5" w:name="_Ref92449674"/>
      <w:r w:rsidRPr="0046067E">
        <w:rPr>
          <w:b/>
        </w:rPr>
        <w:t xml:space="preserve">Proposal </w:t>
      </w:r>
      <w:r w:rsidRPr="0046067E">
        <w:rPr>
          <w:b/>
        </w:rPr>
        <w:fldChar w:fldCharType="begin"/>
      </w:r>
      <w:r w:rsidRPr="0046067E">
        <w:rPr>
          <w:b/>
        </w:rPr>
        <w:instrText xml:space="preserve"> SEQ Proposal \* ARABIC </w:instrText>
      </w:r>
      <w:r w:rsidRPr="0046067E">
        <w:rPr>
          <w:b/>
        </w:rPr>
        <w:fldChar w:fldCharType="separate"/>
      </w:r>
      <w:r w:rsidR="000E7581">
        <w:rPr>
          <w:b/>
          <w:noProof/>
        </w:rPr>
        <w:t>3</w:t>
      </w:r>
      <w:r w:rsidRPr="0046067E">
        <w:rPr>
          <w:b/>
          <w:noProof/>
        </w:rPr>
        <w:fldChar w:fldCharType="end"/>
      </w:r>
      <w:r w:rsidRPr="0046067E">
        <w:rPr>
          <w:b/>
        </w:rPr>
        <w:t xml:space="preserve">: </w:t>
      </w:r>
      <w:r w:rsidR="002E29E7" w:rsidRPr="0046067E">
        <w:rPr>
          <w:b/>
        </w:rPr>
        <w:t>The Rel-15/16 multi-cell BD/CCE budget calculation method specified for slot-based PDCCH monitoring should be considered as the baseline for the multi-cell BD/CCE budget calculation for slot-group based PDCCH monitoring in 480kHz and 960kHz</w:t>
      </w:r>
      <w:r w:rsidRPr="0046067E">
        <w:rPr>
          <w:b/>
        </w:rPr>
        <w:t>.</w:t>
      </w:r>
      <w:bookmarkEnd w:id="5"/>
    </w:p>
    <w:p w14:paraId="79C5CF12" w14:textId="1B5B97B2" w:rsidR="00AD4162" w:rsidRDefault="00AD4162" w:rsidP="00C63576"/>
    <w:p w14:paraId="23D7566A" w14:textId="3B48ADA0" w:rsidR="00BC2F4C" w:rsidRDefault="009C7E8B" w:rsidP="00C63576">
      <w:r>
        <w:t xml:space="preserve">A related discussion is the UE capability signaling on the supported number of CCs for the purpose of determining CA BD/CCE limit. In RAN1 #108-e meeting, there was a proposal to specify the candidate reported values on the </w:t>
      </w:r>
      <w:r w:rsidR="007639F1">
        <w:t xml:space="preserve">supported number of Rel-17 CCs based on the candidate reported values on the supported number of Rel-15 CCs. In our view, due to the similarity between the Rel-16 span-based PDCCH monitoring and Rel-17 multi-slot PDCCH monitoring, it is more suitable to reuse the signaling of Rel-16 PDCCH monitoring capability for the signaling of Rel-17 multi-slot PDCCH monitoring capability. </w:t>
      </w:r>
      <w:r w:rsidR="00150C61">
        <w:t>Furthermore, the minimum supported number of Rel-15 CC is 4, which is not a practical CC numbers in 480 and 960 kHz.</w:t>
      </w:r>
    </w:p>
    <w:p w14:paraId="48590D2F" w14:textId="7FEAEF84" w:rsidR="00BC2F4C" w:rsidRDefault="00BC2F4C" w:rsidP="00C63576"/>
    <w:p w14:paraId="0CD7D9A1" w14:textId="3A68EBE6" w:rsidR="002106E1" w:rsidRPr="00314C0F" w:rsidRDefault="007639F1" w:rsidP="002106E1">
      <w:pPr>
        <w:rPr>
          <w:b/>
        </w:rPr>
      </w:pPr>
      <w:bookmarkStart w:id="6" w:name="_Ref101290170"/>
      <w:r w:rsidRPr="0046067E">
        <w:rPr>
          <w:b/>
        </w:rPr>
        <w:t xml:space="preserve">Proposal </w:t>
      </w:r>
      <w:r w:rsidRPr="0046067E">
        <w:rPr>
          <w:b/>
        </w:rPr>
        <w:fldChar w:fldCharType="begin"/>
      </w:r>
      <w:r w:rsidRPr="0046067E">
        <w:rPr>
          <w:b/>
        </w:rPr>
        <w:instrText xml:space="preserve"> SEQ Proposal \* ARABIC </w:instrText>
      </w:r>
      <w:r w:rsidRPr="0046067E">
        <w:rPr>
          <w:b/>
        </w:rPr>
        <w:fldChar w:fldCharType="separate"/>
      </w:r>
      <w:r w:rsidR="000E7581">
        <w:rPr>
          <w:b/>
          <w:noProof/>
        </w:rPr>
        <w:t>4</w:t>
      </w:r>
      <w:r w:rsidRPr="0046067E">
        <w:rPr>
          <w:b/>
          <w:noProof/>
        </w:rPr>
        <w:fldChar w:fldCharType="end"/>
      </w:r>
      <w:r w:rsidRPr="0046067E">
        <w:rPr>
          <w:b/>
        </w:rPr>
        <w:t xml:space="preserve">: </w:t>
      </w:r>
      <w:r w:rsidR="002106E1">
        <w:rPr>
          <w:b/>
        </w:rPr>
        <w:t>Update the previous agreement as follows:</w:t>
      </w:r>
      <w:r w:rsidR="002106E1">
        <w:rPr>
          <w:b/>
        </w:rPr>
        <w:br/>
      </w:r>
      <w:r w:rsidR="002106E1" w:rsidRPr="00314C0F">
        <w:rPr>
          <w:b/>
          <w:highlight w:val="green"/>
        </w:rPr>
        <w:t>Agreement</w:t>
      </w:r>
      <w:bookmarkEnd w:id="6"/>
    </w:p>
    <w:p w14:paraId="4FC4A059" w14:textId="7C46DDEB" w:rsidR="002106E1" w:rsidRPr="00B610C4" w:rsidRDefault="002106E1" w:rsidP="002106E1">
      <w:pPr>
        <w:pStyle w:val="ListParagraph"/>
        <w:numPr>
          <w:ilvl w:val="0"/>
          <w:numId w:val="57"/>
        </w:numPr>
        <w:contextualSpacing w:val="0"/>
      </w:pPr>
      <w:r>
        <w:t xml:space="preserve">For serving cells configured with 480 or 960 kHz SCS, the serving cells with the same SCS and </w:t>
      </w:r>
      <m:oMath>
        <m:sSub>
          <m:sSubPr>
            <m:ctrlPr>
              <w:rPr>
                <w:rFonts w:ascii="Cambria Math" w:eastAsia="SimSun" w:hAnsi="Cambria Math" w:cs="Calibri"/>
                <w:sz w:val="22"/>
                <w:szCs w:val="22"/>
                <w:lang w:val="de-DE"/>
              </w:rPr>
            </m:ctrlPr>
          </m:sSubPr>
          <m:e>
            <m:r>
              <w:rPr>
                <w:rFonts w:ascii="Cambria Math" w:hAnsi="Cambria Math"/>
                <w:lang w:val="de-DE"/>
              </w:rPr>
              <m:t>X</m:t>
            </m: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de-D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value are grouped together to determine a total BD/CCE budget for that group and the per-cell BD/CCE budget within the group.</w:t>
      </w:r>
    </w:p>
    <w:p w14:paraId="45484C46" w14:textId="77777777" w:rsidR="002106E1" w:rsidRDefault="002106E1" w:rsidP="002106E1">
      <w:pPr>
        <w:pStyle w:val="ListParagraph"/>
        <w:numPr>
          <w:ilvl w:val="0"/>
          <w:numId w:val="57"/>
        </w:numPr>
        <w:contextualSpacing w:val="0"/>
        <w:rPr>
          <w:szCs w:val="20"/>
        </w:rPr>
      </w:pPr>
      <w:r>
        <w:t xml:space="preserve">Support UE capability signaling for 4 additional </w:t>
      </w:r>
      <w:proofErr w:type="gramStart"/>
      <w:r>
        <w:t>cases :</w:t>
      </w:r>
      <w:proofErr w:type="gramEnd"/>
    </w:p>
    <w:p w14:paraId="01A30063" w14:textId="77777777" w:rsidR="002106E1" w:rsidRDefault="002106E1" w:rsidP="002106E1">
      <w:pPr>
        <w:numPr>
          <w:ilvl w:val="1"/>
          <w:numId w:val="58"/>
        </w:numPr>
        <w:autoSpaceDN w:val="0"/>
        <w:jc w:val="both"/>
      </w:pPr>
      <w:r>
        <w:t>Case 4: Capability on the number of CCs with Rel-17 monitoring capability only</w:t>
      </w:r>
    </w:p>
    <w:p w14:paraId="6552791B" w14:textId="3F58B4A7" w:rsidR="002106E1" w:rsidRDefault="002106E1" w:rsidP="002106E1">
      <w:pPr>
        <w:numPr>
          <w:ilvl w:val="2"/>
          <w:numId w:val="58"/>
        </w:numPr>
        <w:autoSpaceDN w:val="0"/>
        <w:jc w:val="both"/>
        <w:rPr>
          <w:rFonts w:ascii="Calibri" w:hAnsi="Calibri" w:cs="Calibri"/>
        </w:rPr>
      </w:pPr>
      <w:r>
        <w:t xml:space="preserve">Range of pdcch-BlindDetectionCA-R17: </w:t>
      </w:r>
      <w:r w:rsidR="00613C8C">
        <w:t>{</w:t>
      </w:r>
      <w:r w:rsidRPr="000C5821">
        <w:rPr>
          <w:strike/>
          <w:color w:val="FF0000"/>
        </w:rPr>
        <w:t>[</w:t>
      </w:r>
      <w:r>
        <w:t xml:space="preserve">2,3, </w:t>
      </w:r>
      <w:proofErr w:type="gramStart"/>
      <w:r w:rsidRPr="000C5821">
        <w:rPr>
          <w:strike/>
          <w:color w:val="FF0000"/>
        </w:rPr>
        <w:t>4,5,</w:t>
      </w:r>
      <w:r>
        <w:t>…</w:t>
      </w:r>
      <w:proofErr w:type="gramEnd"/>
      <w:r>
        <w:t>,</w:t>
      </w:r>
      <w:r w:rsidRPr="002106E1">
        <w:t>16</w:t>
      </w:r>
      <w:r w:rsidRPr="000C5821">
        <w:rPr>
          <w:strike/>
          <w:color w:val="FF0000"/>
        </w:rPr>
        <w:t>]</w:t>
      </w:r>
      <w:r w:rsidR="00613C8C" w:rsidRPr="000C5821">
        <w:t>}</w:t>
      </w:r>
    </w:p>
    <w:p w14:paraId="27FCE1EB" w14:textId="77777777" w:rsidR="002106E1" w:rsidRDefault="002106E1" w:rsidP="002106E1">
      <w:pPr>
        <w:numPr>
          <w:ilvl w:val="1"/>
          <w:numId w:val="58"/>
        </w:numPr>
        <w:autoSpaceDN w:val="0"/>
        <w:jc w:val="both"/>
      </w:pPr>
      <w:r>
        <w:t>Case 5: Capability on the number of CCs with Rel-15 monitoring capability and Rel-17 monitoring capability on different serving cells</w:t>
      </w:r>
    </w:p>
    <w:p w14:paraId="2B73C2E6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pdcch-BlindDetectionCA-R15 for Rel-15 PDCCH monitoring capability</w:t>
      </w:r>
    </w:p>
    <w:p w14:paraId="1308B2D2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pdcch-BlindDetectionCA-R17 for Rel-17 PDCCH monitoring capability</w:t>
      </w:r>
    </w:p>
    <w:p w14:paraId="4FC0DDC8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Range of pdcch-BlindDetectionCA-R17 and pdcch-BlindDetectionCA-R15: {[1, 2, …, 15]}</w:t>
      </w:r>
    </w:p>
    <w:p w14:paraId="3509240A" w14:textId="55BA2E0A" w:rsidR="002106E1" w:rsidRDefault="002106E1" w:rsidP="002106E1">
      <w:pPr>
        <w:numPr>
          <w:ilvl w:val="3"/>
          <w:numId w:val="58"/>
        </w:numPr>
        <w:autoSpaceDN w:val="0"/>
        <w:jc w:val="both"/>
      </w:pPr>
      <w:r>
        <w:t>Range of pdcch-BlindDetectionCA-R15 + pdcch-BlindDetectionCA-R17: {</w:t>
      </w:r>
      <w:r w:rsidR="00613C8C" w:rsidRPr="00BB123B">
        <w:rPr>
          <w:strike/>
          <w:color w:val="FF0000"/>
        </w:rPr>
        <w:t>[</w:t>
      </w:r>
      <w:r w:rsidR="00613C8C">
        <w:t xml:space="preserve">3, </w:t>
      </w:r>
      <w:proofErr w:type="gramStart"/>
      <w:r w:rsidR="00613C8C" w:rsidRPr="000C5821">
        <w:t>4</w:t>
      </w:r>
      <w:r w:rsidR="00613C8C" w:rsidRPr="00BB123B">
        <w:rPr>
          <w:strike/>
          <w:color w:val="FF0000"/>
        </w:rPr>
        <w:t>,5,</w:t>
      </w:r>
      <w:r w:rsidR="00613C8C">
        <w:t>…</w:t>
      </w:r>
      <w:proofErr w:type="gramEnd"/>
      <w:r w:rsidR="00613C8C">
        <w:t>,</w:t>
      </w:r>
      <w:r w:rsidR="00613C8C" w:rsidRPr="00BB123B">
        <w:t>16</w:t>
      </w:r>
      <w:r w:rsidR="00613C8C" w:rsidRPr="00BB123B">
        <w:rPr>
          <w:strike/>
          <w:color w:val="FF0000"/>
        </w:rPr>
        <w:t>]</w:t>
      </w:r>
      <w:r>
        <w:t>}</w:t>
      </w:r>
    </w:p>
    <w:p w14:paraId="3AB85A11" w14:textId="77777777" w:rsidR="002106E1" w:rsidRDefault="002106E1" w:rsidP="002106E1">
      <w:pPr>
        <w:numPr>
          <w:ilvl w:val="1"/>
          <w:numId w:val="58"/>
        </w:numPr>
        <w:autoSpaceDN w:val="0"/>
        <w:jc w:val="both"/>
      </w:pPr>
      <w:r>
        <w:t>Case 6: Capability on the number of CCs with Rel-16 monitoring capability and Rel-17 monitoring capability on different serving cells</w:t>
      </w:r>
    </w:p>
    <w:p w14:paraId="4D640E20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pdcch-BlindDetectionCA-R16 for Rel-16 PDCCH monitoring capability</w:t>
      </w:r>
    </w:p>
    <w:p w14:paraId="127EB433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pdcch-BlindDetectionCA-R17 for Rel-17 PDCCH monitoring capability</w:t>
      </w:r>
    </w:p>
    <w:p w14:paraId="21D3C273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 xml:space="preserve">Range of pdcch-BlindDetectionCA-R17 and pdcch-BlindDetectionCA-R16: {[1, 2, …, 15]} </w:t>
      </w:r>
    </w:p>
    <w:p w14:paraId="53D778EA" w14:textId="25FA2345" w:rsidR="002106E1" w:rsidRDefault="002106E1" w:rsidP="002106E1">
      <w:pPr>
        <w:numPr>
          <w:ilvl w:val="3"/>
          <w:numId w:val="58"/>
        </w:numPr>
        <w:autoSpaceDN w:val="0"/>
        <w:jc w:val="both"/>
      </w:pPr>
      <w:r>
        <w:t>Range of pdcch-BlindDetectionCA-R16 + pdcch-BlindDetectionCA-R17: {</w:t>
      </w:r>
      <w:r w:rsidR="00613C8C" w:rsidRPr="00BB123B">
        <w:rPr>
          <w:strike/>
          <w:color w:val="FF0000"/>
        </w:rPr>
        <w:t>[</w:t>
      </w:r>
      <w:r w:rsidR="00613C8C">
        <w:t xml:space="preserve">2,3, </w:t>
      </w:r>
      <w:proofErr w:type="gramStart"/>
      <w:r w:rsidR="00613C8C" w:rsidRPr="00BB123B">
        <w:rPr>
          <w:strike/>
          <w:color w:val="FF0000"/>
        </w:rPr>
        <w:t>4,5,</w:t>
      </w:r>
      <w:r w:rsidR="00613C8C">
        <w:t>…</w:t>
      </w:r>
      <w:proofErr w:type="gramEnd"/>
      <w:r w:rsidR="00613C8C">
        <w:t>,</w:t>
      </w:r>
      <w:r w:rsidR="00613C8C" w:rsidRPr="00BB123B">
        <w:t>16</w:t>
      </w:r>
      <w:r w:rsidR="00613C8C" w:rsidRPr="00BB123B">
        <w:rPr>
          <w:strike/>
          <w:color w:val="FF0000"/>
        </w:rPr>
        <w:t>]</w:t>
      </w:r>
      <w:r>
        <w:t>}</w:t>
      </w:r>
    </w:p>
    <w:p w14:paraId="0C467942" w14:textId="77777777" w:rsidR="002106E1" w:rsidRDefault="002106E1" w:rsidP="002106E1">
      <w:pPr>
        <w:numPr>
          <w:ilvl w:val="1"/>
          <w:numId w:val="58"/>
        </w:numPr>
        <w:autoSpaceDN w:val="0"/>
        <w:jc w:val="both"/>
      </w:pPr>
      <w:r>
        <w:t xml:space="preserve">Case 7: Capability on the number of CCs with Rel-15 monitoring </w:t>
      </w:r>
      <w:proofErr w:type="gramStart"/>
      <w:r>
        <w:t>capability ,</w:t>
      </w:r>
      <w:proofErr w:type="gramEnd"/>
      <w:r>
        <w:t xml:space="preserve"> Rel-16 monitoring capability and Rel-17 monitoring capability on different serving cells</w:t>
      </w:r>
    </w:p>
    <w:p w14:paraId="06A6A110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pdcch-BlindDetectionCA-R15 for Rel-15 PDCCH monitoring capability</w:t>
      </w:r>
    </w:p>
    <w:p w14:paraId="417D8C40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pdcch-BlindDetectionCA-R16 for Rel-16 PDCCH monitoring capability</w:t>
      </w:r>
    </w:p>
    <w:p w14:paraId="087A37E3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pdcch-BlindDetectionCA-R17 for Rel-17 PDCCH monitoring capability</w:t>
      </w:r>
    </w:p>
    <w:p w14:paraId="53BEC1A0" w14:textId="77777777" w:rsidR="002106E1" w:rsidRDefault="002106E1" w:rsidP="002106E1">
      <w:pPr>
        <w:numPr>
          <w:ilvl w:val="2"/>
          <w:numId w:val="58"/>
        </w:numPr>
        <w:autoSpaceDN w:val="0"/>
        <w:jc w:val="both"/>
      </w:pPr>
      <w:r>
        <w:t>Range of pdcch-BlindDetectionCA-R17, pdcch-BlindDetectionCA-R16, and pdcch-BlindDetectionCA-R15: {[1, 2, …, 15]}</w:t>
      </w:r>
    </w:p>
    <w:p w14:paraId="5816FFE0" w14:textId="6188EFAA" w:rsidR="002106E1" w:rsidRDefault="002106E1" w:rsidP="002106E1">
      <w:pPr>
        <w:numPr>
          <w:ilvl w:val="3"/>
          <w:numId w:val="58"/>
        </w:numPr>
        <w:autoSpaceDN w:val="0"/>
        <w:jc w:val="both"/>
      </w:pPr>
      <w:r>
        <w:t>Range of pdcch-BlindDetectionCA-R15 + pdcch-BlindDetectionCA-R16 + pdcch-BlindDetectionCA-R</w:t>
      </w:r>
      <w:proofErr w:type="gramStart"/>
      <w:r>
        <w:t>17 :</w:t>
      </w:r>
      <w:proofErr w:type="gramEnd"/>
      <w:r>
        <w:t xml:space="preserve"> {</w:t>
      </w:r>
      <w:r w:rsidR="00613C8C" w:rsidRPr="00BB123B">
        <w:rPr>
          <w:strike/>
          <w:color w:val="FF0000"/>
        </w:rPr>
        <w:t>[</w:t>
      </w:r>
      <w:r w:rsidR="00613C8C">
        <w:t xml:space="preserve">3, </w:t>
      </w:r>
      <w:r w:rsidR="00613C8C" w:rsidRPr="000C5821">
        <w:t>4</w:t>
      </w:r>
      <w:r w:rsidR="00613C8C" w:rsidRPr="00BB123B">
        <w:rPr>
          <w:strike/>
          <w:color w:val="FF0000"/>
        </w:rPr>
        <w:t>,5,</w:t>
      </w:r>
      <w:r w:rsidR="00613C8C">
        <w:t>…,</w:t>
      </w:r>
      <w:r w:rsidR="00613C8C" w:rsidRPr="00BB123B">
        <w:t>16</w:t>
      </w:r>
      <w:r w:rsidR="00613C8C" w:rsidRPr="00BB123B">
        <w:rPr>
          <w:strike/>
          <w:color w:val="FF0000"/>
        </w:rPr>
        <w:t>]</w:t>
      </w:r>
      <w:r>
        <w:t>}</w:t>
      </w:r>
    </w:p>
    <w:p w14:paraId="05630BAC" w14:textId="77777777" w:rsidR="002106E1" w:rsidRDefault="002106E1" w:rsidP="002106E1">
      <w:pPr>
        <w:pStyle w:val="ListParagraph"/>
        <w:numPr>
          <w:ilvl w:val="0"/>
          <w:numId w:val="57"/>
        </w:numPr>
        <w:contextualSpacing w:val="0"/>
      </w:pPr>
      <w:r>
        <w:t xml:space="preserve">For the case with Rel-15 monitoring capability, Rel-16 monitoring capability and Rel-17 monitoring capability on different serving cells (case 7) or any combination of 2 of the capabilities </w:t>
      </w:r>
      <w:r>
        <w:lastRenderedPageBreak/>
        <w:t>(</w:t>
      </w:r>
      <w:proofErr w:type="gramStart"/>
      <w:r>
        <w:t>i.e.</w:t>
      </w:r>
      <w:proofErr w:type="gramEnd"/>
      <w:r>
        <w:t xml:space="preserve"> case 5, and case 6), the UE will report one or more combination of (pdcch-BlindDetectionCA-R15, pdcch-BlindDetectionCA-R16, pdcch-BlindDetectionCA-R17) as UE capability. If UE reports more than one combination of (pdcch-BlindDetectionCA-R15, pdcch-BlindDetectionCA-R16, pdcch-BlindDetectionCA-R17), as in Rel-16, the </w:t>
      </w:r>
      <w:proofErr w:type="spellStart"/>
      <w:r>
        <w:t>gNB</w:t>
      </w:r>
      <w:proofErr w:type="spellEnd"/>
      <w:r>
        <w:t xml:space="preserve"> configures which combination for the UE to use for scaling PDCCH monitoring capability if the number of CCs configured is larger than the reported capability.</w:t>
      </w:r>
    </w:p>
    <w:p w14:paraId="66FAFA7C" w14:textId="43C36A0D" w:rsidR="007639F1" w:rsidRPr="0046067E" w:rsidRDefault="007639F1" w:rsidP="007639F1">
      <w:pPr>
        <w:rPr>
          <w:b/>
        </w:rPr>
      </w:pPr>
    </w:p>
    <w:p w14:paraId="72F39442" w14:textId="058BAB2E" w:rsidR="007639F1" w:rsidRDefault="007639F1" w:rsidP="00C63576"/>
    <w:p w14:paraId="5A32B949" w14:textId="77777777" w:rsidR="007639F1" w:rsidRDefault="007639F1" w:rsidP="00C63576"/>
    <w:p w14:paraId="297FB7C0" w14:textId="2672DE68" w:rsidR="00CE53CD" w:rsidRDefault="007F7B50" w:rsidP="00C63576">
      <w:r>
        <w:t>The other open issue is the location of the Y slots within a slot group of X slots across CCs. C</w:t>
      </w:r>
      <w:r w:rsidR="003B70F8">
        <w:t xml:space="preserve">ompared with the fixed location of the Y slots </w:t>
      </w:r>
      <w:r w:rsidR="00D4659A">
        <w:t xml:space="preserve">within a slot group </w:t>
      </w:r>
      <w:r w:rsidR="003B70F8">
        <w:t xml:space="preserve">across CCs, non-aligned locations of Y slots can provide potential scheduling flexibility with the cost of </w:t>
      </w:r>
      <w:r>
        <w:t>less p</w:t>
      </w:r>
      <w:r w:rsidR="00E920F6">
        <w:t>o</w:t>
      </w:r>
      <w:r>
        <w:t>wer saving</w:t>
      </w:r>
      <w:r w:rsidR="003B70F8">
        <w:t xml:space="preserve">. For example, </w:t>
      </w:r>
      <w:r>
        <w:t xml:space="preserve">without any restriction, </w:t>
      </w:r>
      <w:r w:rsidR="003B70F8">
        <w:t>it is possible that the monitoring slots in a cell with (</w:t>
      </w:r>
      <w:proofErr w:type="gramStart"/>
      <w:r w:rsidR="003B70F8">
        <w:t>X,Y</w:t>
      </w:r>
      <w:proofErr w:type="gramEnd"/>
      <w:r w:rsidR="003B70F8">
        <w:t>)</w:t>
      </w:r>
      <w:r w:rsidR="003B70F8" w:rsidRPr="00CF655F">
        <w:t xml:space="preserve"> </w:t>
      </w:r>
      <w:r w:rsidR="003B70F8">
        <w:t>multi-slot PDCCH monitoring configuration might be close to the monitoring slots in another cell with the same (X,Y)</w:t>
      </w:r>
      <w:r w:rsidR="003B70F8" w:rsidRPr="00B16908">
        <w:t xml:space="preserve"> </w:t>
      </w:r>
      <w:r w:rsidR="003B70F8">
        <w:t xml:space="preserve">multi-slot PDCCH monitoring configuration, which is illustrated in </w:t>
      </w:r>
      <w:r w:rsidR="003B70F8">
        <w:fldChar w:fldCharType="begin"/>
      </w:r>
      <w:r w:rsidR="003B70F8">
        <w:instrText xml:space="preserve"> REF _Ref68527611 \h </w:instrText>
      </w:r>
      <w:r w:rsidR="003B70F8">
        <w:fldChar w:fldCharType="separate"/>
      </w:r>
      <w:r w:rsidR="000E7581">
        <w:t xml:space="preserve">Figure </w:t>
      </w:r>
      <w:r w:rsidR="000E7581">
        <w:rPr>
          <w:noProof/>
        </w:rPr>
        <w:t>1</w:t>
      </w:r>
      <w:r w:rsidR="003B70F8">
        <w:fldChar w:fldCharType="end"/>
      </w:r>
      <w:r w:rsidR="003B70F8">
        <w:t>. In this example, both CCs follow (X=</w:t>
      </w:r>
      <w:proofErr w:type="gramStart"/>
      <w:r w:rsidR="003B70F8">
        <w:t>4,Y</w:t>
      </w:r>
      <w:proofErr w:type="gramEnd"/>
      <w:r w:rsidR="003B70F8">
        <w:t>=1) multi-slot PDCCH monitoring configuration and</w:t>
      </w:r>
      <w:r>
        <w:t xml:space="preserve"> UE has to monitoring PDCCH in different slots across CCs </w:t>
      </w:r>
      <w:r w:rsidR="000D7C8F">
        <w:t xml:space="preserve">without any chance of micro-sleep </w:t>
      </w:r>
      <w:r>
        <w:t>due to the non-aligned PDCCH monitoring pattern</w:t>
      </w:r>
      <w:r w:rsidR="003B70F8">
        <w:t xml:space="preserve">. </w:t>
      </w:r>
      <w:r w:rsidR="00E920F6">
        <w:t xml:space="preserve">On the other hand, if the </w:t>
      </w:r>
      <w:r w:rsidR="00C25BD8">
        <w:t xml:space="preserve">PDCCH monitoring pattern is aligned across CCs, UE will monitor the same slots </w:t>
      </w:r>
      <w:r w:rsidR="000D7C8F">
        <w:t xml:space="preserve">across CCs </w:t>
      </w:r>
      <w:r w:rsidR="00C25BD8">
        <w:t>and improve</w:t>
      </w:r>
      <w:r w:rsidR="00241B7E">
        <w:t xml:space="preserve"> PDCCH monitoring power consumption</w:t>
      </w:r>
      <w:r w:rsidR="00C25BD8">
        <w:t xml:space="preserve"> accordingly</w:t>
      </w:r>
      <w:r w:rsidR="00241B7E">
        <w:t xml:space="preserve">. </w:t>
      </w:r>
    </w:p>
    <w:p w14:paraId="7F17F5B5" w14:textId="77777777" w:rsidR="0098718A" w:rsidRDefault="0098718A" w:rsidP="00E239E3"/>
    <w:p w14:paraId="100D8490" w14:textId="0788340E" w:rsidR="00FC5B95" w:rsidRDefault="004D4CEF" w:rsidP="005061FA">
      <w:pPr>
        <w:pStyle w:val="Caption"/>
      </w:pPr>
      <w:bookmarkStart w:id="7" w:name="_Ref92449676"/>
      <w:bookmarkStart w:id="8" w:name="_Ref78902377"/>
      <w:bookmarkStart w:id="9" w:name="_Ref68510864"/>
      <w:r>
        <w:t xml:space="preserve">Proposal </w:t>
      </w:r>
      <w:fldSimple w:instr=" SEQ Proposal \* ARABIC ">
        <w:r w:rsidR="000E7581">
          <w:rPr>
            <w:noProof/>
          </w:rPr>
          <w:t>5</w:t>
        </w:r>
      </w:fldSimple>
      <w:r>
        <w:t>:</w:t>
      </w:r>
      <w:r w:rsidR="003D5B75">
        <w:t xml:space="preserve"> </w:t>
      </w:r>
      <w:r w:rsidR="00FC5B95">
        <w:t xml:space="preserve">For multi-cell operation, </w:t>
      </w:r>
      <w:r w:rsidR="002761FB">
        <w:t xml:space="preserve">UE can report a capability on whether </w:t>
      </w:r>
      <w:r w:rsidR="00FC5B95" w:rsidRPr="00FC5B95">
        <w:t>the location of the Y slots within a slot group of X slots is maintained across CCs associated with (</w:t>
      </w:r>
      <w:proofErr w:type="gramStart"/>
      <w:r w:rsidR="00FC5B95" w:rsidRPr="00FC5B95">
        <w:t>X,Y</w:t>
      </w:r>
      <w:proofErr w:type="gramEnd"/>
      <w:r w:rsidR="00FC5B95" w:rsidRPr="00FC5B95">
        <w:t>) configuration</w:t>
      </w:r>
      <w:r w:rsidR="00FC5B95">
        <w:t>.</w:t>
      </w:r>
      <w:bookmarkEnd w:id="7"/>
    </w:p>
    <w:bookmarkEnd w:id="8"/>
    <w:bookmarkEnd w:id="9"/>
    <w:p w14:paraId="7A14D331" w14:textId="445A57ED" w:rsidR="004D4CEF" w:rsidRDefault="004D4CEF" w:rsidP="00EB6FA4">
      <w:pPr>
        <w:pStyle w:val="Caption"/>
      </w:pPr>
    </w:p>
    <w:p w14:paraId="23D78D55" w14:textId="37A45832" w:rsidR="006E2EF2" w:rsidRDefault="00590551" w:rsidP="001F73DE">
      <w:pPr>
        <w:keepNext/>
      </w:pPr>
      <w:r>
        <w:rPr>
          <w:noProof/>
          <w:lang w:eastAsia="zh-TW"/>
        </w:rPr>
        <w:drawing>
          <wp:inline distT="0" distB="0" distL="0" distR="0" wp14:anchorId="64F81E6C" wp14:editId="4366212F">
            <wp:extent cx="4235219" cy="2315070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040" cy="2328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B91F2" w14:textId="28E20151" w:rsidR="006E2EF2" w:rsidRDefault="006E2EF2" w:rsidP="001F73DE">
      <w:pPr>
        <w:pStyle w:val="Caption"/>
      </w:pPr>
      <w:bookmarkStart w:id="10" w:name="_Ref68527611"/>
      <w:r>
        <w:t xml:space="preserve">Figure </w:t>
      </w:r>
      <w:fldSimple w:instr=" SEQ Figure \* ARABIC ">
        <w:r w:rsidR="000E7581">
          <w:rPr>
            <w:noProof/>
          </w:rPr>
          <w:t>1</w:t>
        </w:r>
      </w:fldSimple>
      <w:bookmarkEnd w:id="10"/>
      <w:r>
        <w:t xml:space="preserve"> Example of non-aligned </w:t>
      </w:r>
      <w:r w:rsidR="00590551">
        <w:t xml:space="preserve">monitoring pattern </w:t>
      </w:r>
      <w:r>
        <w:t xml:space="preserve">across CCs </w:t>
      </w:r>
    </w:p>
    <w:p w14:paraId="2597440B" w14:textId="77777777" w:rsidR="00320BC8" w:rsidRDefault="00320BC8" w:rsidP="00EB6FA4"/>
    <w:p w14:paraId="371A25D3" w14:textId="77777777" w:rsidR="00320BC8" w:rsidRPr="00C63576" w:rsidRDefault="00320BC8" w:rsidP="00EB6FA4"/>
    <w:p w14:paraId="04799358" w14:textId="77777777" w:rsidR="00FD3E20" w:rsidRPr="000D5DFA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Conclusion</w:t>
      </w:r>
    </w:p>
    <w:p w14:paraId="47163B29" w14:textId="67775634" w:rsidR="00FD3E20" w:rsidRDefault="00FD3E20" w:rsidP="00FD3E20">
      <w:pPr>
        <w:spacing w:afterLines="50" w:after="120"/>
      </w:pPr>
      <w:r w:rsidRPr="007D4109">
        <w:t xml:space="preserve">In summary, we have the following </w:t>
      </w:r>
      <w:r w:rsidR="00460F5C">
        <w:t>proposals</w:t>
      </w:r>
      <w:r w:rsidRPr="007D4109">
        <w:t>:</w:t>
      </w:r>
    </w:p>
    <w:p w14:paraId="3F308753" w14:textId="2E28B547" w:rsidR="00C25BD8" w:rsidRDefault="00C25BD8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_Ref92449662 \h </w:instrText>
      </w:r>
      <w:r>
        <w:rPr>
          <w:b/>
        </w:rPr>
      </w:r>
      <w:r>
        <w:rPr>
          <w:b/>
        </w:rPr>
        <w:fldChar w:fldCharType="separate"/>
      </w:r>
      <w:r w:rsidR="000E7581" w:rsidRPr="003D4F68">
        <w:rPr>
          <w:b/>
        </w:rPr>
        <w:t xml:space="preserve">Proposal </w:t>
      </w:r>
      <w:r w:rsidR="000E7581">
        <w:rPr>
          <w:b/>
          <w:noProof/>
        </w:rPr>
        <w:t>1</w:t>
      </w:r>
      <w:r w:rsidR="000E7581" w:rsidRPr="003D4F68">
        <w:rPr>
          <w:b/>
        </w:rPr>
        <w:t xml:space="preserve">: </w:t>
      </w:r>
      <w:r w:rsidR="000E7581">
        <w:rPr>
          <w:b/>
        </w:rPr>
        <w:t xml:space="preserve">To determine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0E7581">
        <w:rPr>
          <w:b/>
        </w:rPr>
        <w:t xml:space="preserve"> for PDCCH monitoring configuration in a cell, </w:t>
      </w:r>
      <w:r w:rsidR="000E7581" w:rsidRPr="000C5821">
        <w:rPr>
          <w:b/>
        </w:rPr>
        <w:t xml:space="preserve">if more than one of the PDCCH monitoring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="000E7581" w:rsidRPr="000C5821">
        <w:rPr>
          <w:b/>
        </w:rPr>
        <w:t xml:space="preserve"> capability combinations supported by a UE comply with all configured search space sets, then the UE selects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="000E7581" w:rsidRPr="000C5821">
        <w:rPr>
          <w:b/>
        </w:rPr>
        <w:t xml:space="preserve"> and smalles</w:t>
      </w:r>
      <w:r w:rsidR="000E7581">
        <w:rPr>
          <w:b/>
        </w:rPr>
        <w:t>t</w:t>
      </w:r>
      <w:r w:rsidR="000E7581" w:rsidRPr="000C5821">
        <w:rPr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="000E7581" w:rsidRPr="000C5821">
        <w:rPr>
          <w:b/>
        </w:rPr>
        <w:t xml:space="preserve"> such that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,μ</m:t>
            </m:r>
          </m:sup>
        </m:sSubSup>
      </m:oMath>
      <w:r w:rsidR="000E7581" w:rsidRPr="000C5821">
        <w:rPr>
          <w:b/>
        </w:rPr>
        <w:t xml:space="preserve"> and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,μ</m:t>
            </m:r>
          </m:sup>
        </m:sSubSup>
      </m:oMath>
      <w:r w:rsidR="000E7581" w:rsidRPr="000C5821">
        <w:rPr>
          <w:b/>
        </w:rPr>
        <w:t xml:space="preserve"> values corresponding to the complying combination with the largest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,μ</m:t>
            </m:r>
          </m:sup>
        </m:sSubSup>
      </m:oMath>
      <w:r w:rsidR="000E7581" w:rsidRPr="000C5821">
        <w:rPr>
          <w:b/>
        </w:rPr>
        <w:t> and  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 xml:space="preserve">max, </m:t>
            </m:r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,μ</m:t>
            </m:r>
          </m:sup>
        </m:sSubSup>
      </m:oMath>
      <w:r w:rsidR="000E7581" w:rsidRPr="00BB123B">
        <w:rPr>
          <w:b/>
        </w:rPr>
        <w:t> </w:t>
      </w:r>
      <w:r w:rsidR="000E7581" w:rsidRPr="000C5821">
        <w:rPr>
          <w:b/>
        </w:rPr>
        <w:t>values.</w:t>
      </w:r>
      <w:r>
        <w:rPr>
          <w:b/>
        </w:rPr>
        <w:fldChar w:fldCharType="end"/>
      </w:r>
    </w:p>
    <w:p w14:paraId="5C7C3746" w14:textId="77777777" w:rsidR="00C25BD8" w:rsidRDefault="00C25BD8" w:rsidP="0046067E">
      <w:pPr>
        <w:rPr>
          <w:b/>
        </w:rPr>
      </w:pPr>
    </w:p>
    <w:p w14:paraId="5B9D1D1F" w14:textId="6ABF2D65" w:rsidR="00A400B4" w:rsidRPr="00A400B4" w:rsidRDefault="00A400B4" w:rsidP="0046067E">
      <w:pPr>
        <w:rPr>
          <w:b/>
        </w:rPr>
      </w:pPr>
      <w:r w:rsidRPr="0046067E">
        <w:rPr>
          <w:b/>
        </w:rPr>
        <w:lastRenderedPageBreak/>
        <w:t xml:space="preserve">Observation 1: All the CCs with the same subcarrier spacing </w:t>
      </w:r>
      <m:oMath>
        <m:r>
          <m:rPr>
            <m:sty m:val="bi"/>
          </m:rPr>
          <w:rPr>
            <w:rFonts w:ascii="Cambria Math" w:hAnsi="Cambria Math"/>
          </w:rPr>
          <m:t>15×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p>
      </m:oMath>
      <w:r w:rsidRPr="0046067E">
        <w:rPr>
          <w:b/>
        </w:rPr>
        <w:t xml:space="preserve"> and same (</w:t>
      </w:r>
      <w:proofErr w:type="gramStart"/>
      <w:r w:rsidRPr="0046067E">
        <w:rPr>
          <w:b/>
        </w:rPr>
        <w:t>X,Y</w:t>
      </w:r>
      <w:proofErr w:type="gramEnd"/>
      <w:r w:rsidRPr="0046067E">
        <w:rPr>
          <w:b/>
        </w:rPr>
        <w:t xml:space="preserve">) </w:t>
      </w:r>
      <w:r w:rsidRPr="00980795">
        <w:rPr>
          <w:b/>
        </w:rPr>
        <w:fldChar w:fldCharType="begin"/>
      </w:r>
      <w:r w:rsidRPr="00A400B4">
        <w:rPr>
          <w:b/>
        </w:rPr>
        <w:instrText xml:space="preserve"> REF _Ref92452325 \h </w:instrText>
      </w:r>
      <w:r w:rsidRPr="0046067E">
        <w:rPr>
          <w:b/>
        </w:rPr>
        <w:instrText xml:space="preserve"> \* MERGEFORMAT </w:instrText>
      </w:r>
      <w:r w:rsidRPr="00980795">
        <w:rPr>
          <w:b/>
        </w:rPr>
      </w:r>
      <w:r w:rsidRPr="00980795">
        <w:rPr>
          <w:b/>
        </w:rPr>
        <w:fldChar w:fldCharType="separate"/>
      </w:r>
      <w:r w:rsidR="000E7581" w:rsidRPr="000C5821">
        <w:rPr>
          <w:b/>
        </w:rPr>
        <w:t>in multi-slot PDCCH monitoring configuration share the same pattern of slot groups</w:t>
      </w:r>
      <w:r w:rsidRPr="00980795">
        <w:rPr>
          <w:b/>
        </w:rPr>
        <w:fldChar w:fldCharType="end"/>
      </w:r>
    </w:p>
    <w:p w14:paraId="59956F28" w14:textId="77777777" w:rsidR="004E7930" w:rsidRDefault="004E7930" w:rsidP="0046067E">
      <w:pPr>
        <w:rPr>
          <w:b/>
        </w:rPr>
      </w:pPr>
    </w:p>
    <w:p w14:paraId="06F1B119" w14:textId="730022FA" w:rsidR="00DE7D75" w:rsidRDefault="00DE7D75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_Ref95217564 \h </w:instrText>
      </w:r>
      <w:r>
        <w:rPr>
          <w:b/>
        </w:rPr>
      </w:r>
      <w:r>
        <w:rPr>
          <w:b/>
        </w:rPr>
        <w:fldChar w:fldCharType="separate"/>
      </w:r>
      <w:r w:rsidR="000E7581" w:rsidRPr="003D4F68">
        <w:rPr>
          <w:b/>
        </w:rPr>
        <w:t xml:space="preserve">Proposal </w:t>
      </w:r>
      <w:r w:rsidR="000E7581">
        <w:rPr>
          <w:b/>
          <w:noProof/>
        </w:rPr>
        <w:t>2</w:t>
      </w:r>
      <w:r w:rsidR="000E7581" w:rsidRPr="003D4F68">
        <w:rPr>
          <w:b/>
        </w:rPr>
        <w:t xml:space="preserve">: </w:t>
      </w:r>
      <w:r w:rsidR="000E7581" w:rsidRPr="00373729">
        <w:rPr>
          <w:b/>
        </w:rPr>
        <w:t xml:space="preserve">For </w:t>
      </w:r>
      <w:r w:rsidR="000E7581">
        <w:rPr>
          <w:b/>
        </w:rPr>
        <w:t xml:space="preserve">Rel-18 SSSG switching functionality, for </w:t>
      </w:r>
      <w:r w:rsidR="000E7581" w:rsidRPr="00373729">
        <w:rPr>
          <w:b/>
        </w:rPr>
        <w:t>a given SCS, only support same (</w:t>
      </w:r>
      <w:proofErr w:type="gramStart"/>
      <w:r w:rsidR="000E7581" w:rsidRPr="00373729">
        <w:rPr>
          <w:b/>
        </w:rPr>
        <w:t>X,Y</w:t>
      </w:r>
      <w:proofErr w:type="gramEnd"/>
      <w:r w:rsidR="000E7581" w:rsidRPr="00373729">
        <w:rPr>
          <w:b/>
        </w:rPr>
        <w:t xml:space="preserve">) </w:t>
      </w:r>
      <w:r w:rsidR="000E7581">
        <w:rPr>
          <w:b/>
        </w:rPr>
        <w:t>before and after</w:t>
      </w:r>
      <w:r w:rsidR="000E7581" w:rsidRPr="00373729">
        <w:rPr>
          <w:b/>
        </w:rPr>
        <w:t xml:space="preserve"> the search space set group switching is applied</w:t>
      </w:r>
      <w:r>
        <w:rPr>
          <w:b/>
        </w:rPr>
        <w:fldChar w:fldCharType="end"/>
      </w:r>
    </w:p>
    <w:p w14:paraId="7C1215CD" w14:textId="77777777" w:rsidR="00DE7D75" w:rsidRDefault="00DE7D75" w:rsidP="0046067E">
      <w:pPr>
        <w:rPr>
          <w:b/>
        </w:rPr>
      </w:pPr>
    </w:p>
    <w:p w14:paraId="6A2E1120" w14:textId="2B2D4895" w:rsidR="00C25BD8" w:rsidRDefault="00C25BD8" w:rsidP="0046067E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_Ref92449674 \h </w:instrText>
      </w:r>
      <w:r>
        <w:rPr>
          <w:b/>
        </w:rPr>
      </w:r>
      <w:r>
        <w:rPr>
          <w:b/>
        </w:rPr>
        <w:fldChar w:fldCharType="separate"/>
      </w:r>
      <w:r w:rsidR="000E7581" w:rsidRPr="0046067E">
        <w:rPr>
          <w:b/>
        </w:rPr>
        <w:t xml:space="preserve">Proposal </w:t>
      </w:r>
      <w:r w:rsidR="000E7581">
        <w:rPr>
          <w:b/>
          <w:noProof/>
        </w:rPr>
        <w:t>3</w:t>
      </w:r>
      <w:r w:rsidR="000E7581" w:rsidRPr="0046067E">
        <w:rPr>
          <w:b/>
        </w:rPr>
        <w:t>: The Rel-15/16 multi-cell BD/CCE budget calculation method specified for slot-based PDCCH monitoring should be considered as the baseline for the multi-cell BD/CCE budget calculation for slot-group based PDCCH monitoring in 480kHz and 960kHz.</w:t>
      </w:r>
      <w:r>
        <w:rPr>
          <w:b/>
        </w:rPr>
        <w:fldChar w:fldCharType="end"/>
      </w:r>
    </w:p>
    <w:p w14:paraId="220B0AE2" w14:textId="6B919E9B" w:rsidR="00C25BD8" w:rsidRDefault="00C25BD8" w:rsidP="0046067E"/>
    <w:p w14:paraId="4C7E8B9B" w14:textId="5CCCFED6" w:rsidR="000E7581" w:rsidRDefault="000E7581" w:rsidP="0046067E">
      <w:r>
        <w:fldChar w:fldCharType="begin"/>
      </w:r>
      <w:r>
        <w:instrText xml:space="preserve"> REF _Ref101290170 \h </w:instrText>
      </w:r>
      <w:r>
        <w:fldChar w:fldCharType="separate"/>
      </w:r>
      <w:r w:rsidRPr="0046067E">
        <w:rPr>
          <w:b/>
        </w:rPr>
        <w:t xml:space="preserve">Proposal </w:t>
      </w:r>
      <w:r>
        <w:rPr>
          <w:b/>
          <w:noProof/>
        </w:rPr>
        <w:t>4</w:t>
      </w:r>
      <w:r w:rsidRPr="0046067E">
        <w:rPr>
          <w:b/>
        </w:rPr>
        <w:t xml:space="preserve">: </w:t>
      </w:r>
      <w:r>
        <w:rPr>
          <w:b/>
        </w:rPr>
        <w:t>Update the previous agreement as follows:</w:t>
      </w:r>
      <w:r>
        <w:rPr>
          <w:b/>
        </w:rPr>
        <w:br/>
      </w:r>
      <w:r w:rsidRPr="00314C0F">
        <w:rPr>
          <w:b/>
          <w:highlight w:val="green"/>
        </w:rPr>
        <w:t>Agreement</w:t>
      </w:r>
      <w:r>
        <w:fldChar w:fldCharType="end"/>
      </w:r>
    </w:p>
    <w:p w14:paraId="75216B62" w14:textId="77777777" w:rsidR="000E7581" w:rsidRPr="00B610C4" w:rsidRDefault="000E7581" w:rsidP="000E7581">
      <w:pPr>
        <w:pStyle w:val="ListParagraph"/>
        <w:numPr>
          <w:ilvl w:val="0"/>
          <w:numId w:val="57"/>
        </w:numPr>
        <w:contextualSpacing w:val="0"/>
      </w:pPr>
      <w:r>
        <w:t xml:space="preserve">For serving cells configured with 480 or 960 kHz SCS, the serving cells with the same SCS and </w:t>
      </w:r>
      <m:oMath>
        <m:sSub>
          <m:sSubPr>
            <m:ctrlPr>
              <w:rPr>
                <w:rFonts w:ascii="Cambria Math" w:eastAsia="SimSun" w:hAnsi="Cambria Math" w:cs="Calibri"/>
                <w:sz w:val="22"/>
                <w:szCs w:val="22"/>
                <w:lang w:val="de-DE"/>
              </w:rPr>
            </m:ctrlPr>
          </m:sSubPr>
          <m:e>
            <m:r>
              <w:rPr>
                <w:rFonts w:ascii="Cambria Math" w:hAnsi="Cambria Math"/>
                <w:lang w:val="de-DE"/>
              </w:rPr>
              <m:t>X</m:t>
            </m:r>
            <m:ctrlPr>
              <w:rPr>
                <w:rFonts w:ascii="Cambria Math" w:eastAsia="SimSun" w:hAnsi="Cambria Math" w:cs="Calibri"/>
                <w:i/>
                <w:iCs/>
                <w:sz w:val="22"/>
                <w:szCs w:val="22"/>
                <w:lang w:val="de-DE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t xml:space="preserve"> value are grouped together to determine a total BD/CCE budget for that group and the per-cell BD/CCE budget within the group.</w:t>
      </w:r>
    </w:p>
    <w:p w14:paraId="1E2179FA" w14:textId="77777777" w:rsidR="000E7581" w:rsidRDefault="000E7581" w:rsidP="000E7581">
      <w:pPr>
        <w:pStyle w:val="ListParagraph"/>
        <w:numPr>
          <w:ilvl w:val="0"/>
          <w:numId w:val="57"/>
        </w:numPr>
        <w:contextualSpacing w:val="0"/>
        <w:rPr>
          <w:szCs w:val="20"/>
        </w:rPr>
      </w:pPr>
      <w:r>
        <w:t xml:space="preserve">Support UE capability signaling for 4 additional </w:t>
      </w:r>
      <w:proofErr w:type="gramStart"/>
      <w:r>
        <w:t>cases :</w:t>
      </w:r>
      <w:proofErr w:type="gramEnd"/>
    </w:p>
    <w:p w14:paraId="05512A8A" w14:textId="77777777" w:rsidR="000E7581" w:rsidRDefault="000E7581" w:rsidP="000E7581">
      <w:pPr>
        <w:numPr>
          <w:ilvl w:val="1"/>
          <w:numId w:val="58"/>
        </w:numPr>
        <w:autoSpaceDN w:val="0"/>
        <w:jc w:val="both"/>
      </w:pPr>
      <w:r>
        <w:t>Case 4: Capability on the number of CCs with Rel-17 monitoring capability only</w:t>
      </w:r>
    </w:p>
    <w:p w14:paraId="15D9A4E3" w14:textId="77777777" w:rsidR="000E7581" w:rsidRDefault="000E7581" w:rsidP="000E7581">
      <w:pPr>
        <w:numPr>
          <w:ilvl w:val="2"/>
          <w:numId w:val="58"/>
        </w:numPr>
        <w:autoSpaceDN w:val="0"/>
        <w:jc w:val="both"/>
        <w:rPr>
          <w:rFonts w:ascii="Calibri" w:hAnsi="Calibri" w:cs="Calibri"/>
        </w:rPr>
      </w:pPr>
      <w:r>
        <w:t>Range of pdcch-BlindDetectionCA-R17: {</w:t>
      </w:r>
      <w:r w:rsidRPr="00BB123B">
        <w:rPr>
          <w:strike/>
          <w:color w:val="FF0000"/>
        </w:rPr>
        <w:t>[</w:t>
      </w:r>
      <w:r>
        <w:t xml:space="preserve">2,3, </w:t>
      </w:r>
      <w:proofErr w:type="gramStart"/>
      <w:r w:rsidRPr="00BB123B">
        <w:rPr>
          <w:strike/>
          <w:color w:val="FF0000"/>
        </w:rPr>
        <w:t>4,5,</w:t>
      </w:r>
      <w:r>
        <w:t>…</w:t>
      </w:r>
      <w:proofErr w:type="gramEnd"/>
      <w:r>
        <w:t>,</w:t>
      </w:r>
      <w:r w:rsidRPr="00BB123B">
        <w:t>16</w:t>
      </w:r>
      <w:r w:rsidRPr="00BB123B">
        <w:rPr>
          <w:strike/>
          <w:color w:val="FF0000"/>
        </w:rPr>
        <w:t>]</w:t>
      </w:r>
      <w:r w:rsidRPr="00BB123B">
        <w:t>}</w:t>
      </w:r>
    </w:p>
    <w:p w14:paraId="59974725" w14:textId="77777777" w:rsidR="000E7581" w:rsidRDefault="000E7581" w:rsidP="000E7581">
      <w:pPr>
        <w:numPr>
          <w:ilvl w:val="1"/>
          <w:numId w:val="58"/>
        </w:numPr>
        <w:autoSpaceDN w:val="0"/>
        <w:jc w:val="both"/>
      </w:pPr>
      <w:r>
        <w:t>Case 5: Capability on the number of CCs with Rel-15 monitoring capability and Rel-17 monitoring capability on different serving cells</w:t>
      </w:r>
    </w:p>
    <w:p w14:paraId="1B913681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pdcch-BlindDetectionCA-R15 for Rel-15 PDCCH monitoring capability</w:t>
      </w:r>
    </w:p>
    <w:p w14:paraId="2CE4A118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pdcch-BlindDetectionCA-R17 for Rel-17 PDCCH monitoring capability</w:t>
      </w:r>
    </w:p>
    <w:p w14:paraId="5A04F254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Range of pdcch-BlindDetectionCA-R17 and pdcch-BlindDetectionCA-R15: {[1, 2, …, 15]}</w:t>
      </w:r>
    </w:p>
    <w:p w14:paraId="0AD16DD7" w14:textId="77777777" w:rsidR="000E7581" w:rsidRDefault="000E7581" w:rsidP="000E7581">
      <w:pPr>
        <w:numPr>
          <w:ilvl w:val="3"/>
          <w:numId w:val="58"/>
        </w:numPr>
        <w:autoSpaceDN w:val="0"/>
        <w:jc w:val="both"/>
      </w:pPr>
      <w:r>
        <w:t>Range of pdcch-BlindDetectionCA-R15 + pdcch-BlindDetectionCA-R17: {</w:t>
      </w:r>
      <w:r w:rsidRPr="00BB123B">
        <w:rPr>
          <w:strike/>
          <w:color w:val="FF0000"/>
        </w:rPr>
        <w:t>[</w:t>
      </w:r>
      <w:r>
        <w:t xml:space="preserve">3, </w:t>
      </w:r>
      <w:proofErr w:type="gramStart"/>
      <w:r w:rsidRPr="00BB123B">
        <w:t>4</w:t>
      </w:r>
      <w:r w:rsidRPr="00BB123B">
        <w:rPr>
          <w:strike/>
          <w:color w:val="FF0000"/>
        </w:rPr>
        <w:t>,5,</w:t>
      </w:r>
      <w:r>
        <w:t>…</w:t>
      </w:r>
      <w:proofErr w:type="gramEnd"/>
      <w:r>
        <w:t>,</w:t>
      </w:r>
      <w:r w:rsidRPr="00BB123B">
        <w:t>16</w:t>
      </w:r>
      <w:r w:rsidRPr="00BB123B">
        <w:rPr>
          <w:strike/>
          <w:color w:val="FF0000"/>
        </w:rPr>
        <w:t>]</w:t>
      </w:r>
      <w:r>
        <w:t>}</w:t>
      </w:r>
    </w:p>
    <w:p w14:paraId="1F6F851C" w14:textId="77777777" w:rsidR="000E7581" w:rsidRDefault="000E7581" w:rsidP="000E7581">
      <w:pPr>
        <w:numPr>
          <w:ilvl w:val="1"/>
          <w:numId w:val="58"/>
        </w:numPr>
        <w:autoSpaceDN w:val="0"/>
        <w:jc w:val="both"/>
      </w:pPr>
      <w:r>
        <w:t>Case 6: Capability on the number of CCs with Rel-16 monitoring capability and Rel-17 monitoring capability on different serving cells</w:t>
      </w:r>
    </w:p>
    <w:p w14:paraId="145238E6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pdcch-BlindDetectionCA-R16 for Rel-16 PDCCH monitoring capability</w:t>
      </w:r>
    </w:p>
    <w:p w14:paraId="315D8C19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pdcch-BlindDetectionCA-R17 for Rel-17 PDCCH monitoring capability</w:t>
      </w:r>
    </w:p>
    <w:p w14:paraId="6CD46BED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 xml:space="preserve">Range of pdcch-BlindDetectionCA-R17 and pdcch-BlindDetectionCA-R16: {[1, 2, …, 15]} </w:t>
      </w:r>
    </w:p>
    <w:p w14:paraId="2C3D62ED" w14:textId="77777777" w:rsidR="000E7581" w:rsidRDefault="000E7581" w:rsidP="000E7581">
      <w:pPr>
        <w:numPr>
          <w:ilvl w:val="3"/>
          <w:numId w:val="58"/>
        </w:numPr>
        <w:autoSpaceDN w:val="0"/>
        <w:jc w:val="both"/>
      </w:pPr>
      <w:r>
        <w:t>Range of pdcch-BlindDetectionCA-R16 + pdcch-BlindDetectionCA-R17: {</w:t>
      </w:r>
      <w:r w:rsidRPr="00BB123B">
        <w:rPr>
          <w:strike/>
          <w:color w:val="FF0000"/>
        </w:rPr>
        <w:t>[</w:t>
      </w:r>
      <w:r>
        <w:t xml:space="preserve">2,3, </w:t>
      </w:r>
      <w:proofErr w:type="gramStart"/>
      <w:r w:rsidRPr="00BB123B">
        <w:rPr>
          <w:strike/>
          <w:color w:val="FF0000"/>
        </w:rPr>
        <w:t>4,5,</w:t>
      </w:r>
      <w:r>
        <w:t>…</w:t>
      </w:r>
      <w:proofErr w:type="gramEnd"/>
      <w:r>
        <w:t>,</w:t>
      </w:r>
      <w:r w:rsidRPr="00BB123B">
        <w:t>16</w:t>
      </w:r>
      <w:r w:rsidRPr="00BB123B">
        <w:rPr>
          <w:strike/>
          <w:color w:val="FF0000"/>
        </w:rPr>
        <w:t>]</w:t>
      </w:r>
      <w:r>
        <w:t>}</w:t>
      </w:r>
    </w:p>
    <w:p w14:paraId="4A08F371" w14:textId="77777777" w:rsidR="000E7581" w:rsidRDefault="000E7581" w:rsidP="000E7581">
      <w:pPr>
        <w:numPr>
          <w:ilvl w:val="1"/>
          <w:numId w:val="58"/>
        </w:numPr>
        <w:autoSpaceDN w:val="0"/>
        <w:jc w:val="both"/>
      </w:pPr>
      <w:r>
        <w:t xml:space="preserve">Case 7: Capability on the number of CCs with Rel-15 monitoring </w:t>
      </w:r>
      <w:proofErr w:type="gramStart"/>
      <w:r>
        <w:t>capability ,</w:t>
      </w:r>
      <w:proofErr w:type="gramEnd"/>
      <w:r>
        <w:t xml:space="preserve"> Rel-16 monitoring capability and Rel-17 monitoring capability on different serving cells</w:t>
      </w:r>
    </w:p>
    <w:p w14:paraId="54700B9E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pdcch-BlindDetectionCA-R15 for Rel-15 PDCCH monitoring capability</w:t>
      </w:r>
    </w:p>
    <w:p w14:paraId="697A96DF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pdcch-BlindDetectionCA-R16 for Rel-16 PDCCH monitoring capability</w:t>
      </w:r>
    </w:p>
    <w:p w14:paraId="1EFAC720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pdcch-BlindDetectionCA-R17 for Rel-17 PDCCH monitoring capability</w:t>
      </w:r>
    </w:p>
    <w:p w14:paraId="15B5CF80" w14:textId="77777777" w:rsidR="000E7581" w:rsidRDefault="000E7581" w:rsidP="000E7581">
      <w:pPr>
        <w:numPr>
          <w:ilvl w:val="2"/>
          <w:numId w:val="58"/>
        </w:numPr>
        <w:autoSpaceDN w:val="0"/>
        <w:jc w:val="both"/>
      </w:pPr>
      <w:r>
        <w:t>Range of pdcch-BlindDetectionCA-R17, pdcch-BlindDetectionCA-R16, and pdcch-BlindDetectionCA-R15: {[1, 2, …, 15]}</w:t>
      </w:r>
    </w:p>
    <w:p w14:paraId="7AE60FCD" w14:textId="77777777" w:rsidR="000E7581" w:rsidRDefault="000E7581" w:rsidP="000E7581">
      <w:pPr>
        <w:numPr>
          <w:ilvl w:val="3"/>
          <w:numId w:val="58"/>
        </w:numPr>
        <w:autoSpaceDN w:val="0"/>
        <w:jc w:val="both"/>
      </w:pPr>
      <w:r>
        <w:t>Range of pdcch-BlindDetectionCA-R15 + pdcch-BlindDetectionCA-R16 + pdcch-BlindDetectionCA-R</w:t>
      </w:r>
      <w:proofErr w:type="gramStart"/>
      <w:r>
        <w:t>17 :</w:t>
      </w:r>
      <w:proofErr w:type="gramEnd"/>
      <w:r>
        <w:t xml:space="preserve"> {</w:t>
      </w:r>
      <w:r w:rsidRPr="00BB123B">
        <w:rPr>
          <w:strike/>
          <w:color w:val="FF0000"/>
        </w:rPr>
        <w:t>[</w:t>
      </w:r>
      <w:r>
        <w:t xml:space="preserve">3, </w:t>
      </w:r>
      <w:r w:rsidRPr="00BB123B">
        <w:t>4</w:t>
      </w:r>
      <w:r w:rsidRPr="00BB123B">
        <w:rPr>
          <w:strike/>
          <w:color w:val="FF0000"/>
        </w:rPr>
        <w:t>,5,</w:t>
      </w:r>
      <w:r>
        <w:t>…,</w:t>
      </w:r>
      <w:r w:rsidRPr="00BB123B">
        <w:t>16</w:t>
      </w:r>
      <w:r w:rsidRPr="00BB123B">
        <w:rPr>
          <w:strike/>
          <w:color w:val="FF0000"/>
        </w:rPr>
        <w:t>]</w:t>
      </w:r>
      <w:r>
        <w:t>}</w:t>
      </w:r>
    </w:p>
    <w:p w14:paraId="03C0E33D" w14:textId="2431CDDE" w:rsidR="000E7581" w:rsidRDefault="000E7581" w:rsidP="0046067E"/>
    <w:p w14:paraId="25B39564" w14:textId="77777777" w:rsidR="000E7581" w:rsidRPr="0046067E" w:rsidRDefault="000E7581" w:rsidP="0046067E"/>
    <w:p w14:paraId="4E5DB41E" w14:textId="72589306" w:rsidR="00201774" w:rsidRPr="0046067E" w:rsidRDefault="00C25BD8" w:rsidP="0046067E">
      <w:pPr>
        <w:rPr>
          <w:b/>
        </w:rPr>
      </w:pPr>
      <w:r w:rsidRPr="004E7930">
        <w:rPr>
          <w:b/>
        </w:rPr>
        <w:fldChar w:fldCharType="begin"/>
      </w:r>
      <w:r w:rsidRPr="00C25BD8">
        <w:rPr>
          <w:b/>
        </w:rPr>
        <w:instrText xml:space="preserve"> REF _Ref92449676 \h </w:instrText>
      </w:r>
      <w:r w:rsidRPr="0046067E">
        <w:rPr>
          <w:b/>
        </w:rPr>
        <w:instrText xml:space="preserve"> \* MERGEFORMAT </w:instrText>
      </w:r>
      <w:r w:rsidRPr="004E7930">
        <w:rPr>
          <w:b/>
        </w:rPr>
      </w:r>
      <w:r w:rsidRPr="004E7930">
        <w:rPr>
          <w:b/>
        </w:rPr>
        <w:fldChar w:fldCharType="separate"/>
      </w:r>
      <w:r w:rsidR="000E7581" w:rsidRPr="000C5821">
        <w:rPr>
          <w:b/>
        </w:rPr>
        <w:t xml:space="preserve">Proposal </w:t>
      </w:r>
      <w:r w:rsidR="000E7581" w:rsidRPr="000C5821">
        <w:rPr>
          <w:b/>
          <w:noProof/>
        </w:rPr>
        <w:t>5</w:t>
      </w:r>
      <w:r w:rsidR="000E7581" w:rsidRPr="000C5821">
        <w:rPr>
          <w:b/>
        </w:rPr>
        <w:t>: For multi-cell operation, UE can report a capability on whether the location of the Y slots within a slot group of X slots is maintained across CCs associated with (</w:t>
      </w:r>
      <w:proofErr w:type="gramStart"/>
      <w:r w:rsidR="000E7581" w:rsidRPr="000C5821">
        <w:rPr>
          <w:b/>
        </w:rPr>
        <w:t>X,Y</w:t>
      </w:r>
      <w:proofErr w:type="gramEnd"/>
      <w:r w:rsidR="000E7581" w:rsidRPr="000C5821">
        <w:rPr>
          <w:b/>
        </w:rPr>
        <w:t>) configuration.</w:t>
      </w:r>
      <w:r w:rsidRPr="004E7930">
        <w:rPr>
          <w:b/>
        </w:rPr>
        <w:fldChar w:fldCharType="end"/>
      </w:r>
    </w:p>
    <w:p w14:paraId="798A870D" w14:textId="5AFFFD67" w:rsidR="00FD3E20" w:rsidRPr="00AD111F" w:rsidRDefault="00FD3E20" w:rsidP="00FD3E20">
      <w:pPr>
        <w:pStyle w:val="ListParagraph"/>
        <w:numPr>
          <w:ilvl w:val="0"/>
          <w:numId w:val="5"/>
        </w:numPr>
        <w:spacing w:beforeLines="50" w:before="120" w:afterLines="50" w:after="120"/>
        <w:contextualSpacing w:val="0"/>
        <w:outlineLvl w:val="0"/>
        <w:rPr>
          <w:rFonts w:eastAsia="SimSun"/>
          <w:b/>
          <w:sz w:val="28"/>
        </w:rPr>
      </w:pPr>
      <w:r w:rsidRPr="00AD111F">
        <w:rPr>
          <w:b/>
          <w:sz w:val="28"/>
        </w:rPr>
        <w:t>References</w:t>
      </w:r>
    </w:p>
    <w:p w14:paraId="71F2992C" w14:textId="45671FB6" w:rsidR="000C39EA" w:rsidRDefault="00AD69D0" w:rsidP="000C39EA">
      <w:pPr>
        <w:numPr>
          <w:ilvl w:val="0"/>
          <w:numId w:val="6"/>
        </w:numPr>
        <w:spacing w:afterLines="50" w:after="120"/>
      </w:pPr>
      <w:bookmarkStart w:id="11" w:name="_Ref40359806"/>
      <w:bookmarkStart w:id="12" w:name="_Ref528680018"/>
      <w:bookmarkStart w:id="13" w:name="_Ref481596356"/>
      <w:bookmarkStart w:id="14" w:name="_Ref481781528"/>
      <w:bookmarkStart w:id="15" w:name="_Ref481782557"/>
      <w:r>
        <w:lastRenderedPageBreak/>
        <w:t xml:space="preserve">3GPP </w:t>
      </w:r>
      <w:r w:rsidR="007E3EFF">
        <w:t>TR 38.808</w:t>
      </w:r>
      <w:r w:rsidR="000C39EA">
        <w:t>, “</w:t>
      </w:r>
      <w:r w:rsidR="007E3EFF" w:rsidRPr="009476C7">
        <w:t>Study on supporting NR from 52.6 GHz to 71 GHz</w:t>
      </w:r>
      <w:proofErr w:type="gramStart"/>
      <w:r w:rsidR="000C39EA">
        <w:t xml:space="preserve">”,  </w:t>
      </w:r>
      <w:r w:rsidR="007E3EFF">
        <w:t>November</w:t>
      </w:r>
      <w:proofErr w:type="gramEnd"/>
      <w:r w:rsidR="000C39EA" w:rsidRPr="000C39EA">
        <w:t>, 20</w:t>
      </w:r>
      <w:bookmarkEnd w:id="11"/>
      <w:r w:rsidR="007E3EFF">
        <w:t>20</w:t>
      </w:r>
    </w:p>
    <w:p w14:paraId="1A37EDAE" w14:textId="09369390" w:rsidR="001243FA" w:rsidRDefault="00AD69D0" w:rsidP="00AD69D0">
      <w:pPr>
        <w:numPr>
          <w:ilvl w:val="0"/>
          <w:numId w:val="6"/>
        </w:numPr>
        <w:spacing w:afterLines="50" w:after="120"/>
      </w:pPr>
      <w:bookmarkStart w:id="16" w:name="_Ref40449526"/>
      <w:r>
        <w:t>RP-202925</w:t>
      </w:r>
      <w:r w:rsidR="003E577B">
        <w:t>, “</w:t>
      </w:r>
      <w:r w:rsidRPr="00AD69D0">
        <w:t>Revised WID:  Extending current NR operation to 71 GHz</w:t>
      </w:r>
      <w:r w:rsidR="003E577B">
        <w:t xml:space="preserve">”, </w:t>
      </w:r>
      <w:proofErr w:type="gramStart"/>
      <w:r>
        <w:t>December</w:t>
      </w:r>
      <w:r w:rsidR="003E577B">
        <w:t>,</w:t>
      </w:r>
      <w:proofErr w:type="gramEnd"/>
      <w:r w:rsidR="003E577B">
        <w:t xml:space="preserve"> 2020</w:t>
      </w:r>
      <w:bookmarkEnd w:id="16"/>
    </w:p>
    <w:bookmarkEnd w:id="0"/>
    <w:bookmarkEnd w:id="12"/>
    <w:bookmarkEnd w:id="13"/>
    <w:bookmarkEnd w:id="14"/>
    <w:bookmarkEnd w:id="15"/>
    <w:p w14:paraId="0D9A8F86" w14:textId="5FB3FD30" w:rsidR="00E04988" w:rsidRDefault="00E04988" w:rsidP="001F73DE">
      <w:pPr>
        <w:spacing w:afterLines="50" w:after="120"/>
      </w:pPr>
    </w:p>
    <w:sectPr w:rsidR="00E04988" w:rsidSect="0048132D">
      <w:footnotePr>
        <w:numFmt w:val="chicago"/>
      </w:footnotePr>
      <w:pgSz w:w="12240" w:h="15840" w:code="1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478FE" w14:textId="77777777" w:rsidR="00014DC8" w:rsidRDefault="00014DC8">
      <w:r>
        <w:separator/>
      </w:r>
    </w:p>
  </w:endnote>
  <w:endnote w:type="continuationSeparator" w:id="0">
    <w:p w14:paraId="4C2E9E25" w14:textId="77777777" w:rsidR="00014DC8" w:rsidRDefault="0001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59F26" w14:textId="77777777" w:rsidR="00014DC8" w:rsidRDefault="00014DC8">
      <w:r>
        <w:separator/>
      </w:r>
    </w:p>
  </w:footnote>
  <w:footnote w:type="continuationSeparator" w:id="0">
    <w:p w14:paraId="563D59DA" w14:textId="77777777" w:rsidR="00014DC8" w:rsidRDefault="00014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52DB8"/>
    <w:multiLevelType w:val="hybridMultilevel"/>
    <w:tmpl w:val="59CC783E"/>
    <w:lvl w:ilvl="0" w:tplc="5EA67E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9C08A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A2C92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9D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E4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C92A3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CAAB9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76CA1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B60A7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17150"/>
    <w:multiLevelType w:val="hybridMultilevel"/>
    <w:tmpl w:val="94C01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BA7"/>
    <w:multiLevelType w:val="hybridMultilevel"/>
    <w:tmpl w:val="64929580"/>
    <w:lvl w:ilvl="0" w:tplc="FD8EC69C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6C4E97"/>
    <w:multiLevelType w:val="hybridMultilevel"/>
    <w:tmpl w:val="7032C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084988"/>
    <w:multiLevelType w:val="hybridMultilevel"/>
    <w:tmpl w:val="5D28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D7DA4"/>
    <w:multiLevelType w:val="hybridMultilevel"/>
    <w:tmpl w:val="917C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501"/>
    <w:multiLevelType w:val="hybridMultilevel"/>
    <w:tmpl w:val="3EB2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539A7"/>
    <w:multiLevelType w:val="hybridMultilevel"/>
    <w:tmpl w:val="E81C2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351339"/>
    <w:multiLevelType w:val="hybridMultilevel"/>
    <w:tmpl w:val="A812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F7018"/>
    <w:multiLevelType w:val="hybridMultilevel"/>
    <w:tmpl w:val="D8782CC4"/>
    <w:lvl w:ilvl="0" w:tplc="A88A25A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240C8"/>
    <w:multiLevelType w:val="hybridMultilevel"/>
    <w:tmpl w:val="0E427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B5749"/>
    <w:multiLevelType w:val="hybridMultilevel"/>
    <w:tmpl w:val="8DBE16AE"/>
    <w:lvl w:ilvl="0" w:tplc="8F0EB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1CF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6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AF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ED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4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649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3A4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AE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AB80FC6"/>
    <w:multiLevelType w:val="multilevel"/>
    <w:tmpl w:val="EA1233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6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87E4A"/>
    <w:multiLevelType w:val="hybridMultilevel"/>
    <w:tmpl w:val="82B4BEE6"/>
    <w:lvl w:ilvl="0" w:tplc="2A5A2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A61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0E5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2C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02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F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4AF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98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EA6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9" w15:restartNumberingAfterBreak="0">
    <w:nsid w:val="2BBC0C76"/>
    <w:multiLevelType w:val="hybridMultilevel"/>
    <w:tmpl w:val="5E4AC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21DCE"/>
    <w:multiLevelType w:val="hybridMultilevel"/>
    <w:tmpl w:val="F94C5E20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2" w15:restartNumberingAfterBreak="0">
    <w:nsid w:val="30B43505"/>
    <w:multiLevelType w:val="hybridMultilevel"/>
    <w:tmpl w:val="9348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97C8D"/>
    <w:multiLevelType w:val="hybridMultilevel"/>
    <w:tmpl w:val="13ACF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BD2765"/>
    <w:multiLevelType w:val="hybridMultilevel"/>
    <w:tmpl w:val="56CADC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8063C2"/>
    <w:multiLevelType w:val="hybridMultilevel"/>
    <w:tmpl w:val="CB260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CE2949"/>
    <w:multiLevelType w:val="hybridMultilevel"/>
    <w:tmpl w:val="1B5ACBA2"/>
    <w:lvl w:ilvl="0" w:tplc="BD448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4A29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24AF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22A1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0D4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F432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7E8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AE2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7C98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E915F1"/>
    <w:multiLevelType w:val="hybridMultilevel"/>
    <w:tmpl w:val="1612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3D61EB5"/>
    <w:multiLevelType w:val="hybridMultilevel"/>
    <w:tmpl w:val="93BC05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15F63"/>
    <w:multiLevelType w:val="hybridMultilevel"/>
    <w:tmpl w:val="688C586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9428C3"/>
    <w:multiLevelType w:val="hybridMultilevel"/>
    <w:tmpl w:val="1FEC15A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6" w15:restartNumberingAfterBreak="0">
    <w:nsid w:val="544F1E52"/>
    <w:multiLevelType w:val="hybridMultilevel"/>
    <w:tmpl w:val="C396C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8" w15:restartNumberingAfterBreak="0">
    <w:nsid w:val="576465EE"/>
    <w:multiLevelType w:val="hybridMultilevel"/>
    <w:tmpl w:val="F548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870A57"/>
    <w:multiLevelType w:val="hybridMultilevel"/>
    <w:tmpl w:val="CA72ED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F64515"/>
    <w:multiLevelType w:val="multilevel"/>
    <w:tmpl w:val="EE0E24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06A7F16"/>
    <w:multiLevelType w:val="hybridMultilevel"/>
    <w:tmpl w:val="99D4E74A"/>
    <w:lvl w:ilvl="0" w:tplc="BB6494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D70C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C63E2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B84EE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716A4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3A1A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FBCEE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E3ACF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0272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62E23120"/>
    <w:multiLevelType w:val="hybridMultilevel"/>
    <w:tmpl w:val="D432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65AD6637"/>
    <w:multiLevelType w:val="hybridMultilevel"/>
    <w:tmpl w:val="2B42CBD8"/>
    <w:lvl w:ilvl="0" w:tplc="2BC0DF16">
      <w:start w:val="1"/>
      <w:numFmt w:val="bullet"/>
      <w:lvlText w:val="-"/>
      <w:lvlJc w:val="left"/>
      <w:pPr>
        <w:ind w:left="534" w:hanging="48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01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5" w15:restartNumberingAfterBreak="0">
    <w:nsid w:val="695D54FA"/>
    <w:multiLevelType w:val="hybridMultilevel"/>
    <w:tmpl w:val="7E74C6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A33FB9"/>
    <w:multiLevelType w:val="hybridMultilevel"/>
    <w:tmpl w:val="BED45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284AFD"/>
    <w:multiLevelType w:val="hybridMultilevel"/>
    <w:tmpl w:val="06B25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6E3E81"/>
    <w:multiLevelType w:val="hybridMultilevel"/>
    <w:tmpl w:val="43BC13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6417629"/>
    <w:multiLevelType w:val="hybridMultilevel"/>
    <w:tmpl w:val="9DD2E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83483F"/>
    <w:multiLevelType w:val="hybridMultilevel"/>
    <w:tmpl w:val="B91020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D8EC69C">
      <w:start w:val="8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6A86133"/>
    <w:multiLevelType w:val="hybridMultilevel"/>
    <w:tmpl w:val="95C2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411581"/>
    <w:multiLevelType w:val="hybridMultilevel"/>
    <w:tmpl w:val="BAFAB0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7C5710"/>
    <w:multiLevelType w:val="hybridMultilevel"/>
    <w:tmpl w:val="E00A9D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A8B6902"/>
    <w:multiLevelType w:val="hybridMultilevel"/>
    <w:tmpl w:val="96E68E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7BFA0B93"/>
    <w:multiLevelType w:val="hybridMultilevel"/>
    <w:tmpl w:val="D0562A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9F01DB"/>
    <w:multiLevelType w:val="hybridMultilevel"/>
    <w:tmpl w:val="BBA2DA8C"/>
    <w:lvl w:ilvl="0" w:tplc="04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43"/>
  </w:num>
  <w:num w:numId="2">
    <w:abstractNumId w:val="37"/>
  </w:num>
  <w:num w:numId="3">
    <w:abstractNumId w:val="30"/>
  </w:num>
  <w:num w:numId="4">
    <w:abstractNumId w:val="9"/>
  </w:num>
  <w:num w:numId="5">
    <w:abstractNumId w:val="15"/>
  </w:num>
  <w:num w:numId="6">
    <w:abstractNumId w:val="16"/>
  </w:num>
  <w:num w:numId="7">
    <w:abstractNumId w:val="10"/>
  </w:num>
  <w:num w:numId="8">
    <w:abstractNumId w:val="28"/>
  </w:num>
  <w:num w:numId="9">
    <w:abstractNumId w:val="1"/>
  </w:num>
  <w:num w:numId="10">
    <w:abstractNumId w:val="14"/>
  </w:num>
  <w:num w:numId="11">
    <w:abstractNumId w:val="40"/>
  </w:num>
  <w:num w:numId="12">
    <w:abstractNumId w:val="0"/>
  </w:num>
  <w:num w:numId="13">
    <w:abstractNumId w:val="3"/>
  </w:num>
  <w:num w:numId="14">
    <w:abstractNumId w:val="52"/>
  </w:num>
  <w:num w:numId="15">
    <w:abstractNumId w:val="54"/>
  </w:num>
  <w:num w:numId="16">
    <w:abstractNumId w:val="13"/>
  </w:num>
  <w:num w:numId="17">
    <w:abstractNumId w:val="27"/>
  </w:num>
  <w:num w:numId="18">
    <w:abstractNumId w:val="44"/>
  </w:num>
  <w:num w:numId="19">
    <w:abstractNumId w:val="35"/>
  </w:num>
  <w:num w:numId="20">
    <w:abstractNumId w:val="21"/>
  </w:num>
  <w:num w:numId="21">
    <w:abstractNumId w:val="57"/>
  </w:num>
  <w:num w:numId="22">
    <w:abstractNumId w:val="51"/>
  </w:num>
  <w:num w:numId="23">
    <w:abstractNumId w:val="7"/>
  </w:num>
  <w:num w:numId="24">
    <w:abstractNumId w:val="11"/>
  </w:num>
  <w:num w:numId="25">
    <w:abstractNumId w:val="19"/>
  </w:num>
  <w:num w:numId="26">
    <w:abstractNumId w:val="55"/>
  </w:num>
  <w:num w:numId="27">
    <w:abstractNumId w:val="17"/>
  </w:num>
  <w:num w:numId="28">
    <w:abstractNumId w:val="47"/>
  </w:num>
  <w:num w:numId="29">
    <w:abstractNumId w:val="50"/>
  </w:num>
  <w:num w:numId="30">
    <w:abstractNumId w:val="41"/>
  </w:num>
  <w:num w:numId="31">
    <w:abstractNumId w:val="49"/>
  </w:num>
  <w:num w:numId="32">
    <w:abstractNumId w:val="32"/>
  </w:num>
  <w:num w:numId="33">
    <w:abstractNumId w:val="2"/>
  </w:num>
  <w:num w:numId="34">
    <w:abstractNumId w:val="38"/>
  </w:num>
  <w:num w:numId="35">
    <w:abstractNumId w:val="24"/>
  </w:num>
  <w:num w:numId="36">
    <w:abstractNumId w:val="33"/>
  </w:num>
  <w:num w:numId="37">
    <w:abstractNumId w:val="18"/>
  </w:num>
  <w:num w:numId="38">
    <w:abstractNumId w:val="31"/>
  </w:num>
  <w:num w:numId="39">
    <w:abstractNumId w:val="8"/>
  </w:num>
  <w:num w:numId="40">
    <w:abstractNumId w:val="22"/>
  </w:num>
  <w:num w:numId="41">
    <w:abstractNumId w:val="23"/>
  </w:num>
  <w:num w:numId="42">
    <w:abstractNumId w:val="53"/>
  </w:num>
  <w:num w:numId="43">
    <w:abstractNumId w:val="39"/>
  </w:num>
  <w:num w:numId="44">
    <w:abstractNumId w:val="26"/>
  </w:num>
  <w:num w:numId="45">
    <w:abstractNumId w:val="48"/>
  </w:num>
  <w:num w:numId="46">
    <w:abstractNumId w:val="25"/>
  </w:num>
  <w:num w:numId="47">
    <w:abstractNumId w:val="36"/>
  </w:num>
  <w:num w:numId="48">
    <w:abstractNumId w:val="34"/>
  </w:num>
  <w:num w:numId="49">
    <w:abstractNumId w:val="42"/>
  </w:num>
  <w:num w:numId="50">
    <w:abstractNumId w:val="4"/>
  </w:num>
  <w:num w:numId="51">
    <w:abstractNumId w:val="6"/>
  </w:num>
  <w:num w:numId="52">
    <w:abstractNumId w:val="56"/>
  </w:num>
  <w:num w:numId="53">
    <w:abstractNumId w:val="45"/>
  </w:num>
  <w:num w:numId="54">
    <w:abstractNumId w:val="12"/>
  </w:num>
  <w:num w:numId="55">
    <w:abstractNumId w:val="5"/>
  </w:num>
  <w:num w:numId="56">
    <w:abstractNumId w:val="29"/>
  </w:num>
  <w:num w:numId="57">
    <w:abstractNumId w:val="46"/>
  </w:num>
  <w:num w:numId="58">
    <w:abstractNumId w:val="2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215"/>
    <w:rsid w:val="00001239"/>
    <w:rsid w:val="00001825"/>
    <w:rsid w:val="00006925"/>
    <w:rsid w:val="00006B8B"/>
    <w:rsid w:val="0000759B"/>
    <w:rsid w:val="000110AC"/>
    <w:rsid w:val="0001424D"/>
    <w:rsid w:val="00014DC8"/>
    <w:rsid w:val="000158B4"/>
    <w:rsid w:val="00016194"/>
    <w:rsid w:val="00017715"/>
    <w:rsid w:val="00020508"/>
    <w:rsid w:val="00020FD3"/>
    <w:rsid w:val="00021CC2"/>
    <w:rsid w:val="00021EE8"/>
    <w:rsid w:val="00021FE9"/>
    <w:rsid w:val="00023899"/>
    <w:rsid w:val="00025A48"/>
    <w:rsid w:val="00026BE5"/>
    <w:rsid w:val="00027BA6"/>
    <w:rsid w:val="00027BEB"/>
    <w:rsid w:val="000315DA"/>
    <w:rsid w:val="00031647"/>
    <w:rsid w:val="00034199"/>
    <w:rsid w:val="00040278"/>
    <w:rsid w:val="00040981"/>
    <w:rsid w:val="00042D66"/>
    <w:rsid w:val="00045399"/>
    <w:rsid w:val="000457AE"/>
    <w:rsid w:val="00045845"/>
    <w:rsid w:val="00045C1B"/>
    <w:rsid w:val="00047056"/>
    <w:rsid w:val="00051988"/>
    <w:rsid w:val="00052194"/>
    <w:rsid w:val="00052330"/>
    <w:rsid w:val="00053F90"/>
    <w:rsid w:val="00054272"/>
    <w:rsid w:val="00055A41"/>
    <w:rsid w:val="00056B54"/>
    <w:rsid w:val="00056CC9"/>
    <w:rsid w:val="00057A5C"/>
    <w:rsid w:val="00057A8F"/>
    <w:rsid w:val="00061957"/>
    <w:rsid w:val="00061CB1"/>
    <w:rsid w:val="00061F48"/>
    <w:rsid w:val="00062231"/>
    <w:rsid w:val="00062A93"/>
    <w:rsid w:val="00063398"/>
    <w:rsid w:val="00063F24"/>
    <w:rsid w:val="000647C0"/>
    <w:rsid w:val="00065C0F"/>
    <w:rsid w:val="00065D70"/>
    <w:rsid w:val="00066C1A"/>
    <w:rsid w:val="00067374"/>
    <w:rsid w:val="00067A78"/>
    <w:rsid w:val="000710D3"/>
    <w:rsid w:val="00073375"/>
    <w:rsid w:val="000734C8"/>
    <w:rsid w:val="00073BC3"/>
    <w:rsid w:val="0007517C"/>
    <w:rsid w:val="00075251"/>
    <w:rsid w:val="00075492"/>
    <w:rsid w:val="00075540"/>
    <w:rsid w:val="000761F5"/>
    <w:rsid w:val="00076B98"/>
    <w:rsid w:val="00076E75"/>
    <w:rsid w:val="000773DA"/>
    <w:rsid w:val="000804BA"/>
    <w:rsid w:val="00080D27"/>
    <w:rsid w:val="000816D0"/>
    <w:rsid w:val="00081B12"/>
    <w:rsid w:val="0008248F"/>
    <w:rsid w:val="00082F17"/>
    <w:rsid w:val="00083027"/>
    <w:rsid w:val="0008343C"/>
    <w:rsid w:val="000834AF"/>
    <w:rsid w:val="00083D5E"/>
    <w:rsid w:val="00084A7D"/>
    <w:rsid w:val="00084E70"/>
    <w:rsid w:val="00086E32"/>
    <w:rsid w:val="000870F6"/>
    <w:rsid w:val="00087302"/>
    <w:rsid w:val="00087331"/>
    <w:rsid w:val="00087E96"/>
    <w:rsid w:val="00087FA3"/>
    <w:rsid w:val="0009117E"/>
    <w:rsid w:val="00091C8A"/>
    <w:rsid w:val="00093F56"/>
    <w:rsid w:val="00094A5D"/>
    <w:rsid w:val="000955C4"/>
    <w:rsid w:val="00095AD3"/>
    <w:rsid w:val="000A0327"/>
    <w:rsid w:val="000A21D8"/>
    <w:rsid w:val="000A3C08"/>
    <w:rsid w:val="000A471A"/>
    <w:rsid w:val="000A7B1E"/>
    <w:rsid w:val="000B3299"/>
    <w:rsid w:val="000B565C"/>
    <w:rsid w:val="000B69C4"/>
    <w:rsid w:val="000B6D1E"/>
    <w:rsid w:val="000B7E80"/>
    <w:rsid w:val="000C1B39"/>
    <w:rsid w:val="000C358C"/>
    <w:rsid w:val="000C39EA"/>
    <w:rsid w:val="000C4244"/>
    <w:rsid w:val="000C47BF"/>
    <w:rsid w:val="000C498F"/>
    <w:rsid w:val="000C4C01"/>
    <w:rsid w:val="000C5611"/>
    <w:rsid w:val="000C5821"/>
    <w:rsid w:val="000C632B"/>
    <w:rsid w:val="000C63C5"/>
    <w:rsid w:val="000C6F99"/>
    <w:rsid w:val="000D19CD"/>
    <w:rsid w:val="000D1B18"/>
    <w:rsid w:val="000D21E2"/>
    <w:rsid w:val="000D2A94"/>
    <w:rsid w:val="000D47D9"/>
    <w:rsid w:val="000D59E3"/>
    <w:rsid w:val="000D5DFA"/>
    <w:rsid w:val="000D6052"/>
    <w:rsid w:val="000D62C5"/>
    <w:rsid w:val="000D7C8F"/>
    <w:rsid w:val="000E13E3"/>
    <w:rsid w:val="000E2279"/>
    <w:rsid w:val="000E3102"/>
    <w:rsid w:val="000E4BBD"/>
    <w:rsid w:val="000E4BCD"/>
    <w:rsid w:val="000E639C"/>
    <w:rsid w:val="000E7581"/>
    <w:rsid w:val="000F0538"/>
    <w:rsid w:val="000F1E63"/>
    <w:rsid w:val="000F4B50"/>
    <w:rsid w:val="000F4C3D"/>
    <w:rsid w:val="000F5FE4"/>
    <w:rsid w:val="000F757F"/>
    <w:rsid w:val="00100ACC"/>
    <w:rsid w:val="001020DB"/>
    <w:rsid w:val="001031E2"/>
    <w:rsid w:val="001032BA"/>
    <w:rsid w:val="001036C1"/>
    <w:rsid w:val="001054D7"/>
    <w:rsid w:val="00105D24"/>
    <w:rsid w:val="00105E44"/>
    <w:rsid w:val="00110248"/>
    <w:rsid w:val="0011044A"/>
    <w:rsid w:val="00110756"/>
    <w:rsid w:val="00111E05"/>
    <w:rsid w:val="00112895"/>
    <w:rsid w:val="001136F0"/>
    <w:rsid w:val="00114BF2"/>
    <w:rsid w:val="00115BEE"/>
    <w:rsid w:val="00117C64"/>
    <w:rsid w:val="00120A67"/>
    <w:rsid w:val="00121200"/>
    <w:rsid w:val="001225B7"/>
    <w:rsid w:val="00122847"/>
    <w:rsid w:val="001236A4"/>
    <w:rsid w:val="0012372F"/>
    <w:rsid w:val="00123908"/>
    <w:rsid w:val="001243FA"/>
    <w:rsid w:val="00125716"/>
    <w:rsid w:val="00125CE8"/>
    <w:rsid w:val="00131534"/>
    <w:rsid w:val="00133D1F"/>
    <w:rsid w:val="00133FF6"/>
    <w:rsid w:val="001355BF"/>
    <w:rsid w:val="00135C00"/>
    <w:rsid w:val="00135CC2"/>
    <w:rsid w:val="00135D0C"/>
    <w:rsid w:val="00137F31"/>
    <w:rsid w:val="00137F3D"/>
    <w:rsid w:val="00137F5E"/>
    <w:rsid w:val="00140A1B"/>
    <w:rsid w:val="00140F99"/>
    <w:rsid w:val="00141C60"/>
    <w:rsid w:val="0014253C"/>
    <w:rsid w:val="0014305D"/>
    <w:rsid w:val="00146391"/>
    <w:rsid w:val="00146558"/>
    <w:rsid w:val="00146AA4"/>
    <w:rsid w:val="00147033"/>
    <w:rsid w:val="001473AD"/>
    <w:rsid w:val="00147826"/>
    <w:rsid w:val="001479BA"/>
    <w:rsid w:val="00150097"/>
    <w:rsid w:val="00150C61"/>
    <w:rsid w:val="00152DB4"/>
    <w:rsid w:val="00153063"/>
    <w:rsid w:val="001531AA"/>
    <w:rsid w:val="001542A6"/>
    <w:rsid w:val="001547AD"/>
    <w:rsid w:val="00156128"/>
    <w:rsid w:val="00157297"/>
    <w:rsid w:val="001601AD"/>
    <w:rsid w:val="00160343"/>
    <w:rsid w:val="0016069A"/>
    <w:rsid w:val="00161062"/>
    <w:rsid w:val="00162FB0"/>
    <w:rsid w:val="00163269"/>
    <w:rsid w:val="001633D3"/>
    <w:rsid w:val="0016444C"/>
    <w:rsid w:val="00164ED6"/>
    <w:rsid w:val="00165D4D"/>
    <w:rsid w:val="001667BD"/>
    <w:rsid w:val="00167084"/>
    <w:rsid w:val="00171C1F"/>
    <w:rsid w:val="001720CF"/>
    <w:rsid w:val="00173652"/>
    <w:rsid w:val="00173DFD"/>
    <w:rsid w:val="00173E11"/>
    <w:rsid w:val="00173FA6"/>
    <w:rsid w:val="00175D3A"/>
    <w:rsid w:val="00175FE6"/>
    <w:rsid w:val="00177FC5"/>
    <w:rsid w:val="00180126"/>
    <w:rsid w:val="00180E36"/>
    <w:rsid w:val="001818C8"/>
    <w:rsid w:val="0018358E"/>
    <w:rsid w:val="001846D0"/>
    <w:rsid w:val="00190D08"/>
    <w:rsid w:val="00190DFE"/>
    <w:rsid w:val="00192F8D"/>
    <w:rsid w:val="0019328A"/>
    <w:rsid w:val="00194486"/>
    <w:rsid w:val="00194682"/>
    <w:rsid w:val="001948C2"/>
    <w:rsid w:val="0019491B"/>
    <w:rsid w:val="00195717"/>
    <w:rsid w:val="00196F20"/>
    <w:rsid w:val="00197675"/>
    <w:rsid w:val="00197CF7"/>
    <w:rsid w:val="001A0B1E"/>
    <w:rsid w:val="001A28FE"/>
    <w:rsid w:val="001A2F1C"/>
    <w:rsid w:val="001A2FF5"/>
    <w:rsid w:val="001A7B82"/>
    <w:rsid w:val="001B062D"/>
    <w:rsid w:val="001B11C8"/>
    <w:rsid w:val="001B1CB4"/>
    <w:rsid w:val="001B4281"/>
    <w:rsid w:val="001B5424"/>
    <w:rsid w:val="001B5E24"/>
    <w:rsid w:val="001B71EE"/>
    <w:rsid w:val="001C101A"/>
    <w:rsid w:val="001C15F6"/>
    <w:rsid w:val="001C17C4"/>
    <w:rsid w:val="001C2B3F"/>
    <w:rsid w:val="001C3CC4"/>
    <w:rsid w:val="001C401F"/>
    <w:rsid w:val="001C5151"/>
    <w:rsid w:val="001C5FF7"/>
    <w:rsid w:val="001C6FCD"/>
    <w:rsid w:val="001C7FAE"/>
    <w:rsid w:val="001D2C74"/>
    <w:rsid w:val="001D3D7B"/>
    <w:rsid w:val="001E0B66"/>
    <w:rsid w:val="001E3EE1"/>
    <w:rsid w:val="001E6370"/>
    <w:rsid w:val="001F0231"/>
    <w:rsid w:val="001F1DA2"/>
    <w:rsid w:val="001F1DE9"/>
    <w:rsid w:val="001F24B6"/>
    <w:rsid w:val="001F3EBE"/>
    <w:rsid w:val="001F4E0E"/>
    <w:rsid w:val="001F4EC9"/>
    <w:rsid w:val="001F6982"/>
    <w:rsid w:val="001F703D"/>
    <w:rsid w:val="001F73DE"/>
    <w:rsid w:val="00200E87"/>
    <w:rsid w:val="00201774"/>
    <w:rsid w:val="00201DAA"/>
    <w:rsid w:val="00202C9A"/>
    <w:rsid w:val="00202D37"/>
    <w:rsid w:val="00204F59"/>
    <w:rsid w:val="00205B9A"/>
    <w:rsid w:val="00205D8B"/>
    <w:rsid w:val="00205EAF"/>
    <w:rsid w:val="002076C2"/>
    <w:rsid w:val="00210590"/>
    <w:rsid w:val="002106E1"/>
    <w:rsid w:val="002106ED"/>
    <w:rsid w:val="00215285"/>
    <w:rsid w:val="00215987"/>
    <w:rsid w:val="002164D8"/>
    <w:rsid w:val="00216B15"/>
    <w:rsid w:val="0021718D"/>
    <w:rsid w:val="00217F2E"/>
    <w:rsid w:val="002201C1"/>
    <w:rsid w:val="002214BF"/>
    <w:rsid w:val="00221A15"/>
    <w:rsid w:val="00221AE6"/>
    <w:rsid w:val="00223789"/>
    <w:rsid w:val="00223F2E"/>
    <w:rsid w:val="00224ECC"/>
    <w:rsid w:val="002259D0"/>
    <w:rsid w:val="00227213"/>
    <w:rsid w:val="00230019"/>
    <w:rsid w:val="0023012B"/>
    <w:rsid w:val="002309F0"/>
    <w:rsid w:val="0023102D"/>
    <w:rsid w:val="002312A4"/>
    <w:rsid w:val="00232F53"/>
    <w:rsid w:val="00234B24"/>
    <w:rsid w:val="00235A20"/>
    <w:rsid w:val="00235FDB"/>
    <w:rsid w:val="00236AA8"/>
    <w:rsid w:val="00237B6F"/>
    <w:rsid w:val="00241112"/>
    <w:rsid w:val="00241ABA"/>
    <w:rsid w:val="00241B7E"/>
    <w:rsid w:val="00242CE2"/>
    <w:rsid w:val="00243DC2"/>
    <w:rsid w:val="0024455E"/>
    <w:rsid w:val="00246837"/>
    <w:rsid w:val="00247F87"/>
    <w:rsid w:val="002526F7"/>
    <w:rsid w:val="002538ED"/>
    <w:rsid w:val="00255F76"/>
    <w:rsid w:val="002607F3"/>
    <w:rsid w:val="00261EF6"/>
    <w:rsid w:val="00261F70"/>
    <w:rsid w:val="002621FF"/>
    <w:rsid w:val="00263EEA"/>
    <w:rsid w:val="002648D9"/>
    <w:rsid w:val="00264B95"/>
    <w:rsid w:val="002666EF"/>
    <w:rsid w:val="00267909"/>
    <w:rsid w:val="0027054C"/>
    <w:rsid w:val="00271467"/>
    <w:rsid w:val="0027235C"/>
    <w:rsid w:val="002729C4"/>
    <w:rsid w:val="0027414C"/>
    <w:rsid w:val="002761FB"/>
    <w:rsid w:val="00276C2C"/>
    <w:rsid w:val="00280103"/>
    <w:rsid w:val="00281EB7"/>
    <w:rsid w:val="00282694"/>
    <w:rsid w:val="00284421"/>
    <w:rsid w:val="002852B9"/>
    <w:rsid w:val="00286309"/>
    <w:rsid w:val="00290736"/>
    <w:rsid w:val="00290E8E"/>
    <w:rsid w:val="00290FF7"/>
    <w:rsid w:val="00291CF7"/>
    <w:rsid w:val="00292686"/>
    <w:rsid w:val="00292AB5"/>
    <w:rsid w:val="0029315B"/>
    <w:rsid w:val="00293799"/>
    <w:rsid w:val="002946A4"/>
    <w:rsid w:val="002952E1"/>
    <w:rsid w:val="00296E15"/>
    <w:rsid w:val="00297B83"/>
    <w:rsid w:val="002A0AD7"/>
    <w:rsid w:val="002A3DB9"/>
    <w:rsid w:val="002A6AD4"/>
    <w:rsid w:val="002A75D2"/>
    <w:rsid w:val="002A7B32"/>
    <w:rsid w:val="002B04E1"/>
    <w:rsid w:val="002B0BA9"/>
    <w:rsid w:val="002B2653"/>
    <w:rsid w:val="002B276E"/>
    <w:rsid w:val="002B364B"/>
    <w:rsid w:val="002B4D54"/>
    <w:rsid w:val="002B51AC"/>
    <w:rsid w:val="002B6BF2"/>
    <w:rsid w:val="002B71A5"/>
    <w:rsid w:val="002B7A18"/>
    <w:rsid w:val="002C041B"/>
    <w:rsid w:val="002C145E"/>
    <w:rsid w:val="002C1AD7"/>
    <w:rsid w:val="002C1C5A"/>
    <w:rsid w:val="002C3C7E"/>
    <w:rsid w:val="002C4988"/>
    <w:rsid w:val="002C64F0"/>
    <w:rsid w:val="002C6E28"/>
    <w:rsid w:val="002C7BC1"/>
    <w:rsid w:val="002D0A17"/>
    <w:rsid w:val="002D182B"/>
    <w:rsid w:val="002D1B45"/>
    <w:rsid w:val="002D3847"/>
    <w:rsid w:val="002D3AFB"/>
    <w:rsid w:val="002D3D98"/>
    <w:rsid w:val="002D4E8F"/>
    <w:rsid w:val="002D572D"/>
    <w:rsid w:val="002D76D2"/>
    <w:rsid w:val="002E0FB3"/>
    <w:rsid w:val="002E1F10"/>
    <w:rsid w:val="002E20C2"/>
    <w:rsid w:val="002E29E7"/>
    <w:rsid w:val="002E4747"/>
    <w:rsid w:val="002E78BC"/>
    <w:rsid w:val="002F0B0B"/>
    <w:rsid w:val="002F13D0"/>
    <w:rsid w:val="002F4E48"/>
    <w:rsid w:val="002F67C2"/>
    <w:rsid w:val="003027C8"/>
    <w:rsid w:val="00302A97"/>
    <w:rsid w:val="00303028"/>
    <w:rsid w:val="00303A46"/>
    <w:rsid w:val="00303C1F"/>
    <w:rsid w:val="00304298"/>
    <w:rsid w:val="00304DC0"/>
    <w:rsid w:val="00305D34"/>
    <w:rsid w:val="00307020"/>
    <w:rsid w:val="00307E56"/>
    <w:rsid w:val="00310C4A"/>
    <w:rsid w:val="00311789"/>
    <w:rsid w:val="00312D33"/>
    <w:rsid w:val="0031308F"/>
    <w:rsid w:val="00313C56"/>
    <w:rsid w:val="00313CFE"/>
    <w:rsid w:val="0031425D"/>
    <w:rsid w:val="00314490"/>
    <w:rsid w:val="00315A08"/>
    <w:rsid w:val="00317608"/>
    <w:rsid w:val="00317EB4"/>
    <w:rsid w:val="00317F48"/>
    <w:rsid w:val="00320BC8"/>
    <w:rsid w:val="003214DD"/>
    <w:rsid w:val="00321A55"/>
    <w:rsid w:val="00322050"/>
    <w:rsid w:val="00326615"/>
    <w:rsid w:val="003276BC"/>
    <w:rsid w:val="00327E72"/>
    <w:rsid w:val="00330F0B"/>
    <w:rsid w:val="00333217"/>
    <w:rsid w:val="00335660"/>
    <w:rsid w:val="00336533"/>
    <w:rsid w:val="003367E0"/>
    <w:rsid w:val="003374E0"/>
    <w:rsid w:val="00341882"/>
    <w:rsid w:val="0034247C"/>
    <w:rsid w:val="003427C0"/>
    <w:rsid w:val="0034354A"/>
    <w:rsid w:val="00343A2F"/>
    <w:rsid w:val="00345CE7"/>
    <w:rsid w:val="003460CA"/>
    <w:rsid w:val="0034687F"/>
    <w:rsid w:val="0035139C"/>
    <w:rsid w:val="0035140D"/>
    <w:rsid w:val="003521AD"/>
    <w:rsid w:val="003530DA"/>
    <w:rsid w:val="003531AC"/>
    <w:rsid w:val="00354230"/>
    <w:rsid w:val="00354E8A"/>
    <w:rsid w:val="00355A6E"/>
    <w:rsid w:val="00355D12"/>
    <w:rsid w:val="003560F8"/>
    <w:rsid w:val="003566C3"/>
    <w:rsid w:val="00357492"/>
    <w:rsid w:val="00361736"/>
    <w:rsid w:val="00363A69"/>
    <w:rsid w:val="00364844"/>
    <w:rsid w:val="003656B5"/>
    <w:rsid w:val="00366DB4"/>
    <w:rsid w:val="00366EF6"/>
    <w:rsid w:val="003672AD"/>
    <w:rsid w:val="00367D46"/>
    <w:rsid w:val="00370DD4"/>
    <w:rsid w:val="003714E2"/>
    <w:rsid w:val="003726ED"/>
    <w:rsid w:val="003733CE"/>
    <w:rsid w:val="00373729"/>
    <w:rsid w:val="003753D9"/>
    <w:rsid w:val="0037642B"/>
    <w:rsid w:val="0038016E"/>
    <w:rsid w:val="00381577"/>
    <w:rsid w:val="0038181F"/>
    <w:rsid w:val="00382B2A"/>
    <w:rsid w:val="00384CBA"/>
    <w:rsid w:val="003857A4"/>
    <w:rsid w:val="00385B7E"/>
    <w:rsid w:val="00386FFB"/>
    <w:rsid w:val="0039058F"/>
    <w:rsid w:val="00390BE4"/>
    <w:rsid w:val="003914B8"/>
    <w:rsid w:val="00392ED5"/>
    <w:rsid w:val="00392EFB"/>
    <w:rsid w:val="00392F53"/>
    <w:rsid w:val="00393073"/>
    <w:rsid w:val="0039451F"/>
    <w:rsid w:val="00395F40"/>
    <w:rsid w:val="003961CF"/>
    <w:rsid w:val="00396DB1"/>
    <w:rsid w:val="0039712C"/>
    <w:rsid w:val="003A1996"/>
    <w:rsid w:val="003A272B"/>
    <w:rsid w:val="003A373F"/>
    <w:rsid w:val="003A3841"/>
    <w:rsid w:val="003A55B7"/>
    <w:rsid w:val="003A6393"/>
    <w:rsid w:val="003A6706"/>
    <w:rsid w:val="003A6CD7"/>
    <w:rsid w:val="003A76B1"/>
    <w:rsid w:val="003B03A1"/>
    <w:rsid w:val="003B08F0"/>
    <w:rsid w:val="003B112D"/>
    <w:rsid w:val="003B1C2E"/>
    <w:rsid w:val="003B30B2"/>
    <w:rsid w:val="003B4327"/>
    <w:rsid w:val="003B4964"/>
    <w:rsid w:val="003B4C50"/>
    <w:rsid w:val="003B5A3B"/>
    <w:rsid w:val="003B5BD9"/>
    <w:rsid w:val="003B665E"/>
    <w:rsid w:val="003B70F8"/>
    <w:rsid w:val="003B7160"/>
    <w:rsid w:val="003B7F0F"/>
    <w:rsid w:val="003C053B"/>
    <w:rsid w:val="003C11BB"/>
    <w:rsid w:val="003C1253"/>
    <w:rsid w:val="003C20D3"/>
    <w:rsid w:val="003C2301"/>
    <w:rsid w:val="003C26FA"/>
    <w:rsid w:val="003C2775"/>
    <w:rsid w:val="003C2F5E"/>
    <w:rsid w:val="003C637E"/>
    <w:rsid w:val="003C74B3"/>
    <w:rsid w:val="003D02F1"/>
    <w:rsid w:val="003D04AB"/>
    <w:rsid w:val="003D063F"/>
    <w:rsid w:val="003D13A1"/>
    <w:rsid w:val="003D266A"/>
    <w:rsid w:val="003D2687"/>
    <w:rsid w:val="003D39BE"/>
    <w:rsid w:val="003D46BE"/>
    <w:rsid w:val="003D46D1"/>
    <w:rsid w:val="003D4AF3"/>
    <w:rsid w:val="003D4B3A"/>
    <w:rsid w:val="003D4BC8"/>
    <w:rsid w:val="003D4DD1"/>
    <w:rsid w:val="003D4F68"/>
    <w:rsid w:val="003D51BD"/>
    <w:rsid w:val="003D5B75"/>
    <w:rsid w:val="003D7971"/>
    <w:rsid w:val="003D7BD4"/>
    <w:rsid w:val="003E2F37"/>
    <w:rsid w:val="003E30AE"/>
    <w:rsid w:val="003E4EF1"/>
    <w:rsid w:val="003E577B"/>
    <w:rsid w:val="003E5B41"/>
    <w:rsid w:val="003F0199"/>
    <w:rsid w:val="003F10BD"/>
    <w:rsid w:val="003F17AD"/>
    <w:rsid w:val="003F1D19"/>
    <w:rsid w:val="003F1D8E"/>
    <w:rsid w:val="003F2EE5"/>
    <w:rsid w:val="003F47CB"/>
    <w:rsid w:val="003F4D51"/>
    <w:rsid w:val="003F5555"/>
    <w:rsid w:val="003F5F57"/>
    <w:rsid w:val="003F698B"/>
    <w:rsid w:val="003F7051"/>
    <w:rsid w:val="003F7D6F"/>
    <w:rsid w:val="004006F8"/>
    <w:rsid w:val="004009C0"/>
    <w:rsid w:val="00401EDB"/>
    <w:rsid w:val="00402D16"/>
    <w:rsid w:val="004036E8"/>
    <w:rsid w:val="00404D0B"/>
    <w:rsid w:val="00405104"/>
    <w:rsid w:val="004063B2"/>
    <w:rsid w:val="004064E9"/>
    <w:rsid w:val="004120B8"/>
    <w:rsid w:val="004141EB"/>
    <w:rsid w:val="00414ACF"/>
    <w:rsid w:val="0041604B"/>
    <w:rsid w:val="00416EEA"/>
    <w:rsid w:val="004170CE"/>
    <w:rsid w:val="004171DB"/>
    <w:rsid w:val="00421346"/>
    <w:rsid w:val="004244F2"/>
    <w:rsid w:val="00425206"/>
    <w:rsid w:val="00425CF2"/>
    <w:rsid w:val="00426912"/>
    <w:rsid w:val="0042691E"/>
    <w:rsid w:val="004269C1"/>
    <w:rsid w:val="00427F43"/>
    <w:rsid w:val="00430C8E"/>
    <w:rsid w:val="004320D4"/>
    <w:rsid w:val="00432B61"/>
    <w:rsid w:val="00433B31"/>
    <w:rsid w:val="00433CA0"/>
    <w:rsid w:val="00434D2E"/>
    <w:rsid w:val="00435207"/>
    <w:rsid w:val="00435E41"/>
    <w:rsid w:val="0043623D"/>
    <w:rsid w:val="004366E0"/>
    <w:rsid w:val="00437807"/>
    <w:rsid w:val="00437A20"/>
    <w:rsid w:val="00437E50"/>
    <w:rsid w:val="004406C3"/>
    <w:rsid w:val="00440B68"/>
    <w:rsid w:val="004431C3"/>
    <w:rsid w:val="00444567"/>
    <w:rsid w:val="00444947"/>
    <w:rsid w:val="00444F89"/>
    <w:rsid w:val="00445DD0"/>
    <w:rsid w:val="00446E61"/>
    <w:rsid w:val="00447636"/>
    <w:rsid w:val="00450D8B"/>
    <w:rsid w:val="00450E40"/>
    <w:rsid w:val="00450F30"/>
    <w:rsid w:val="00451275"/>
    <w:rsid w:val="004514D8"/>
    <w:rsid w:val="004517BF"/>
    <w:rsid w:val="0045256C"/>
    <w:rsid w:val="00452697"/>
    <w:rsid w:val="004530CB"/>
    <w:rsid w:val="004544F0"/>
    <w:rsid w:val="004546B9"/>
    <w:rsid w:val="004549B7"/>
    <w:rsid w:val="00455435"/>
    <w:rsid w:val="00456650"/>
    <w:rsid w:val="00456FAC"/>
    <w:rsid w:val="004570C2"/>
    <w:rsid w:val="004572F5"/>
    <w:rsid w:val="0046067E"/>
    <w:rsid w:val="004607C3"/>
    <w:rsid w:val="00460945"/>
    <w:rsid w:val="00460F5C"/>
    <w:rsid w:val="00463383"/>
    <w:rsid w:val="00463C56"/>
    <w:rsid w:val="004657D9"/>
    <w:rsid w:val="004702BE"/>
    <w:rsid w:val="004706A4"/>
    <w:rsid w:val="00471ADC"/>
    <w:rsid w:val="004724D3"/>
    <w:rsid w:val="004726AB"/>
    <w:rsid w:val="004727F8"/>
    <w:rsid w:val="004731A6"/>
    <w:rsid w:val="00473714"/>
    <w:rsid w:val="00474A6D"/>
    <w:rsid w:val="00474EA4"/>
    <w:rsid w:val="004750C2"/>
    <w:rsid w:val="004755C2"/>
    <w:rsid w:val="00475787"/>
    <w:rsid w:val="00476CB2"/>
    <w:rsid w:val="0047741B"/>
    <w:rsid w:val="00480132"/>
    <w:rsid w:val="004804B7"/>
    <w:rsid w:val="00480C37"/>
    <w:rsid w:val="00480C51"/>
    <w:rsid w:val="00480CF0"/>
    <w:rsid w:val="0048132D"/>
    <w:rsid w:val="00481D56"/>
    <w:rsid w:val="00482252"/>
    <w:rsid w:val="004828F8"/>
    <w:rsid w:val="00483DAC"/>
    <w:rsid w:val="00484723"/>
    <w:rsid w:val="00486335"/>
    <w:rsid w:val="00490857"/>
    <w:rsid w:val="00491024"/>
    <w:rsid w:val="004912B8"/>
    <w:rsid w:val="00491813"/>
    <w:rsid w:val="0049335A"/>
    <w:rsid w:val="00494DC2"/>
    <w:rsid w:val="004963EA"/>
    <w:rsid w:val="00496643"/>
    <w:rsid w:val="004973F5"/>
    <w:rsid w:val="00497F15"/>
    <w:rsid w:val="004A0FE0"/>
    <w:rsid w:val="004A35DC"/>
    <w:rsid w:val="004A440A"/>
    <w:rsid w:val="004A4436"/>
    <w:rsid w:val="004A5716"/>
    <w:rsid w:val="004A6738"/>
    <w:rsid w:val="004A7655"/>
    <w:rsid w:val="004B0426"/>
    <w:rsid w:val="004B05A5"/>
    <w:rsid w:val="004B168A"/>
    <w:rsid w:val="004B1775"/>
    <w:rsid w:val="004B44C4"/>
    <w:rsid w:val="004B45F3"/>
    <w:rsid w:val="004B4948"/>
    <w:rsid w:val="004B4EC9"/>
    <w:rsid w:val="004C00AD"/>
    <w:rsid w:val="004C0CB8"/>
    <w:rsid w:val="004C150F"/>
    <w:rsid w:val="004C15AF"/>
    <w:rsid w:val="004C1910"/>
    <w:rsid w:val="004C2B58"/>
    <w:rsid w:val="004C33A5"/>
    <w:rsid w:val="004C3696"/>
    <w:rsid w:val="004C4198"/>
    <w:rsid w:val="004C41F5"/>
    <w:rsid w:val="004C45F5"/>
    <w:rsid w:val="004C468A"/>
    <w:rsid w:val="004C605B"/>
    <w:rsid w:val="004C60CF"/>
    <w:rsid w:val="004C6DA0"/>
    <w:rsid w:val="004D2EC3"/>
    <w:rsid w:val="004D3E46"/>
    <w:rsid w:val="004D44EA"/>
    <w:rsid w:val="004D4CEF"/>
    <w:rsid w:val="004D56D8"/>
    <w:rsid w:val="004E01EA"/>
    <w:rsid w:val="004E2D81"/>
    <w:rsid w:val="004E2EA2"/>
    <w:rsid w:val="004E2FB9"/>
    <w:rsid w:val="004E59E5"/>
    <w:rsid w:val="004E5A17"/>
    <w:rsid w:val="004E7930"/>
    <w:rsid w:val="004E7F30"/>
    <w:rsid w:val="004F16E7"/>
    <w:rsid w:val="004F2271"/>
    <w:rsid w:val="004F354A"/>
    <w:rsid w:val="004F4BA5"/>
    <w:rsid w:val="004F6594"/>
    <w:rsid w:val="004F6810"/>
    <w:rsid w:val="004F6D51"/>
    <w:rsid w:val="004F72EE"/>
    <w:rsid w:val="004F778F"/>
    <w:rsid w:val="0050043D"/>
    <w:rsid w:val="0050174D"/>
    <w:rsid w:val="00501B78"/>
    <w:rsid w:val="005021AD"/>
    <w:rsid w:val="00502AD7"/>
    <w:rsid w:val="00503D6B"/>
    <w:rsid w:val="005053B9"/>
    <w:rsid w:val="005061FA"/>
    <w:rsid w:val="00511BDD"/>
    <w:rsid w:val="00512A49"/>
    <w:rsid w:val="00513927"/>
    <w:rsid w:val="005140CF"/>
    <w:rsid w:val="0051580B"/>
    <w:rsid w:val="00515E0F"/>
    <w:rsid w:val="00516D9D"/>
    <w:rsid w:val="00517038"/>
    <w:rsid w:val="00517CB2"/>
    <w:rsid w:val="00522ED6"/>
    <w:rsid w:val="00524312"/>
    <w:rsid w:val="00524DCF"/>
    <w:rsid w:val="00525433"/>
    <w:rsid w:val="0052558F"/>
    <w:rsid w:val="0052566B"/>
    <w:rsid w:val="00525D28"/>
    <w:rsid w:val="005273BD"/>
    <w:rsid w:val="005306FF"/>
    <w:rsid w:val="00533CE0"/>
    <w:rsid w:val="00535C64"/>
    <w:rsid w:val="00535F46"/>
    <w:rsid w:val="005362A1"/>
    <w:rsid w:val="005365C9"/>
    <w:rsid w:val="0054126A"/>
    <w:rsid w:val="00541BFD"/>
    <w:rsid w:val="0054263A"/>
    <w:rsid w:val="00543AAF"/>
    <w:rsid w:val="0054455E"/>
    <w:rsid w:val="00544883"/>
    <w:rsid w:val="0054509E"/>
    <w:rsid w:val="00545B11"/>
    <w:rsid w:val="00550D87"/>
    <w:rsid w:val="0055114D"/>
    <w:rsid w:val="00551422"/>
    <w:rsid w:val="00552CF7"/>
    <w:rsid w:val="00552ED8"/>
    <w:rsid w:val="0055330E"/>
    <w:rsid w:val="00553CAE"/>
    <w:rsid w:val="005543B3"/>
    <w:rsid w:val="00560EF2"/>
    <w:rsid w:val="00562A66"/>
    <w:rsid w:val="00562C91"/>
    <w:rsid w:val="005639B0"/>
    <w:rsid w:val="00564265"/>
    <w:rsid w:val="00564AFC"/>
    <w:rsid w:val="00564B03"/>
    <w:rsid w:val="00564D60"/>
    <w:rsid w:val="00564E38"/>
    <w:rsid w:val="00565540"/>
    <w:rsid w:val="00566BE6"/>
    <w:rsid w:val="005701A9"/>
    <w:rsid w:val="00572500"/>
    <w:rsid w:val="00572AFD"/>
    <w:rsid w:val="00573041"/>
    <w:rsid w:val="0057312F"/>
    <w:rsid w:val="00573F31"/>
    <w:rsid w:val="0058085F"/>
    <w:rsid w:val="0058357F"/>
    <w:rsid w:val="00583EB3"/>
    <w:rsid w:val="00583F03"/>
    <w:rsid w:val="00584C38"/>
    <w:rsid w:val="00585D2C"/>
    <w:rsid w:val="0058733E"/>
    <w:rsid w:val="00587DFB"/>
    <w:rsid w:val="00590229"/>
    <w:rsid w:val="00590551"/>
    <w:rsid w:val="00590615"/>
    <w:rsid w:val="00590F80"/>
    <w:rsid w:val="0059141C"/>
    <w:rsid w:val="0059192C"/>
    <w:rsid w:val="00592106"/>
    <w:rsid w:val="0059237F"/>
    <w:rsid w:val="00592912"/>
    <w:rsid w:val="0059309B"/>
    <w:rsid w:val="00593806"/>
    <w:rsid w:val="00593B74"/>
    <w:rsid w:val="005945C5"/>
    <w:rsid w:val="00595970"/>
    <w:rsid w:val="00595A83"/>
    <w:rsid w:val="00596FDB"/>
    <w:rsid w:val="0059722A"/>
    <w:rsid w:val="005975E4"/>
    <w:rsid w:val="005975E8"/>
    <w:rsid w:val="005A1934"/>
    <w:rsid w:val="005A1DDB"/>
    <w:rsid w:val="005A2711"/>
    <w:rsid w:val="005A36F1"/>
    <w:rsid w:val="005A4C13"/>
    <w:rsid w:val="005A5A40"/>
    <w:rsid w:val="005A5CE4"/>
    <w:rsid w:val="005A6E20"/>
    <w:rsid w:val="005A701A"/>
    <w:rsid w:val="005B1155"/>
    <w:rsid w:val="005B187A"/>
    <w:rsid w:val="005B5D3D"/>
    <w:rsid w:val="005B635F"/>
    <w:rsid w:val="005B67AD"/>
    <w:rsid w:val="005B67F5"/>
    <w:rsid w:val="005C01EF"/>
    <w:rsid w:val="005C149A"/>
    <w:rsid w:val="005C1686"/>
    <w:rsid w:val="005C223E"/>
    <w:rsid w:val="005C25EC"/>
    <w:rsid w:val="005C41F1"/>
    <w:rsid w:val="005C4F36"/>
    <w:rsid w:val="005C6179"/>
    <w:rsid w:val="005C6A36"/>
    <w:rsid w:val="005C6F1E"/>
    <w:rsid w:val="005C6FC6"/>
    <w:rsid w:val="005C7BC1"/>
    <w:rsid w:val="005D1527"/>
    <w:rsid w:val="005D1937"/>
    <w:rsid w:val="005D20F1"/>
    <w:rsid w:val="005D3C81"/>
    <w:rsid w:val="005D6123"/>
    <w:rsid w:val="005D687F"/>
    <w:rsid w:val="005D75E9"/>
    <w:rsid w:val="005D7E2B"/>
    <w:rsid w:val="005E00E4"/>
    <w:rsid w:val="005E0265"/>
    <w:rsid w:val="005E0D0C"/>
    <w:rsid w:val="005E10EE"/>
    <w:rsid w:val="005E117C"/>
    <w:rsid w:val="005E12CA"/>
    <w:rsid w:val="005E1EF3"/>
    <w:rsid w:val="005E22C3"/>
    <w:rsid w:val="005E29A5"/>
    <w:rsid w:val="005E44FD"/>
    <w:rsid w:val="005E5326"/>
    <w:rsid w:val="005F0197"/>
    <w:rsid w:val="005F14D8"/>
    <w:rsid w:val="005F1C7D"/>
    <w:rsid w:val="005F1DAC"/>
    <w:rsid w:val="005F2E9A"/>
    <w:rsid w:val="005F49DE"/>
    <w:rsid w:val="005F63B1"/>
    <w:rsid w:val="005F64FF"/>
    <w:rsid w:val="005F7976"/>
    <w:rsid w:val="005F79DE"/>
    <w:rsid w:val="006010E0"/>
    <w:rsid w:val="006012DC"/>
    <w:rsid w:val="00602BAE"/>
    <w:rsid w:val="00603F7B"/>
    <w:rsid w:val="006052E5"/>
    <w:rsid w:val="00605CFD"/>
    <w:rsid w:val="00605E58"/>
    <w:rsid w:val="00606BAA"/>
    <w:rsid w:val="00607302"/>
    <w:rsid w:val="00610541"/>
    <w:rsid w:val="00611909"/>
    <w:rsid w:val="0061233F"/>
    <w:rsid w:val="006138E8"/>
    <w:rsid w:val="00613C8C"/>
    <w:rsid w:val="006166F0"/>
    <w:rsid w:val="00617343"/>
    <w:rsid w:val="00620165"/>
    <w:rsid w:val="00620BE8"/>
    <w:rsid w:val="00620F89"/>
    <w:rsid w:val="00621246"/>
    <w:rsid w:val="00621EE9"/>
    <w:rsid w:val="00623ECE"/>
    <w:rsid w:val="0062462F"/>
    <w:rsid w:val="006246ED"/>
    <w:rsid w:val="00624837"/>
    <w:rsid w:val="00624887"/>
    <w:rsid w:val="0062587D"/>
    <w:rsid w:val="00630416"/>
    <w:rsid w:val="00630A64"/>
    <w:rsid w:val="00631265"/>
    <w:rsid w:val="00631CD9"/>
    <w:rsid w:val="006342DE"/>
    <w:rsid w:val="00636D1E"/>
    <w:rsid w:val="00637358"/>
    <w:rsid w:val="006377D0"/>
    <w:rsid w:val="00640298"/>
    <w:rsid w:val="006407B5"/>
    <w:rsid w:val="006414B7"/>
    <w:rsid w:val="00645856"/>
    <w:rsid w:val="00645F4C"/>
    <w:rsid w:val="00646844"/>
    <w:rsid w:val="0064702E"/>
    <w:rsid w:val="00647180"/>
    <w:rsid w:val="006471B0"/>
    <w:rsid w:val="006509A7"/>
    <w:rsid w:val="006525B0"/>
    <w:rsid w:val="006531AD"/>
    <w:rsid w:val="00654E6E"/>
    <w:rsid w:val="0065586D"/>
    <w:rsid w:val="00655B65"/>
    <w:rsid w:val="00655E6C"/>
    <w:rsid w:val="00656559"/>
    <w:rsid w:val="006573AC"/>
    <w:rsid w:val="0066201D"/>
    <w:rsid w:val="00662C60"/>
    <w:rsid w:val="00663C30"/>
    <w:rsid w:val="00663D3E"/>
    <w:rsid w:val="00664204"/>
    <w:rsid w:val="00666E4E"/>
    <w:rsid w:val="00667C5E"/>
    <w:rsid w:val="006713F3"/>
    <w:rsid w:val="00672EDB"/>
    <w:rsid w:val="006735ED"/>
    <w:rsid w:val="00673D75"/>
    <w:rsid w:val="00674805"/>
    <w:rsid w:val="00674BBB"/>
    <w:rsid w:val="00675676"/>
    <w:rsid w:val="006760DE"/>
    <w:rsid w:val="0067627C"/>
    <w:rsid w:val="0067740E"/>
    <w:rsid w:val="00680A5A"/>
    <w:rsid w:val="00681EA2"/>
    <w:rsid w:val="006832D4"/>
    <w:rsid w:val="006834F7"/>
    <w:rsid w:val="00683927"/>
    <w:rsid w:val="006843EF"/>
    <w:rsid w:val="00685FC3"/>
    <w:rsid w:val="00691650"/>
    <w:rsid w:val="00691983"/>
    <w:rsid w:val="00692FCE"/>
    <w:rsid w:val="00693ADB"/>
    <w:rsid w:val="00693FAE"/>
    <w:rsid w:val="00694C4A"/>
    <w:rsid w:val="00695123"/>
    <w:rsid w:val="00695414"/>
    <w:rsid w:val="00695FE9"/>
    <w:rsid w:val="0069640D"/>
    <w:rsid w:val="00697BBB"/>
    <w:rsid w:val="006A1E6E"/>
    <w:rsid w:val="006A1F50"/>
    <w:rsid w:val="006A242F"/>
    <w:rsid w:val="006A2454"/>
    <w:rsid w:val="006A2A64"/>
    <w:rsid w:val="006A3540"/>
    <w:rsid w:val="006A427B"/>
    <w:rsid w:val="006A456A"/>
    <w:rsid w:val="006A4F06"/>
    <w:rsid w:val="006A5640"/>
    <w:rsid w:val="006A5FB0"/>
    <w:rsid w:val="006A6267"/>
    <w:rsid w:val="006A7C52"/>
    <w:rsid w:val="006B0486"/>
    <w:rsid w:val="006B0507"/>
    <w:rsid w:val="006B1479"/>
    <w:rsid w:val="006B16A6"/>
    <w:rsid w:val="006B16D0"/>
    <w:rsid w:val="006B1B05"/>
    <w:rsid w:val="006B1C90"/>
    <w:rsid w:val="006B2E86"/>
    <w:rsid w:val="006B39AD"/>
    <w:rsid w:val="006B44A8"/>
    <w:rsid w:val="006B48E8"/>
    <w:rsid w:val="006B5DFA"/>
    <w:rsid w:val="006B65AC"/>
    <w:rsid w:val="006B7F53"/>
    <w:rsid w:val="006C0827"/>
    <w:rsid w:val="006C0CA7"/>
    <w:rsid w:val="006C1381"/>
    <w:rsid w:val="006C16FA"/>
    <w:rsid w:val="006C1D67"/>
    <w:rsid w:val="006C2731"/>
    <w:rsid w:val="006C2FAE"/>
    <w:rsid w:val="006C346B"/>
    <w:rsid w:val="006C3C52"/>
    <w:rsid w:val="006C6181"/>
    <w:rsid w:val="006C65D7"/>
    <w:rsid w:val="006C66AD"/>
    <w:rsid w:val="006C6861"/>
    <w:rsid w:val="006D0FDF"/>
    <w:rsid w:val="006D1CDD"/>
    <w:rsid w:val="006D407B"/>
    <w:rsid w:val="006D4C32"/>
    <w:rsid w:val="006D51F8"/>
    <w:rsid w:val="006D6280"/>
    <w:rsid w:val="006E0AB8"/>
    <w:rsid w:val="006E111E"/>
    <w:rsid w:val="006E143C"/>
    <w:rsid w:val="006E1BE4"/>
    <w:rsid w:val="006E1FBE"/>
    <w:rsid w:val="006E26DD"/>
    <w:rsid w:val="006E2EF2"/>
    <w:rsid w:val="006E31ED"/>
    <w:rsid w:val="006E4BA2"/>
    <w:rsid w:val="006E6392"/>
    <w:rsid w:val="006E7A57"/>
    <w:rsid w:val="006F36CB"/>
    <w:rsid w:val="006F3968"/>
    <w:rsid w:val="006F54EA"/>
    <w:rsid w:val="006F57F1"/>
    <w:rsid w:val="006F614A"/>
    <w:rsid w:val="006F7B83"/>
    <w:rsid w:val="00701078"/>
    <w:rsid w:val="00702C58"/>
    <w:rsid w:val="00703BAC"/>
    <w:rsid w:val="007057C9"/>
    <w:rsid w:val="007057F3"/>
    <w:rsid w:val="007067CD"/>
    <w:rsid w:val="00706EEA"/>
    <w:rsid w:val="00710EC2"/>
    <w:rsid w:val="00710F30"/>
    <w:rsid w:val="0071236A"/>
    <w:rsid w:val="00712516"/>
    <w:rsid w:val="00714F11"/>
    <w:rsid w:val="007151BC"/>
    <w:rsid w:val="007166F9"/>
    <w:rsid w:val="0071713B"/>
    <w:rsid w:val="00717340"/>
    <w:rsid w:val="007177D7"/>
    <w:rsid w:val="00720036"/>
    <w:rsid w:val="007208DC"/>
    <w:rsid w:val="00720AEA"/>
    <w:rsid w:val="0072205D"/>
    <w:rsid w:val="0072212C"/>
    <w:rsid w:val="00723CBA"/>
    <w:rsid w:val="007310DB"/>
    <w:rsid w:val="00735673"/>
    <w:rsid w:val="007358BD"/>
    <w:rsid w:val="007364B4"/>
    <w:rsid w:val="007371B6"/>
    <w:rsid w:val="00741B34"/>
    <w:rsid w:val="00742CAF"/>
    <w:rsid w:val="00743177"/>
    <w:rsid w:val="00743460"/>
    <w:rsid w:val="0074456C"/>
    <w:rsid w:val="007458D6"/>
    <w:rsid w:val="00746FF0"/>
    <w:rsid w:val="00747DDC"/>
    <w:rsid w:val="0075095F"/>
    <w:rsid w:val="0075123C"/>
    <w:rsid w:val="00751498"/>
    <w:rsid w:val="00753021"/>
    <w:rsid w:val="007531A2"/>
    <w:rsid w:val="00753F2B"/>
    <w:rsid w:val="0075633B"/>
    <w:rsid w:val="0075740A"/>
    <w:rsid w:val="00757E72"/>
    <w:rsid w:val="00760782"/>
    <w:rsid w:val="007626E5"/>
    <w:rsid w:val="00762743"/>
    <w:rsid w:val="007639F1"/>
    <w:rsid w:val="00765514"/>
    <w:rsid w:val="007667C1"/>
    <w:rsid w:val="00766B89"/>
    <w:rsid w:val="0076746E"/>
    <w:rsid w:val="007675FE"/>
    <w:rsid w:val="007705B1"/>
    <w:rsid w:val="00771323"/>
    <w:rsid w:val="007729A6"/>
    <w:rsid w:val="00772E36"/>
    <w:rsid w:val="00772F24"/>
    <w:rsid w:val="00773AA3"/>
    <w:rsid w:val="00773B13"/>
    <w:rsid w:val="00775AEE"/>
    <w:rsid w:val="00776F34"/>
    <w:rsid w:val="007773A5"/>
    <w:rsid w:val="007773CA"/>
    <w:rsid w:val="007775E1"/>
    <w:rsid w:val="00781432"/>
    <w:rsid w:val="007815A3"/>
    <w:rsid w:val="00783E63"/>
    <w:rsid w:val="00785A0E"/>
    <w:rsid w:val="00785C38"/>
    <w:rsid w:val="00786DA7"/>
    <w:rsid w:val="0078701F"/>
    <w:rsid w:val="00787ED2"/>
    <w:rsid w:val="00790B4C"/>
    <w:rsid w:val="00791FCE"/>
    <w:rsid w:val="00792718"/>
    <w:rsid w:val="00794443"/>
    <w:rsid w:val="007956A3"/>
    <w:rsid w:val="007971E2"/>
    <w:rsid w:val="007A19F3"/>
    <w:rsid w:val="007A1CC4"/>
    <w:rsid w:val="007A295B"/>
    <w:rsid w:val="007A41F6"/>
    <w:rsid w:val="007A4749"/>
    <w:rsid w:val="007A4D83"/>
    <w:rsid w:val="007A5761"/>
    <w:rsid w:val="007A5E04"/>
    <w:rsid w:val="007A5EB6"/>
    <w:rsid w:val="007A622C"/>
    <w:rsid w:val="007A6BD3"/>
    <w:rsid w:val="007A7564"/>
    <w:rsid w:val="007A7595"/>
    <w:rsid w:val="007A78FD"/>
    <w:rsid w:val="007B1B06"/>
    <w:rsid w:val="007B46E7"/>
    <w:rsid w:val="007B4F4C"/>
    <w:rsid w:val="007B5B43"/>
    <w:rsid w:val="007B5E3A"/>
    <w:rsid w:val="007B5E9F"/>
    <w:rsid w:val="007B6DA3"/>
    <w:rsid w:val="007B6FFB"/>
    <w:rsid w:val="007C04E7"/>
    <w:rsid w:val="007C21A5"/>
    <w:rsid w:val="007C246A"/>
    <w:rsid w:val="007C3D15"/>
    <w:rsid w:val="007C3E52"/>
    <w:rsid w:val="007C4928"/>
    <w:rsid w:val="007C4FDB"/>
    <w:rsid w:val="007C50E5"/>
    <w:rsid w:val="007C5637"/>
    <w:rsid w:val="007C636F"/>
    <w:rsid w:val="007C667A"/>
    <w:rsid w:val="007C7232"/>
    <w:rsid w:val="007C7EC1"/>
    <w:rsid w:val="007D0233"/>
    <w:rsid w:val="007D080A"/>
    <w:rsid w:val="007D0A68"/>
    <w:rsid w:val="007D1BE8"/>
    <w:rsid w:val="007D255B"/>
    <w:rsid w:val="007D26C1"/>
    <w:rsid w:val="007D3362"/>
    <w:rsid w:val="007D4109"/>
    <w:rsid w:val="007D465C"/>
    <w:rsid w:val="007D4AAC"/>
    <w:rsid w:val="007D6BAE"/>
    <w:rsid w:val="007D7432"/>
    <w:rsid w:val="007D7A33"/>
    <w:rsid w:val="007E04F4"/>
    <w:rsid w:val="007E0F32"/>
    <w:rsid w:val="007E21EA"/>
    <w:rsid w:val="007E36DB"/>
    <w:rsid w:val="007E3EFF"/>
    <w:rsid w:val="007E40DA"/>
    <w:rsid w:val="007E52E1"/>
    <w:rsid w:val="007E5AAE"/>
    <w:rsid w:val="007E6677"/>
    <w:rsid w:val="007E6A07"/>
    <w:rsid w:val="007E762A"/>
    <w:rsid w:val="007F1623"/>
    <w:rsid w:val="007F16B7"/>
    <w:rsid w:val="007F1DB8"/>
    <w:rsid w:val="007F206A"/>
    <w:rsid w:val="007F20C0"/>
    <w:rsid w:val="007F2DC3"/>
    <w:rsid w:val="007F3315"/>
    <w:rsid w:val="007F33F5"/>
    <w:rsid w:val="007F4BB0"/>
    <w:rsid w:val="007F7B50"/>
    <w:rsid w:val="008003E3"/>
    <w:rsid w:val="00801BB7"/>
    <w:rsid w:val="008026F7"/>
    <w:rsid w:val="00802BAD"/>
    <w:rsid w:val="00803B9C"/>
    <w:rsid w:val="00806378"/>
    <w:rsid w:val="00810A3A"/>
    <w:rsid w:val="00812A1D"/>
    <w:rsid w:val="008132F0"/>
    <w:rsid w:val="0081386B"/>
    <w:rsid w:val="0081483F"/>
    <w:rsid w:val="00815506"/>
    <w:rsid w:val="00815850"/>
    <w:rsid w:val="00816D90"/>
    <w:rsid w:val="00821311"/>
    <w:rsid w:val="00821ADC"/>
    <w:rsid w:val="008233F0"/>
    <w:rsid w:val="00823C69"/>
    <w:rsid w:val="00823FE1"/>
    <w:rsid w:val="00824F30"/>
    <w:rsid w:val="00825069"/>
    <w:rsid w:val="008266A6"/>
    <w:rsid w:val="00827A7A"/>
    <w:rsid w:val="00827CDD"/>
    <w:rsid w:val="00831642"/>
    <w:rsid w:val="00831D4E"/>
    <w:rsid w:val="00833393"/>
    <w:rsid w:val="008342E9"/>
    <w:rsid w:val="00834484"/>
    <w:rsid w:val="008351C1"/>
    <w:rsid w:val="008369BD"/>
    <w:rsid w:val="00836E0A"/>
    <w:rsid w:val="00837A66"/>
    <w:rsid w:val="00841883"/>
    <w:rsid w:val="00843CAB"/>
    <w:rsid w:val="00844775"/>
    <w:rsid w:val="008454A6"/>
    <w:rsid w:val="00845F42"/>
    <w:rsid w:val="008504A1"/>
    <w:rsid w:val="00851664"/>
    <w:rsid w:val="0085176D"/>
    <w:rsid w:val="00851E57"/>
    <w:rsid w:val="0085257C"/>
    <w:rsid w:val="00852894"/>
    <w:rsid w:val="00852C56"/>
    <w:rsid w:val="0085402E"/>
    <w:rsid w:val="0085438A"/>
    <w:rsid w:val="00854FB3"/>
    <w:rsid w:val="0085517F"/>
    <w:rsid w:val="00855942"/>
    <w:rsid w:val="00855953"/>
    <w:rsid w:val="00855A87"/>
    <w:rsid w:val="00856670"/>
    <w:rsid w:val="00857B0E"/>
    <w:rsid w:val="00861277"/>
    <w:rsid w:val="00863EFD"/>
    <w:rsid w:val="008640D4"/>
    <w:rsid w:val="00864E4A"/>
    <w:rsid w:val="008655A7"/>
    <w:rsid w:val="00866459"/>
    <w:rsid w:val="00867B4C"/>
    <w:rsid w:val="00867C8A"/>
    <w:rsid w:val="008715DA"/>
    <w:rsid w:val="00871CC7"/>
    <w:rsid w:val="00872FD5"/>
    <w:rsid w:val="008732C5"/>
    <w:rsid w:val="00873F88"/>
    <w:rsid w:val="0087537B"/>
    <w:rsid w:val="00877A8E"/>
    <w:rsid w:val="00881C58"/>
    <w:rsid w:val="00881DDA"/>
    <w:rsid w:val="00882846"/>
    <w:rsid w:val="00883380"/>
    <w:rsid w:val="00884482"/>
    <w:rsid w:val="00886D7C"/>
    <w:rsid w:val="008909B3"/>
    <w:rsid w:val="008913BD"/>
    <w:rsid w:val="0089260E"/>
    <w:rsid w:val="00892E43"/>
    <w:rsid w:val="00892EF1"/>
    <w:rsid w:val="00893B6A"/>
    <w:rsid w:val="008940FE"/>
    <w:rsid w:val="00894C8F"/>
    <w:rsid w:val="00894DA9"/>
    <w:rsid w:val="00894FD8"/>
    <w:rsid w:val="00895F04"/>
    <w:rsid w:val="00896264"/>
    <w:rsid w:val="008969FF"/>
    <w:rsid w:val="00896EEB"/>
    <w:rsid w:val="008A2437"/>
    <w:rsid w:val="008A3C16"/>
    <w:rsid w:val="008A5849"/>
    <w:rsid w:val="008A5C74"/>
    <w:rsid w:val="008A62F8"/>
    <w:rsid w:val="008A66EA"/>
    <w:rsid w:val="008A74E8"/>
    <w:rsid w:val="008B001A"/>
    <w:rsid w:val="008B08BB"/>
    <w:rsid w:val="008B3735"/>
    <w:rsid w:val="008B5576"/>
    <w:rsid w:val="008B5A17"/>
    <w:rsid w:val="008B6786"/>
    <w:rsid w:val="008B6CB9"/>
    <w:rsid w:val="008C18F6"/>
    <w:rsid w:val="008C4247"/>
    <w:rsid w:val="008C5852"/>
    <w:rsid w:val="008D05C7"/>
    <w:rsid w:val="008D0C16"/>
    <w:rsid w:val="008D0E94"/>
    <w:rsid w:val="008D118F"/>
    <w:rsid w:val="008D2719"/>
    <w:rsid w:val="008D318C"/>
    <w:rsid w:val="008D52F9"/>
    <w:rsid w:val="008D539A"/>
    <w:rsid w:val="008D61F1"/>
    <w:rsid w:val="008D6930"/>
    <w:rsid w:val="008D7224"/>
    <w:rsid w:val="008D7FE3"/>
    <w:rsid w:val="008E08A3"/>
    <w:rsid w:val="008E20AD"/>
    <w:rsid w:val="008E2E28"/>
    <w:rsid w:val="008E3116"/>
    <w:rsid w:val="008E7348"/>
    <w:rsid w:val="008E7957"/>
    <w:rsid w:val="008E79C4"/>
    <w:rsid w:val="008F06D9"/>
    <w:rsid w:val="008F0808"/>
    <w:rsid w:val="008F26DD"/>
    <w:rsid w:val="008F2727"/>
    <w:rsid w:val="008F300C"/>
    <w:rsid w:val="008F5767"/>
    <w:rsid w:val="008F57BA"/>
    <w:rsid w:val="008F5E05"/>
    <w:rsid w:val="008F7A9D"/>
    <w:rsid w:val="00900B4D"/>
    <w:rsid w:val="00900E9F"/>
    <w:rsid w:val="0090194F"/>
    <w:rsid w:val="00901A96"/>
    <w:rsid w:val="00901EFB"/>
    <w:rsid w:val="009025D4"/>
    <w:rsid w:val="00904101"/>
    <w:rsid w:val="00904ADE"/>
    <w:rsid w:val="00905793"/>
    <w:rsid w:val="00905796"/>
    <w:rsid w:val="00905BFC"/>
    <w:rsid w:val="00905E97"/>
    <w:rsid w:val="00906CF5"/>
    <w:rsid w:val="00906F53"/>
    <w:rsid w:val="009078BD"/>
    <w:rsid w:val="00910EA4"/>
    <w:rsid w:val="009115AB"/>
    <w:rsid w:val="009128CE"/>
    <w:rsid w:val="00912AEB"/>
    <w:rsid w:val="00914820"/>
    <w:rsid w:val="009158B5"/>
    <w:rsid w:val="00916D1C"/>
    <w:rsid w:val="009179FE"/>
    <w:rsid w:val="0092083F"/>
    <w:rsid w:val="00926D0A"/>
    <w:rsid w:val="00930042"/>
    <w:rsid w:val="00930DE8"/>
    <w:rsid w:val="009313EC"/>
    <w:rsid w:val="0093219C"/>
    <w:rsid w:val="00933B8B"/>
    <w:rsid w:val="0093428B"/>
    <w:rsid w:val="00934F3C"/>
    <w:rsid w:val="0093637F"/>
    <w:rsid w:val="00936E6E"/>
    <w:rsid w:val="00937D5D"/>
    <w:rsid w:val="00940D5A"/>
    <w:rsid w:val="00942E74"/>
    <w:rsid w:val="009434B9"/>
    <w:rsid w:val="00943A1D"/>
    <w:rsid w:val="00945913"/>
    <w:rsid w:val="009461C2"/>
    <w:rsid w:val="0094708D"/>
    <w:rsid w:val="009474F5"/>
    <w:rsid w:val="009506E5"/>
    <w:rsid w:val="0095231B"/>
    <w:rsid w:val="00952DF2"/>
    <w:rsid w:val="009532AD"/>
    <w:rsid w:val="0095542F"/>
    <w:rsid w:val="0095565F"/>
    <w:rsid w:val="009613D3"/>
    <w:rsid w:val="009647DF"/>
    <w:rsid w:val="009656D2"/>
    <w:rsid w:val="009657AF"/>
    <w:rsid w:val="00966D1A"/>
    <w:rsid w:val="00971C1A"/>
    <w:rsid w:val="00971C49"/>
    <w:rsid w:val="009720D8"/>
    <w:rsid w:val="00972138"/>
    <w:rsid w:val="009722BA"/>
    <w:rsid w:val="0097391E"/>
    <w:rsid w:val="00973D7F"/>
    <w:rsid w:val="00973FCA"/>
    <w:rsid w:val="0097447C"/>
    <w:rsid w:val="00976AB9"/>
    <w:rsid w:val="00976F0C"/>
    <w:rsid w:val="00980795"/>
    <w:rsid w:val="00981FB1"/>
    <w:rsid w:val="00982A90"/>
    <w:rsid w:val="00984CF2"/>
    <w:rsid w:val="00986608"/>
    <w:rsid w:val="00986F47"/>
    <w:rsid w:val="0098718A"/>
    <w:rsid w:val="00990E3C"/>
    <w:rsid w:val="00993FE7"/>
    <w:rsid w:val="009948B0"/>
    <w:rsid w:val="0099522A"/>
    <w:rsid w:val="0099523E"/>
    <w:rsid w:val="009959D8"/>
    <w:rsid w:val="009964F3"/>
    <w:rsid w:val="0099739A"/>
    <w:rsid w:val="009A0866"/>
    <w:rsid w:val="009A1744"/>
    <w:rsid w:val="009A1DFF"/>
    <w:rsid w:val="009A213D"/>
    <w:rsid w:val="009A22A6"/>
    <w:rsid w:val="009A2478"/>
    <w:rsid w:val="009A3F89"/>
    <w:rsid w:val="009A4445"/>
    <w:rsid w:val="009A47BD"/>
    <w:rsid w:val="009A4A76"/>
    <w:rsid w:val="009A56DC"/>
    <w:rsid w:val="009A6428"/>
    <w:rsid w:val="009A67D0"/>
    <w:rsid w:val="009A7308"/>
    <w:rsid w:val="009A7497"/>
    <w:rsid w:val="009B06B4"/>
    <w:rsid w:val="009B09F4"/>
    <w:rsid w:val="009B12FD"/>
    <w:rsid w:val="009B1BD9"/>
    <w:rsid w:val="009B2BDC"/>
    <w:rsid w:val="009B4AB8"/>
    <w:rsid w:val="009B67BA"/>
    <w:rsid w:val="009B6AD6"/>
    <w:rsid w:val="009C1424"/>
    <w:rsid w:val="009C165C"/>
    <w:rsid w:val="009C1A77"/>
    <w:rsid w:val="009C3870"/>
    <w:rsid w:val="009C3D95"/>
    <w:rsid w:val="009C3FA8"/>
    <w:rsid w:val="009C54CF"/>
    <w:rsid w:val="009C59A8"/>
    <w:rsid w:val="009C5F3F"/>
    <w:rsid w:val="009C63A4"/>
    <w:rsid w:val="009C6E4E"/>
    <w:rsid w:val="009C7E8B"/>
    <w:rsid w:val="009D0BC0"/>
    <w:rsid w:val="009D2519"/>
    <w:rsid w:val="009D348B"/>
    <w:rsid w:val="009D350D"/>
    <w:rsid w:val="009D57D0"/>
    <w:rsid w:val="009D5A26"/>
    <w:rsid w:val="009D5B55"/>
    <w:rsid w:val="009D5F23"/>
    <w:rsid w:val="009D77FF"/>
    <w:rsid w:val="009E0B86"/>
    <w:rsid w:val="009E2369"/>
    <w:rsid w:val="009E250B"/>
    <w:rsid w:val="009E2919"/>
    <w:rsid w:val="009E3882"/>
    <w:rsid w:val="009E4645"/>
    <w:rsid w:val="009E5534"/>
    <w:rsid w:val="009E699D"/>
    <w:rsid w:val="009E6BE5"/>
    <w:rsid w:val="009E7222"/>
    <w:rsid w:val="009F00E5"/>
    <w:rsid w:val="009F09EC"/>
    <w:rsid w:val="009F0F77"/>
    <w:rsid w:val="009F1EAB"/>
    <w:rsid w:val="009F2ACD"/>
    <w:rsid w:val="009F33E5"/>
    <w:rsid w:val="009F4E11"/>
    <w:rsid w:val="009F5C15"/>
    <w:rsid w:val="009F6EFF"/>
    <w:rsid w:val="00A002C9"/>
    <w:rsid w:val="00A01276"/>
    <w:rsid w:val="00A01EC7"/>
    <w:rsid w:val="00A020F2"/>
    <w:rsid w:val="00A027CA"/>
    <w:rsid w:val="00A04B72"/>
    <w:rsid w:val="00A06305"/>
    <w:rsid w:val="00A06610"/>
    <w:rsid w:val="00A0695F"/>
    <w:rsid w:val="00A076CE"/>
    <w:rsid w:val="00A07AB7"/>
    <w:rsid w:val="00A11E6E"/>
    <w:rsid w:val="00A12141"/>
    <w:rsid w:val="00A145AC"/>
    <w:rsid w:val="00A14AC1"/>
    <w:rsid w:val="00A14B16"/>
    <w:rsid w:val="00A152C7"/>
    <w:rsid w:val="00A15989"/>
    <w:rsid w:val="00A1698C"/>
    <w:rsid w:val="00A16FE9"/>
    <w:rsid w:val="00A17456"/>
    <w:rsid w:val="00A208DA"/>
    <w:rsid w:val="00A20927"/>
    <w:rsid w:val="00A20BFD"/>
    <w:rsid w:val="00A21221"/>
    <w:rsid w:val="00A2129F"/>
    <w:rsid w:val="00A2163F"/>
    <w:rsid w:val="00A21D4A"/>
    <w:rsid w:val="00A2217B"/>
    <w:rsid w:val="00A24C5D"/>
    <w:rsid w:val="00A251BF"/>
    <w:rsid w:val="00A25453"/>
    <w:rsid w:val="00A25759"/>
    <w:rsid w:val="00A25A7C"/>
    <w:rsid w:val="00A279F2"/>
    <w:rsid w:val="00A27D25"/>
    <w:rsid w:val="00A322AE"/>
    <w:rsid w:val="00A330E3"/>
    <w:rsid w:val="00A337B5"/>
    <w:rsid w:val="00A3537F"/>
    <w:rsid w:val="00A35A06"/>
    <w:rsid w:val="00A361F7"/>
    <w:rsid w:val="00A3735C"/>
    <w:rsid w:val="00A3743A"/>
    <w:rsid w:val="00A375EE"/>
    <w:rsid w:val="00A400B4"/>
    <w:rsid w:val="00A4056E"/>
    <w:rsid w:val="00A40F6D"/>
    <w:rsid w:val="00A4119E"/>
    <w:rsid w:val="00A4161E"/>
    <w:rsid w:val="00A41D84"/>
    <w:rsid w:val="00A42F3A"/>
    <w:rsid w:val="00A43B56"/>
    <w:rsid w:val="00A440DC"/>
    <w:rsid w:val="00A443D7"/>
    <w:rsid w:val="00A455B5"/>
    <w:rsid w:val="00A461B2"/>
    <w:rsid w:val="00A4672B"/>
    <w:rsid w:val="00A46EF7"/>
    <w:rsid w:val="00A47012"/>
    <w:rsid w:val="00A47700"/>
    <w:rsid w:val="00A47A7A"/>
    <w:rsid w:val="00A52A70"/>
    <w:rsid w:val="00A55B67"/>
    <w:rsid w:val="00A55C93"/>
    <w:rsid w:val="00A56873"/>
    <w:rsid w:val="00A57B71"/>
    <w:rsid w:val="00A60016"/>
    <w:rsid w:val="00A6031C"/>
    <w:rsid w:val="00A60A64"/>
    <w:rsid w:val="00A62CE6"/>
    <w:rsid w:val="00A62F0A"/>
    <w:rsid w:val="00A635CC"/>
    <w:rsid w:val="00A63812"/>
    <w:rsid w:val="00A6542B"/>
    <w:rsid w:val="00A65B0C"/>
    <w:rsid w:val="00A66934"/>
    <w:rsid w:val="00A66BB2"/>
    <w:rsid w:val="00A677FA"/>
    <w:rsid w:val="00A710B0"/>
    <w:rsid w:val="00A7184D"/>
    <w:rsid w:val="00A7463D"/>
    <w:rsid w:val="00A76F86"/>
    <w:rsid w:val="00A778E5"/>
    <w:rsid w:val="00A80E3B"/>
    <w:rsid w:val="00A81FFD"/>
    <w:rsid w:val="00A842F8"/>
    <w:rsid w:val="00A86F97"/>
    <w:rsid w:val="00A906EE"/>
    <w:rsid w:val="00A90CAC"/>
    <w:rsid w:val="00A918CD"/>
    <w:rsid w:val="00A91A49"/>
    <w:rsid w:val="00A94F0D"/>
    <w:rsid w:val="00A9739D"/>
    <w:rsid w:val="00AA253F"/>
    <w:rsid w:val="00AA3723"/>
    <w:rsid w:val="00AA39BD"/>
    <w:rsid w:val="00AA3E26"/>
    <w:rsid w:val="00AA46A3"/>
    <w:rsid w:val="00AA4F98"/>
    <w:rsid w:val="00AA572D"/>
    <w:rsid w:val="00AA5E5F"/>
    <w:rsid w:val="00AA6932"/>
    <w:rsid w:val="00AA735F"/>
    <w:rsid w:val="00AB065D"/>
    <w:rsid w:val="00AB0EAB"/>
    <w:rsid w:val="00AB1B76"/>
    <w:rsid w:val="00AB1C9F"/>
    <w:rsid w:val="00AB286D"/>
    <w:rsid w:val="00AB42D9"/>
    <w:rsid w:val="00AB495C"/>
    <w:rsid w:val="00AB4B47"/>
    <w:rsid w:val="00AB6020"/>
    <w:rsid w:val="00AB62B1"/>
    <w:rsid w:val="00AB6BA4"/>
    <w:rsid w:val="00AB7529"/>
    <w:rsid w:val="00AB76CF"/>
    <w:rsid w:val="00AB7BA4"/>
    <w:rsid w:val="00AC10A4"/>
    <w:rsid w:val="00AC12CE"/>
    <w:rsid w:val="00AC1453"/>
    <w:rsid w:val="00AC1D4F"/>
    <w:rsid w:val="00AC296E"/>
    <w:rsid w:val="00AC3E18"/>
    <w:rsid w:val="00AC4702"/>
    <w:rsid w:val="00AC4ED7"/>
    <w:rsid w:val="00AC63D1"/>
    <w:rsid w:val="00AC677C"/>
    <w:rsid w:val="00AC68C9"/>
    <w:rsid w:val="00AD111F"/>
    <w:rsid w:val="00AD1FC7"/>
    <w:rsid w:val="00AD2049"/>
    <w:rsid w:val="00AD2A54"/>
    <w:rsid w:val="00AD4162"/>
    <w:rsid w:val="00AD44A7"/>
    <w:rsid w:val="00AD457D"/>
    <w:rsid w:val="00AD562B"/>
    <w:rsid w:val="00AD69D0"/>
    <w:rsid w:val="00AD7618"/>
    <w:rsid w:val="00AD7E85"/>
    <w:rsid w:val="00AE1B95"/>
    <w:rsid w:val="00AE23C8"/>
    <w:rsid w:val="00AE245E"/>
    <w:rsid w:val="00AE4161"/>
    <w:rsid w:val="00AE6ADA"/>
    <w:rsid w:val="00AE7EA7"/>
    <w:rsid w:val="00AF050C"/>
    <w:rsid w:val="00AF05D1"/>
    <w:rsid w:val="00AF53D1"/>
    <w:rsid w:val="00AF7D55"/>
    <w:rsid w:val="00B0107B"/>
    <w:rsid w:val="00B018E0"/>
    <w:rsid w:val="00B02135"/>
    <w:rsid w:val="00B04F85"/>
    <w:rsid w:val="00B05314"/>
    <w:rsid w:val="00B05597"/>
    <w:rsid w:val="00B068A9"/>
    <w:rsid w:val="00B07019"/>
    <w:rsid w:val="00B07169"/>
    <w:rsid w:val="00B079C8"/>
    <w:rsid w:val="00B10652"/>
    <w:rsid w:val="00B10F46"/>
    <w:rsid w:val="00B11E57"/>
    <w:rsid w:val="00B12BF5"/>
    <w:rsid w:val="00B1307E"/>
    <w:rsid w:val="00B130AC"/>
    <w:rsid w:val="00B133B6"/>
    <w:rsid w:val="00B15770"/>
    <w:rsid w:val="00B16908"/>
    <w:rsid w:val="00B179B8"/>
    <w:rsid w:val="00B17EA9"/>
    <w:rsid w:val="00B17F9C"/>
    <w:rsid w:val="00B20B4A"/>
    <w:rsid w:val="00B22106"/>
    <w:rsid w:val="00B2242E"/>
    <w:rsid w:val="00B2316C"/>
    <w:rsid w:val="00B24298"/>
    <w:rsid w:val="00B24C67"/>
    <w:rsid w:val="00B24DA7"/>
    <w:rsid w:val="00B26145"/>
    <w:rsid w:val="00B2662F"/>
    <w:rsid w:val="00B272E5"/>
    <w:rsid w:val="00B30931"/>
    <w:rsid w:val="00B31096"/>
    <w:rsid w:val="00B31B90"/>
    <w:rsid w:val="00B31F66"/>
    <w:rsid w:val="00B32A2A"/>
    <w:rsid w:val="00B332C0"/>
    <w:rsid w:val="00B3393D"/>
    <w:rsid w:val="00B33E9A"/>
    <w:rsid w:val="00B3460C"/>
    <w:rsid w:val="00B34D9F"/>
    <w:rsid w:val="00B363F9"/>
    <w:rsid w:val="00B367AA"/>
    <w:rsid w:val="00B36A67"/>
    <w:rsid w:val="00B36C33"/>
    <w:rsid w:val="00B3714D"/>
    <w:rsid w:val="00B374C0"/>
    <w:rsid w:val="00B37A45"/>
    <w:rsid w:val="00B40521"/>
    <w:rsid w:val="00B406F6"/>
    <w:rsid w:val="00B412FC"/>
    <w:rsid w:val="00B41743"/>
    <w:rsid w:val="00B41FD4"/>
    <w:rsid w:val="00B42122"/>
    <w:rsid w:val="00B43C59"/>
    <w:rsid w:val="00B442C8"/>
    <w:rsid w:val="00B458E5"/>
    <w:rsid w:val="00B461F1"/>
    <w:rsid w:val="00B475D1"/>
    <w:rsid w:val="00B47ACC"/>
    <w:rsid w:val="00B50369"/>
    <w:rsid w:val="00B52E20"/>
    <w:rsid w:val="00B53AEC"/>
    <w:rsid w:val="00B60171"/>
    <w:rsid w:val="00B60667"/>
    <w:rsid w:val="00B60F19"/>
    <w:rsid w:val="00B61385"/>
    <w:rsid w:val="00B6298D"/>
    <w:rsid w:val="00B63F66"/>
    <w:rsid w:val="00B652AB"/>
    <w:rsid w:val="00B66CD4"/>
    <w:rsid w:val="00B67093"/>
    <w:rsid w:val="00B7034B"/>
    <w:rsid w:val="00B70D6A"/>
    <w:rsid w:val="00B71DE1"/>
    <w:rsid w:val="00B72EEA"/>
    <w:rsid w:val="00B733D1"/>
    <w:rsid w:val="00B73DD8"/>
    <w:rsid w:val="00B74A2F"/>
    <w:rsid w:val="00B7627B"/>
    <w:rsid w:val="00B76646"/>
    <w:rsid w:val="00B82644"/>
    <w:rsid w:val="00B83373"/>
    <w:rsid w:val="00B8361E"/>
    <w:rsid w:val="00B83FC8"/>
    <w:rsid w:val="00B85374"/>
    <w:rsid w:val="00B8577D"/>
    <w:rsid w:val="00B85BBF"/>
    <w:rsid w:val="00B8722F"/>
    <w:rsid w:val="00B87533"/>
    <w:rsid w:val="00B8772E"/>
    <w:rsid w:val="00B87E7F"/>
    <w:rsid w:val="00B90437"/>
    <w:rsid w:val="00B90AF0"/>
    <w:rsid w:val="00B92819"/>
    <w:rsid w:val="00B92B0D"/>
    <w:rsid w:val="00B94B33"/>
    <w:rsid w:val="00B94CC2"/>
    <w:rsid w:val="00B9514F"/>
    <w:rsid w:val="00B9589B"/>
    <w:rsid w:val="00B95FEE"/>
    <w:rsid w:val="00B96C62"/>
    <w:rsid w:val="00B97256"/>
    <w:rsid w:val="00BA10A3"/>
    <w:rsid w:val="00BA1B76"/>
    <w:rsid w:val="00BA22C7"/>
    <w:rsid w:val="00BA34B1"/>
    <w:rsid w:val="00BA4CE0"/>
    <w:rsid w:val="00BA4E15"/>
    <w:rsid w:val="00BA57C0"/>
    <w:rsid w:val="00BA6430"/>
    <w:rsid w:val="00BA7FCC"/>
    <w:rsid w:val="00BB00DE"/>
    <w:rsid w:val="00BB04AB"/>
    <w:rsid w:val="00BB2346"/>
    <w:rsid w:val="00BB274A"/>
    <w:rsid w:val="00BB2926"/>
    <w:rsid w:val="00BB31E5"/>
    <w:rsid w:val="00BB39AE"/>
    <w:rsid w:val="00BB4078"/>
    <w:rsid w:val="00BB51C3"/>
    <w:rsid w:val="00BB5767"/>
    <w:rsid w:val="00BB6824"/>
    <w:rsid w:val="00BB70D8"/>
    <w:rsid w:val="00BB710A"/>
    <w:rsid w:val="00BB71D3"/>
    <w:rsid w:val="00BC11F1"/>
    <w:rsid w:val="00BC2E32"/>
    <w:rsid w:val="00BC2EBF"/>
    <w:rsid w:val="00BC2F4C"/>
    <w:rsid w:val="00BC45E3"/>
    <w:rsid w:val="00BC46E3"/>
    <w:rsid w:val="00BC482C"/>
    <w:rsid w:val="00BC544A"/>
    <w:rsid w:val="00BC60F0"/>
    <w:rsid w:val="00BC6292"/>
    <w:rsid w:val="00BC6D0D"/>
    <w:rsid w:val="00BC728A"/>
    <w:rsid w:val="00BD0E56"/>
    <w:rsid w:val="00BD2120"/>
    <w:rsid w:val="00BD431A"/>
    <w:rsid w:val="00BD43EE"/>
    <w:rsid w:val="00BD46FD"/>
    <w:rsid w:val="00BD4D84"/>
    <w:rsid w:val="00BD52AE"/>
    <w:rsid w:val="00BD5D3F"/>
    <w:rsid w:val="00BD753B"/>
    <w:rsid w:val="00BD7BBB"/>
    <w:rsid w:val="00BE05CB"/>
    <w:rsid w:val="00BE0AB3"/>
    <w:rsid w:val="00BE2681"/>
    <w:rsid w:val="00BE2BE3"/>
    <w:rsid w:val="00BE3B16"/>
    <w:rsid w:val="00BE4428"/>
    <w:rsid w:val="00BE6D62"/>
    <w:rsid w:val="00BE6F56"/>
    <w:rsid w:val="00BE7406"/>
    <w:rsid w:val="00BE796E"/>
    <w:rsid w:val="00BF01C0"/>
    <w:rsid w:val="00BF0828"/>
    <w:rsid w:val="00BF0EC1"/>
    <w:rsid w:val="00BF191E"/>
    <w:rsid w:val="00BF1C70"/>
    <w:rsid w:val="00BF5766"/>
    <w:rsid w:val="00BF5A89"/>
    <w:rsid w:val="00BF6335"/>
    <w:rsid w:val="00C003B8"/>
    <w:rsid w:val="00C007A7"/>
    <w:rsid w:val="00C01959"/>
    <w:rsid w:val="00C0242D"/>
    <w:rsid w:val="00C02BD2"/>
    <w:rsid w:val="00C03A02"/>
    <w:rsid w:val="00C064DF"/>
    <w:rsid w:val="00C0684E"/>
    <w:rsid w:val="00C07867"/>
    <w:rsid w:val="00C079F6"/>
    <w:rsid w:val="00C10410"/>
    <w:rsid w:val="00C11634"/>
    <w:rsid w:val="00C131A2"/>
    <w:rsid w:val="00C13777"/>
    <w:rsid w:val="00C13AAA"/>
    <w:rsid w:val="00C13EE8"/>
    <w:rsid w:val="00C14424"/>
    <w:rsid w:val="00C14E11"/>
    <w:rsid w:val="00C15E97"/>
    <w:rsid w:val="00C2031B"/>
    <w:rsid w:val="00C2068C"/>
    <w:rsid w:val="00C2294C"/>
    <w:rsid w:val="00C22A63"/>
    <w:rsid w:val="00C2325B"/>
    <w:rsid w:val="00C2521A"/>
    <w:rsid w:val="00C25BD8"/>
    <w:rsid w:val="00C2677C"/>
    <w:rsid w:val="00C273A7"/>
    <w:rsid w:val="00C27A4F"/>
    <w:rsid w:val="00C30115"/>
    <w:rsid w:val="00C30201"/>
    <w:rsid w:val="00C30EA7"/>
    <w:rsid w:val="00C313A4"/>
    <w:rsid w:val="00C31F06"/>
    <w:rsid w:val="00C31F55"/>
    <w:rsid w:val="00C31FFF"/>
    <w:rsid w:val="00C32C31"/>
    <w:rsid w:val="00C32D3E"/>
    <w:rsid w:val="00C32F15"/>
    <w:rsid w:val="00C33509"/>
    <w:rsid w:val="00C3372D"/>
    <w:rsid w:val="00C340E5"/>
    <w:rsid w:val="00C34B21"/>
    <w:rsid w:val="00C35959"/>
    <w:rsid w:val="00C419A3"/>
    <w:rsid w:val="00C41C39"/>
    <w:rsid w:val="00C42068"/>
    <w:rsid w:val="00C42C45"/>
    <w:rsid w:val="00C43381"/>
    <w:rsid w:val="00C44742"/>
    <w:rsid w:val="00C46206"/>
    <w:rsid w:val="00C46570"/>
    <w:rsid w:val="00C4696E"/>
    <w:rsid w:val="00C474CB"/>
    <w:rsid w:val="00C47932"/>
    <w:rsid w:val="00C52152"/>
    <w:rsid w:val="00C54284"/>
    <w:rsid w:val="00C548CB"/>
    <w:rsid w:val="00C54EF2"/>
    <w:rsid w:val="00C56966"/>
    <w:rsid w:val="00C56B56"/>
    <w:rsid w:val="00C57F07"/>
    <w:rsid w:val="00C61275"/>
    <w:rsid w:val="00C61324"/>
    <w:rsid w:val="00C62A2F"/>
    <w:rsid w:val="00C62CCB"/>
    <w:rsid w:val="00C63576"/>
    <w:rsid w:val="00C6413D"/>
    <w:rsid w:val="00C64278"/>
    <w:rsid w:val="00C65BF5"/>
    <w:rsid w:val="00C676FF"/>
    <w:rsid w:val="00C707F4"/>
    <w:rsid w:val="00C711CA"/>
    <w:rsid w:val="00C7183E"/>
    <w:rsid w:val="00C751B0"/>
    <w:rsid w:val="00C753E0"/>
    <w:rsid w:val="00C77178"/>
    <w:rsid w:val="00C77940"/>
    <w:rsid w:val="00C811F5"/>
    <w:rsid w:val="00C8271B"/>
    <w:rsid w:val="00C8297D"/>
    <w:rsid w:val="00C84390"/>
    <w:rsid w:val="00C84A21"/>
    <w:rsid w:val="00C87F13"/>
    <w:rsid w:val="00C87FEB"/>
    <w:rsid w:val="00C91077"/>
    <w:rsid w:val="00C915BC"/>
    <w:rsid w:val="00C915F3"/>
    <w:rsid w:val="00C920BE"/>
    <w:rsid w:val="00C92937"/>
    <w:rsid w:val="00C93576"/>
    <w:rsid w:val="00C94D69"/>
    <w:rsid w:val="00CA0854"/>
    <w:rsid w:val="00CA097A"/>
    <w:rsid w:val="00CA0B3A"/>
    <w:rsid w:val="00CA1B9E"/>
    <w:rsid w:val="00CA1E59"/>
    <w:rsid w:val="00CA38EF"/>
    <w:rsid w:val="00CA5C25"/>
    <w:rsid w:val="00CB077B"/>
    <w:rsid w:val="00CB088F"/>
    <w:rsid w:val="00CB0918"/>
    <w:rsid w:val="00CB0F16"/>
    <w:rsid w:val="00CB0F45"/>
    <w:rsid w:val="00CB175E"/>
    <w:rsid w:val="00CB218C"/>
    <w:rsid w:val="00CB241A"/>
    <w:rsid w:val="00CB346E"/>
    <w:rsid w:val="00CB3A30"/>
    <w:rsid w:val="00CB4FD5"/>
    <w:rsid w:val="00CB530F"/>
    <w:rsid w:val="00CB5B3E"/>
    <w:rsid w:val="00CB6236"/>
    <w:rsid w:val="00CB6C40"/>
    <w:rsid w:val="00CB731B"/>
    <w:rsid w:val="00CB7892"/>
    <w:rsid w:val="00CB7E36"/>
    <w:rsid w:val="00CC3682"/>
    <w:rsid w:val="00CC39A0"/>
    <w:rsid w:val="00CC3F20"/>
    <w:rsid w:val="00CC40AD"/>
    <w:rsid w:val="00CC6A99"/>
    <w:rsid w:val="00CC7624"/>
    <w:rsid w:val="00CD7644"/>
    <w:rsid w:val="00CD7D5F"/>
    <w:rsid w:val="00CE05BC"/>
    <w:rsid w:val="00CE2A7D"/>
    <w:rsid w:val="00CE510B"/>
    <w:rsid w:val="00CE53CD"/>
    <w:rsid w:val="00CE67D7"/>
    <w:rsid w:val="00CE7774"/>
    <w:rsid w:val="00CE7DBA"/>
    <w:rsid w:val="00CF1DFC"/>
    <w:rsid w:val="00CF3DF8"/>
    <w:rsid w:val="00CF443F"/>
    <w:rsid w:val="00CF4571"/>
    <w:rsid w:val="00CF655F"/>
    <w:rsid w:val="00CF65DA"/>
    <w:rsid w:val="00CF6EF5"/>
    <w:rsid w:val="00D0229D"/>
    <w:rsid w:val="00D03376"/>
    <w:rsid w:val="00D03619"/>
    <w:rsid w:val="00D0637B"/>
    <w:rsid w:val="00D06695"/>
    <w:rsid w:val="00D0768D"/>
    <w:rsid w:val="00D106F1"/>
    <w:rsid w:val="00D10BE1"/>
    <w:rsid w:val="00D15404"/>
    <w:rsid w:val="00D16619"/>
    <w:rsid w:val="00D20392"/>
    <w:rsid w:val="00D20570"/>
    <w:rsid w:val="00D2211E"/>
    <w:rsid w:val="00D2272A"/>
    <w:rsid w:val="00D2311C"/>
    <w:rsid w:val="00D25D52"/>
    <w:rsid w:val="00D261B0"/>
    <w:rsid w:val="00D261DB"/>
    <w:rsid w:val="00D265A5"/>
    <w:rsid w:val="00D268F5"/>
    <w:rsid w:val="00D26BA5"/>
    <w:rsid w:val="00D27804"/>
    <w:rsid w:val="00D31F18"/>
    <w:rsid w:val="00D33196"/>
    <w:rsid w:val="00D33A14"/>
    <w:rsid w:val="00D33D47"/>
    <w:rsid w:val="00D33E32"/>
    <w:rsid w:val="00D35868"/>
    <w:rsid w:val="00D373A6"/>
    <w:rsid w:val="00D4075D"/>
    <w:rsid w:val="00D4192D"/>
    <w:rsid w:val="00D43236"/>
    <w:rsid w:val="00D43E7F"/>
    <w:rsid w:val="00D44351"/>
    <w:rsid w:val="00D44911"/>
    <w:rsid w:val="00D4659A"/>
    <w:rsid w:val="00D46A8B"/>
    <w:rsid w:val="00D4734E"/>
    <w:rsid w:val="00D50E5B"/>
    <w:rsid w:val="00D512E0"/>
    <w:rsid w:val="00D5182D"/>
    <w:rsid w:val="00D51C82"/>
    <w:rsid w:val="00D52B35"/>
    <w:rsid w:val="00D5403D"/>
    <w:rsid w:val="00D54B45"/>
    <w:rsid w:val="00D5707B"/>
    <w:rsid w:val="00D57412"/>
    <w:rsid w:val="00D602CE"/>
    <w:rsid w:val="00D603CE"/>
    <w:rsid w:val="00D60605"/>
    <w:rsid w:val="00D60D3F"/>
    <w:rsid w:val="00D615FE"/>
    <w:rsid w:val="00D636F8"/>
    <w:rsid w:val="00D64029"/>
    <w:rsid w:val="00D64474"/>
    <w:rsid w:val="00D64A46"/>
    <w:rsid w:val="00D64DCE"/>
    <w:rsid w:val="00D64E61"/>
    <w:rsid w:val="00D64E99"/>
    <w:rsid w:val="00D66219"/>
    <w:rsid w:val="00D662CC"/>
    <w:rsid w:val="00D676BE"/>
    <w:rsid w:val="00D67D2D"/>
    <w:rsid w:val="00D67F0E"/>
    <w:rsid w:val="00D703C5"/>
    <w:rsid w:val="00D72C9B"/>
    <w:rsid w:val="00D72ED8"/>
    <w:rsid w:val="00D73980"/>
    <w:rsid w:val="00D73993"/>
    <w:rsid w:val="00D74800"/>
    <w:rsid w:val="00D75D5B"/>
    <w:rsid w:val="00D7651E"/>
    <w:rsid w:val="00D7685B"/>
    <w:rsid w:val="00D76EF6"/>
    <w:rsid w:val="00D80372"/>
    <w:rsid w:val="00D803D1"/>
    <w:rsid w:val="00D8077A"/>
    <w:rsid w:val="00D81345"/>
    <w:rsid w:val="00D83133"/>
    <w:rsid w:val="00D840FF"/>
    <w:rsid w:val="00D84389"/>
    <w:rsid w:val="00D84489"/>
    <w:rsid w:val="00D84BD3"/>
    <w:rsid w:val="00D84C8C"/>
    <w:rsid w:val="00D851E0"/>
    <w:rsid w:val="00D85612"/>
    <w:rsid w:val="00D85EFD"/>
    <w:rsid w:val="00D864CD"/>
    <w:rsid w:val="00D87D18"/>
    <w:rsid w:val="00D9018C"/>
    <w:rsid w:val="00D901FB"/>
    <w:rsid w:val="00D9132E"/>
    <w:rsid w:val="00D91BFD"/>
    <w:rsid w:val="00D9757E"/>
    <w:rsid w:val="00D97A89"/>
    <w:rsid w:val="00DA0244"/>
    <w:rsid w:val="00DA0303"/>
    <w:rsid w:val="00DA0B74"/>
    <w:rsid w:val="00DA0C09"/>
    <w:rsid w:val="00DA12A0"/>
    <w:rsid w:val="00DA1881"/>
    <w:rsid w:val="00DA34D6"/>
    <w:rsid w:val="00DA3647"/>
    <w:rsid w:val="00DA38F6"/>
    <w:rsid w:val="00DA3D0E"/>
    <w:rsid w:val="00DA41AA"/>
    <w:rsid w:val="00DA4395"/>
    <w:rsid w:val="00DA506C"/>
    <w:rsid w:val="00DA5D4A"/>
    <w:rsid w:val="00DA7294"/>
    <w:rsid w:val="00DB36EF"/>
    <w:rsid w:val="00DB6CCD"/>
    <w:rsid w:val="00DB750E"/>
    <w:rsid w:val="00DC20BE"/>
    <w:rsid w:val="00DC2D6B"/>
    <w:rsid w:val="00DC37A0"/>
    <w:rsid w:val="00DC384E"/>
    <w:rsid w:val="00DC393B"/>
    <w:rsid w:val="00DC3A8B"/>
    <w:rsid w:val="00DC44F8"/>
    <w:rsid w:val="00DC4812"/>
    <w:rsid w:val="00DC692C"/>
    <w:rsid w:val="00DC6F2B"/>
    <w:rsid w:val="00DD11E4"/>
    <w:rsid w:val="00DD1669"/>
    <w:rsid w:val="00DD17AC"/>
    <w:rsid w:val="00DD2B3A"/>
    <w:rsid w:val="00DD3BE4"/>
    <w:rsid w:val="00DD4406"/>
    <w:rsid w:val="00DD454B"/>
    <w:rsid w:val="00DD47E9"/>
    <w:rsid w:val="00DD4A2A"/>
    <w:rsid w:val="00DD5E20"/>
    <w:rsid w:val="00DD6009"/>
    <w:rsid w:val="00DD628C"/>
    <w:rsid w:val="00DD643C"/>
    <w:rsid w:val="00DD6A84"/>
    <w:rsid w:val="00DD7033"/>
    <w:rsid w:val="00DE1383"/>
    <w:rsid w:val="00DE1561"/>
    <w:rsid w:val="00DE2A83"/>
    <w:rsid w:val="00DE30B8"/>
    <w:rsid w:val="00DE3F47"/>
    <w:rsid w:val="00DE403B"/>
    <w:rsid w:val="00DE52DB"/>
    <w:rsid w:val="00DE5B4A"/>
    <w:rsid w:val="00DE6FAC"/>
    <w:rsid w:val="00DE7751"/>
    <w:rsid w:val="00DE7D75"/>
    <w:rsid w:val="00DF0656"/>
    <w:rsid w:val="00DF0C43"/>
    <w:rsid w:val="00DF0F21"/>
    <w:rsid w:val="00DF2742"/>
    <w:rsid w:val="00DF27EE"/>
    <w:rsid w:val="00DF3AB5"/>
    <w:rsid w:val="00DF4466"/>
    <w:rsid w:val="00DF5053"/>
    <w:rsid w:val="00DF55C4"/>
    <w:rsid w:val="00DF5FBC"/>
    <w:rsid w:val="00DF6A3C"/>
    <w:rsid w:val="00DF758E"/>
    <w:rsid w:val="00DF7AC0"/>
    <w:rsid w:val="00E00E89"/>
    <w:rsid w:val="00E024C2"/>
    <w:rsid w:val="00E029E7"/>
    <w:rsid w:val="00E02D92"/>
    <w:rsid w:val="00E03053"/>
    <w:rsid w:val="00E03240"/>
    <w:rsid w:val="00E04988"/>
    <w:rsid w:val="00E05762"/>
    <w:rsid w:val="00E059AC"/>
    <w:rsid w:val="00E05DF5"/>
    <w:rsid w:val="00E069E3"/>
    <w:rsid w:val="00E11798"/>
    <w:rsid w:val="00E11E19"/>
    <w:rsid w:val="00E12FA8"/>
    <w:rsid w:val="00E1379E"/>
    <w:rsid w:val="00E1584E"/>
    <w:rsid w:val="00E15AE7"/>
    <w:rsid w:val="00E16EE4"/>
    <w:rsid w:val="00E16F16"/>
    <w:rsid w:val="00E17314"/>
    <w:rsid w:val="00E17839"/>
    <w:rsid w:val="00E2001A"/>
    <w:rsid w:val="00E20051"/>
    <w:rsid w:val="00E209EB"/>
    <w:rsid w:val="00E22B0D"/>
    <w:rsid w:val="00E23776"/>
    <w:rsid w:val="00E239E3"/>
    <w:rsid w:val="00E24DA7"/>
    <w:rsid w:val="00E30A24"/>
    <w:rsid w:val="00E31617"/>
    <w:rsid w:val="00E31B32"/>
    <w:rsid w:val="00E31DF3"/>
    <w:rsid w:val="00E31EF6"/>
    <w:rsid w:val="00E32F65"/>
    <w:rsid w:val="00E34399"/>
    <w:rsid w:val="00E3770B"/>
    <w:rsid w:val="00E403FC"/>
    <w:rsid w:val="00E4133A"/>
    <w:rsid w:val="00E4161B"/>
    <w:rsid w:val="00E41A19"/>
    <w:rsid w:val="00E42445"/>
    <w:rsid w:val="00E437E7"/>
    <w:rsid w:val="00E4434F"/>
    <w:rsid w:val="00E450DB"/>
    <w:rsid w:val="00E457EC"/>
    <w:rsid w:val="00E47B2A"/>
    <w:rsid w:val="00E50392"/>
    <w:rsid w:val="00E50CE8"/>
    <w:rsid w:val="00E5147F"/>
    <w:rsid w:val="00E51C64"/>
    <w:rsid w:val="00E525E0"/>
    <w:rsid w:val="00E5439C"/>
    <w:rsid w:val="00E54928"/>
    <w:rsid w:val="00E552F2"/>
    <w:rsid w:val="00E5617F"/>
    <w:rsid w:val="00E5698F"/>
    <w:rsid w:val="00E61C67"/>
    <w:rsid w:val="00E62048"/>
    <w:rsid w:val="00E63B06"/>
    <w:rsid w:val="00E64B2F"/>
    <w:rsid w:val="00E65951"/>
    <w:rsid w:val="00E6785A"/>
    <w:rsid w:val="00E67880"/>
    <w:rsid w:val="00E7111A"/>
    <w:rsid w:val="00E71D9A"/>
    <w:rsid w:val="00E7276D"/>
    <w:rsid w:val="00E73323"/>
    <w:rsid w:val="00E74330"/>
    <w:rsid w:val="00E748E5"/>
    <w:rsid w:val="00E7491B"/>
    <w:rsid w:val="00E75AEB"/>
    <w:rsid w:val="00E775E1"/>
    <w:rsid w:val="00E77F50"/>
    <w:rsid w:val="00E81647"/>
    <w:rsid w:val="00E828A9"/>
    <w:rsid w:val="00E82A03"/>
    <w:rsid w:val="00E83001"/>
    <w:rsid w:val="00E848E7"/>
    <w:rsid w:val="00E85D5E"/>
    <w:rsid w:val="00E860BD"/>
    <w:rsid w:val="00E8623F"/>
    <w:rsid w:val="00E8646A"/>
    <w:rsid w:val="00E86F26"/>
    <w:rsid w:val="00E920F6"/>
    <w:rsid w:val="00E9353F"/>
    <w:rsid w:val="00E94DEF"/>
    <w:rsid w:val="00E95A52"/>
    <w:rsid w:val="00E96155"/>
    <w:rsid w:val="00E969B9"/>
    <w:rsid w:val="00E97874"/>
    <w:rsid w:val="00E97CB2"/>
    <w:rsid w:val="00E97E6E"/>
    <w:rsid w:val="00EA18AF"/>
    <w:rsid w:val="00EA3ECD"/>
    <w:rsid w:val="00EA4496"/>
    <w:rsid w:val="00EA59C7"/>
    <w:rsid w:val="00EA5E2E"/>
    <w:rsid w:val="00EA608A"/>
    <w:rsid w:val="00EA664C"/>
    <w:rsid w:val="00EA6815"/>
    <w:rsid w:val="00EA6F1B"/>
    <w:rsid w:val="00EB04B9"/>
    <w:rsid w:val="00EB11A0"/>
    <w:rsid w:val="00EB1E27"/>
    <w:rsid w:val="00EB337C"/>
    <w:rsid w:val="00EB36BF"/>
    <w:rsid w:val="00EB39E5"/>
    <w:rsid w:val="00EB4457"/>
    <w:rsid w:val="00EB4517"/>
    <w:rsid w:val="00EB4B9C"/>
    <w:rsid w:val="00EB4D13"/>
    <w:rsid w:val="00EB51D5"/>
    <w:rsid w:val="00EB5224"/>
    <w:rsid w:val="00EB5A1C"/>
    <w:rsid w:val="00EB6FA4"/>
    <w:rsid w:val="00EC07BE"/>
    <w:rsid w:val="00EC23C7"/>
    <w:rsid w:val="00EC308A"/>
    <w:rsid w:val="00EC5EF1"/>
    <w:rsid w:val="00EC640E"/>
    <w:rsid w:val="00EC6B84"/>
    <w:rsid w:val="00EC7509"/>
    <w:rsid w:val="00EC7CAA"/>
    <w:rsid w:val="00EC7DBD"/>
    <w:rsid w:val="00EC7E5B"/>
    <w:rsid w:val="00EC7F2E"/>
    <w:rsid w:val="00ED15F7"/>
    <w:rsid w:val="00ED22ED"/>
    <w:rsid w:val="00ED3371"/>
    <w:rsid w:val="00ED39A8"/>
    <w:rsid w:val="00ED46BB"/>
    <w:rsid w:val="00ED4842"/>
    <w:rsid w:val="00ED4F29"/>
    <w:rsid w:val="00ED5C52"/>
    <w:rsid w:val="00ED5FCC"/>
    <w:rsid w:val="00ED72B8"/>
    <w:rsid w:val="00ED78C0"/>
    <w:rsid w:val="00EE0981"/>
    <w:rsid w:val="00EE0F5D"/>
    <w:rsid w:val="00EE0F74"/>
    <w:rsid w:val="00EE2D71"/>
    <w:rsid w:val="00EE2FD4"/>
    <w:rsid w:val="00EE3B83"/>
    <w:rsid w:val="00EE5AD4"/>
    <w:rsid w:val="00EE694F"/>
    <w:rsid w:val="00EE72F2"/>
    <w:rsid w:val="00EF0CD7"/>
    <w:rsid w:val="00EF28FD"/>
    <w:rsid w:val="00EF29A0"/>
    <w:rsid w:val="00EF370C"/>
    <w:rsid w:val="00EF501A"/>
    <w:rsid w:val="00EF5314"/>
    <w:rsid w:val="00EF6EAD"/>
    <w:rsid w:val="00EF7C8D"/>
    <w:rsid w:val="00F006C2"/>
    <w:rsid w:val="00F0112D"/>
    <w:rsid w:val="00F0211C"/>
    <w:rsid w:val="00F0230A"/>
    <w:rsid w:val="00F02375"/>
    <w:rsid w:val="00F02C8B"/>
    <w:rsid w:val="00F02CBF"/>
    <w:rsid w:val="00F03B13"/>
    <w:rsid w:val="00F05BE6"/>
    <w:rsid w:val="00F06485"/>
    <w:rsid w:val="00F06BD8"/>
    <w:rsid w:val="00F106A6"/>
    <w:rsid w:val="00F1269D"/>
    <w:rsid w:val="00F12C12"/>
    <w:rsid w:val="00F132BB"/>
    <w:rsid w:val="00F14579"/>
    <w:rsid w:val="00F152CB"/>
    <w:rsid w:val="00F15A00"/>
    <w:rsid w:val="00F15B6D"/>
    <w:rsid w:val="00F15E0C"/>
    <w:rsid w:val="00F15F9B"/>
    <w:rsid w:val="00F17B82"/>
    <w:rsid w:val="00F2038C"/>
    <w:rsid w:val="00F2045B"/>
    <w:rsid w:val="00F2068D"/>
    <w:rsid w:val="00F20869"/>
    <w:rsid w:val="00F2195C"/>
    <w:rsid w:val="00F23C10"/>
    <w:rsid w:val="00F251D8"/>
    <w:rsid w:val="00F25AF6"/>
    <w:rsid w:val="00F267B6"/>
    <w:rsid w:val="00F268AC"/>
    <w:rsid w:val="00F26F66"/>
    <w:rsid w:val="00F30805"/>
    <w:rsid w:val="00F34040"/>
    <w:rsid w:val="00F35369"/>
    <w:rsid w:val="00F3608D"/>
    <w:rsid w:val="00F36132"/>
    <w:rsid w:val="00F36F47"/>
    <w:rsid w:val="00F41427"/>
    <w:rsid w:val="00F41FD5"/>
    <w:rsid w:val="00F42CF5"/>
    <w:rsid w:val="00F43723"/>
    <w:rsid w:val="00F43826"/>
    <w:rsid w:val="00F45A22"/>
    <w:rsid w:val="00F45C95"/>
    <w:rsid w:val="00F45FA3"/>
    <w:rsid w:val="00F4785D"/>
    <w:rsid w:val="00F50030"/>
    <w:rsid w:val="00F5113D"/>
    <w:rsid w:val="00F51365"/>
    <w:rsid w:val="00F527E9"/>
    <w:rsid w:val="00F528D9"/>
    <w:rsid w:val="00F52928"/>
    <w:rsid w:val="00F53004"/>
    <w:rsid w:val="00F5417F"/>
    <w:rsid w:val="00F5550E"/>
    <w:rsid w:val="00F55589"/>
    <w:rsid w:val="00F55A6C"/>
    <w:rsid w:val="00F5648C"/>
    <w:rsid w:val="00F564BC"/>
    <w:rsid w:val="00F5676C"/>
    <w:rsid w:val="00F57747"/>
    <w:rsid w:val="00F60928"/>
    <w:rsid w:val="00F60C2D"/>
    <w:rsid w:val="00F60D04"/>
    <w:rsid w:val="00F61D7B"/>
    <w:rsid w:val="00F628FE"/>
    <w:rsid w:val="00F63176"/>
    <w:rsid w:val="00F658BC"/>
    <w:rsid w:val="00F701B7"/>
    <w:rsid w:val="00F71084"/>
    <w:rsid w:val="00F719DD"/>
    <w:rsid w:val="00F72A1C"/>
    <w:rsid w:val="00F73D2B"/>
    <w:rsid w:val="00F7656A"/>
    <w:rsid w:val="00F8001F"/>
    <w:rsid w:val="00F80EAC"/>
    <w:rsid w:val="00F815AF"/>
    <w:rsid w:val="00F82816"/>
    <w:rsid w:val="00F8348A"/>
    <w:rsid w:val="00F8399D"/>
    <w:rsid w:val="00F84430"/>
    <w:rsid w:val="00F84FE7"/>
    <w:rsid w:val="00F850AB"/>
    <w:rsid w:val="00F853B3"/>
    <w:rsid w:val="00F86617"/>
    <w:rsid w:val="00F86D83"/>
    <w:rsid w:val="00F900C8"/>
    <w:rsid w:val="00F910C7"/>
    <w:rsid w:val="00F920E0"/>
    <w:rsid w:val="00F92466"/>
    <w:rsid w:val="00F92C62"/>
    <w:rsid w:val="00F944C7"/>
    <w:rsid w:val="00F94C30"/>
    <w:rsid w:val="00F95D19"/>
    <w:rsid w:val="00F95DA0"/>
    <w:rsid w:val="00F960CA"/>
    <w:rsid w:val="00F960E7"/>
    <w:rsid w:val="00F96B1A"/>
    <w:rsid w:val="00FA16E6"/>
    <w:rsid w:val="00FA29F6"/>
    <w:rsid w:val="00FA2A19"/>
    <w:rsid w:val="00FA2FD6"/>
    <w:rsid w:val="00FA36B9"/>
    <w:rsid w:val="00FA3999"/>
    <w:rsid w:val="00FA3DA1"/>
    <w:rsid w:val="00FA721C"/>
    <w:rsid w:val="00FA7CE7"/>
    <w:rsid w:val="00FB061F"/>
    <w:rsid w:val="00FB1380"/>
    <w:rsid w:val="00FB1663"/>
    <w:rsid w:val="00FB1718"/>
    <w:rsid w:val="00FB514B"/>
    <w:rsid w:val="00FB6575"/>
    <w:rsid w:val="00FB6F4B"/>
    <w:rsid w:val="00FC054B"/>
    <w:rsid w:val="00FC25CF"/>
    <w:rsid w:val="00FC39E4"/>
    <w:rsid w:val="00FC4920"/>
    <w:rsid w:val="00FC590E"/>
    <w:rsid w:val="00FC5B86"/>
    <w:rsid w:val="00FC5B95"/>
    <w:rsid w:val="00FC61DB"/>
    <w:rsid w:val="00FC6693"/>
    <w:rsid w:val="00FC7F1E"/>
    <w:rsid w:val="00FD044C"/>
    <w:rsid w:val="00FD13F9"/>
    <w:rsid w:val="00FD29DA"/>
    <w:rsid w:val="00FD3E20"/>
    <w:rsid w:val="00FD42F0"/>
    <w:rsid w:val="00FD5337"/>
    <w:rsid w:val="00FD60B5"/>
    <w:rsid w:val="00FE0166"/>
    <w:rsid w:val="00FE0B35"/>
    <w:rsid w:val="00FE273A"/>
    <w:rsid w:val="00FE2B69"/>
    <w:rsid w:val="00FE38DC"/>
    <w:rsid w:val="00FE5998"/>
    <w:rsid w:val="00FE71E5"/>
    <w:rsid w:val="00FE7D28"/>
    <w:rsid w:val="00FE7D4F"/>
    <w:rsid w:val="00FF08FB"/>
    <w:rsid w:val="00FF303C"/>
    <w:rsid w:val="00FF34A1"/>
    <w:rsid w:val="00FF38CE"/>
    <w:rsid w:val="00FF3C32"/>
    <w:rsid w:val="00FF581E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9E2E"/>
  <w15:chartTrackingRefBased/>
  <w15:docId w15:val="{9E8A05F8-A577-4469-ABD9-E7CF8459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D6F"/>
    <w:rPr>
      <w:rFonts w:eastAsia="Times New Roman"/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C346B"/>
    <w:pPr>
      <w:spacing w:before="100" w:beforeAutospacing="1" w:after="100" w:afterAutospacing="1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C34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82252"/>
    <w:rPr>
      <w:rFonts w:eastAsia="Times New Roman"/>
      <w:sz w:val="24"/>
      <w:szCs w:val="24"/>
    </w:rPr>
  </w:style>
  <w:style w:type="table" w:styleId="PlainTable3">
    <w:name w:val="Plain Table 3"/>
    <w:basedOn w:val="TableNormal"/>
    <w:uiPriority w:val="43"/>
    <w:rsid w:val="001054D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1054D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3">
    <w:name w:val="Grid Table 5 Dark Accent 3"/>
    <w:basedOn w:val="TableNormal"/>
    <w:uiPriority w:val="50"/>
    <w:rsid w:val="001054D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B1Char">
    <w:name w:val="B1 Char"/>
    <w:link w:val="B1"/>
    <w:rsid w:val="00AC4702"/>
    <w:rPr>
      <w:rFonts w:ascii="Arial" w:eastAsia="Times New Roman" w:hAnsi="Arial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AC4702"/>
    <w:rPr>
      <w:rFonts w:eastAsia="Batang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4">
    <w:name w:val="Grid Table 4"/>
    <w:basedOn w:val="TableNormal"/>
    <w:uiPriority w:val="49"/>
    <w:rsid w:val="00E200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E2001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E2001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3">
    <w:name w:val="Grid Table 4 Accent 3"/>
    <w:basedOn w:val="TableNormal"/>
    <w:uiPriority w:val="49"/>
    <w:rsid w:val="000E310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74346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TAH">
    <w:name w:val="TAH"/>
    <w:basedOn w:val="TAC"/>
    <w:link w:val="TAHCar"/>
    <w:rsid w:val="00E11798"/>
    <w:rPr>
      <w:b/>
    </w:rPr>
  </w:style>
  <w:style w:type="paragraph" w:customStyle="1" w:styleId="TAC">
    <w:name w:val="TAC"/>
    <w:basedOn w:val="Normal"/>
    <w:link w:val="TACChar"/>
    <w:rsid w:val="00E11798"/>
    <w:pPr>
      <w:keepNext/>
      <w:keepLines/>
      <w:jc w:val="center"/>
    </w:pPr>
    <w:rPr>
      <w:rFonts w:ascii="Arial" w:eastAsia="MS Mincho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E11798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E11798"/>
    <w:rPr>
      <w:rFonts w:ascii="Arial" w:eastAsia="MS Mincho" w:hAnsi="Arial"/>
      <w:b/>
      <w:sz w:val="18"/>
      <w:lang w:val="en-GB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9F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15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63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8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8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8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3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51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5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8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4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9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8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5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59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8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8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683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8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63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54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3907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169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31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261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130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97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4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356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8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8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740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2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70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8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53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4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7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6009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6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6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0091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177">
          <w:marLeft w:val="4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6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7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7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828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35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951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70290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40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4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8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086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4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85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63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43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89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0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0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500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9499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508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45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4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33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48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5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35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IconOverlay xmlns="http://schemas.microsoft.com/sharepoint/v4" xsi:nil="true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Props1.xml><?xml version="1.0" encoding="utf-8"?>
<ds:datastoreItem xmlns:ds="http://schemas.openxmlformats.org/officeDocument/2006/customXml" ds:itemID="{8A5B1410-FA9B-48B6-BDA5-3F428D1DF3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8D9DC9-5887-4A76-BE2C-7824F2CFF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http://schemas.microsoft.com/sharepoint/v4"/>
    <ds:schemaRef ds:uri="81c2d00d-6e98-4ecf-9fde-812538fb85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2594</Words>
  <Characters>14791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Hsien-Ping</cp:lastModifiedBy>
  <cp:revision>4</cp:revision>
  <cp:lastPrinted>2018-01-12T00:47:00Z</cp:lastPrinted>
  <dcterms:created xsi:type="dcterms:W3CDTF">2022-04-22T21:23:00Z</dcterms:created>
  <dcterms:modified xsi:type="dcterms:W3CDTF">2022-04-22T21:24:00Z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NewReviewCycle">
    <vt:lpwstr/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_AdHocReviewCycleID">
    <vt:i4>880721493</vt:i4>
  </property>
  <property fmtid="{D5CDD505-2E9C-101B-9397-08002B2CF9AE}" pid="9" name="_EmailSubject">
    <vt:lpwstr>TDoc for 8.2.1</vt:lpwstr>
  </property>
  <property fmtid="{D5CDD505-2E9C-101B-9397-08002B2CF9AE}" pid="10" name="_AuthorEmail">
    <vt:lpwstr>Chun-Hsuan.Kuo@mediatek.com</vt:lpwstr>
  </property>
  <property fmtid="{D5CDD505-2E9C-101B-9397-08002B2CF9AE}" pid="11" name="_AuthorEmailDisplayName">
    <vt:lpwstr>Chun-Hsuan Kuo</vt:lpwstr>
  </property>
  <property fmtid="{D5CDD505-2E9C-101B-9397-08002B2CF9AE}" pid="12" name="_ReviewingToolsShownOnce">
    <vt:lpwstr/>
  </property>
</Properties>
</file>