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B01B3" w14:textId="3CB5B91C"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#109-e</w:t>
      </w:r>
      <w:r w:rsidR="00D76093">
        <w:rPr>
          <w:rFonts w:cs="Arial"/>
          <w:noProof w:val="0"/>
          <w:sz w:val="28"/>
          <w:szCs w:val="28"/>
          <w:lang w:val="en-US"/>
        </w:rPr>
        <w:tab/>
      </w:r>
      <w:r w:rsidR="006E1029" w:rsidRPr="006E1029">
        <w:rPr>
          <w:rFonts w:cs="Arial"/>
          <w:noProof w:val="0"/>
          <w:sz w:val="28"/>
          <w:szCs w:val="28"/>
          <w:lang w:val="en-US"/>
        </w:rPr>
        <w:t>R1-2204667</w:t>
      </w:r>
    </w:p>
    <w:p w14:paraId="700D32A0" w14:textId="458075F6" w:rsidR="00D76093" w:rsidRPr="00122FF3" w:rsidRDefault="00122FF3" w:rsidP="00D76093">
      <w:pPr>
        <w:pStyle w:val="a4"/>
        <w:rPr>
          <w:rFonts w:asciiTheme="majorHAnsi" w:hAnsiTheme="majorHAnsi" w:cstheme="majorHAnsi"/>
          <w:bCs/>
          <w:sz w:val="28"/>
        </w:rPr>
      </w:pPr>
      <w:r w:rsidRPr="00122FF3">
        <w:rPr>
          <w:rFonts w:asciiTheme="majorHAnsi" w:eastAsia="SimSun" w:hAnsiTheme="majorHAnsi" w:cstheme="majorHAnsi"/>
          <w:sz w:val="28"/>
          <w:szCs w:val="28"/>
          <w:lang w:val="en-US" w:eastAsia="zh-CN"/>
        </w:rPr>
        <w:t>e-Meeting, May 9</w:t>
      </w:r>
      <w:r w:rsidRPr="00122FF3">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Pr="00122FF3">
        <w:rPr>
          <w:rFonts w:asciiTheme="majorHAnsi" w:eastAsia="SimSun" w:hAnsiTheme="majorHAnsi" w:cstheme="majorHAnsi"/>
          <w:sz w:val="28"/>
          <w:szCs w:val="28"/>
          <w:lang w:val="en-US" w:eastAsia="zh-CN"/>
        </w:rPr>
        <w:t>– 20</w:t>
      </w:r>
      <w:r w:rsidRPr="00122FF3">
        <w:rPr>
          <w:rFonts w:asciiTheme="majorHAnsi" w:eastAsia="SimSun" w:hAnsiTheme="majorHAnsi" w:cstheme="majorHAnsi"/>
          <w:sz w:val="28"/>
          <w:szCs w:val="28"/>
          <w:vertAlign w:val="superscript"/>
          <w:lang w:val="en-US" w:eastAsia="zh-CN"/>
        </w:rPr>
        <w:t>th</w:t>
      </w:r>
      <w:r w:rsidRPr="00122FF3">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796C747"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6E1029" w:rsidRPr="006E1029">
        <w:rPr>
          <w:rFonts w:ascii="Arial" w:hAnsi="Arial" w:cs="Arial"/>
          <w:b/>
          <w:color w:val="000000" w:themeColor="text1"/>
          <w:sz w:val="28"/>
          <w:szCs w:val="28"/>
          <w:lang w:val="en-US"/>
        </w:rPr>
        <w:t>Views on potential solutions for SL positioning</w:t>
      </w:r>
    </w:p>
    <w:p w14:paraId="369A72EC" w14:textId="70897891"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EA7E9D" w:rsidRPr="00AD0FF0">
        <w:rPr>
          <w:rFonts w:ascii="Arial" w:hAnsi="Arial" w:cs="Arial"/>
          <w:b/>
          <w:color w:val="000000" w:themeColor="text1"/>
          <w:sz w:val="28"/>
          <w:szCs w:val="28"/>
          <w:lang w:val="en-US"/>
        </w:rPr>
        <w:t>1</w:t>
      </w:r>
      <w:r w:rsidR="00110F78" w:rsidRPr="00AD0FF0">
        <w:rPr>
          <w:rFonts w:ascii="Arial" w:hAnsi="Arial" w:cs="Arial"/>
          <w:b/>
          <w:color w:val="000000" w:themeColor="text1"/>
          <w:sz w:val="28"/>
          <w:szCs w:val="28"/>
          <w:lang w:val="en-US"/>
        </w:rPr>
        <w:t>.</w:t>
      </w:r>
      <w:r w:rsidR="000759DF">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3A8022F8" w14:textId="436F7E4E" w:rsidR="005D3D18" w:rsidRPr="004953F0" w:rsidRDefault="005D3D18" w:rsidP="005D3D18">
      <w:pPr>
        <w:spacing w:before="240" w:after="240" w:afterAutospacing="0"/>
        <w:rPr>
          <w:rFonts w:eastAsiaTheme="minorEastAsia"/>
          <w:color w:val="000000" w:themeColor="text1"/>
          <w:szCs w:val="24"/>
          <w:lang w:val="en-US"/>
        </w:rPr>
      </w:pPr>
      <w:bookmarkStart w:id="3" w:name="OLE_LINK1"/>
      <w:r>
        <w:rPr>
          <w:rFonts w:eastAsiaTheme="minorEastAsia"/>
          <w:color w:val="000000" w:themeColor="text1"/>
          <w:szCs w:val="24"/>
          <w:lang w:val="en-US"/>
        </w:rPr>
        <w:t>In RAN#94e, a new study item on “</w:t>
      </w:r>
      <w:r>
        <w:t>expanded and improved NR positioning” was approved</w:t>
      </w:r>
      <w:r w:rsidR="00947C95">
        <w:t xml:space="preserve"> [1]</w:t>
      </w:r>
      <w:r>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5D3D18" w:rsidRPr="00683FDE" w14:paraId="3624DFC9" w14:textId="77777777" w:rsidTr="00024731">
        <w:tc>
          <w:tcPr>
            <w:tcW w:w="9954" w:type="dxa"/>
          </w:tcPr>
          <w:p w14:paraId="60CA48CD" w14:textId="77777777" w:rsidR="005D3D18" w:rsidRDefault="005D3D18" w:rsidP="005D3D18">
            <w:pPr>
              <w:widowControl w:val="0"/>
              <w:numPr>
                <w:ilvl w:val="0"/>
                <w:numId w:val="19"/>
              </w:numPr>
              <w:snapToGrid/>
              <w:spacing w:after="0" w:afterAutospacing="0"/>
              <w:rPr>
                <w:rFonts w:eastAsiaTheme="minorEastAsia"/>
                <w:bCs/>
                <w:sz w:val="21"/>
                <w:lang w:val="en-US"/>
              </w:rPr>
            </w:pPr>
            <w:bookmarkStart w:id="4" w:name="_Hlk83924038"/>
            <w:r>
              <w:rPr>
                <w:bCs/>
              </w:rPr>
              <w:t xml:space="preserve">Study solutions for sidelink positioning considering the following: [RAN1, RAN2] </w:t>
            </w:r>
          </w:p>
          <w:p w14:paraId="4B57CFF7" w14:textId="77777777" w:rsidR="005D3D18" w:rsidRDefault="005D3D18" w:rsidP="005D3D18">
            <w:pPr>
              <w:widowControl w:val="0"/>
              <w:numPr>
                <w:ilvl w:val="0"/>
                <w:numId w:val="19"/>
              </w:numPr>
              <w:snapToGrid/>
              <w:spacing w:after="0" w:afterAutospacing="0"/>
              <w:ind w:left="1080"/>
              <w:rPr>
                <w:bCs/>
              </w:rPr>
            </w:pPr>
            <w:r>
              <w:rPr>
                <w:bCs/>
              </w:rPr>
              <w:t xml:space="preserve">Scenario/requirements </w:t>
            </w:r>
          </w:p>
          <w:p w14:paraId="02D21B5D" w14:textId="77777777" w:rsidR="005D3D18" w:rsidRDefault="005D3D18" w:rsidP="005D3D18">
            <w:pPr>
              <w:widowControl w:val="0"/>
              <w:numPr>
                <w:ilvl w:val="1"/>
                <w:numId w:val="19"/>
              </w:numPr>
              <w:snapToGrid/>
              <w:spacing w:after="0" w:afterAutospacing="0"/>
              <w:rPr>
                <w:bCs/>
              </w:rPr>
            </w:pPr>
            <w:r>
              <w:rPr>
                <w:bCs/>
              </w:rPr>
              <w:t xml:space="preserve">Coverage scenarios to </w:t>
            </w:r>
            <w:proofErr w:type="gramStart"/>
            <w:r>
              <w:rPr>
                <w:bCs/>
              </w:rPr>
              <w:t>cover:</w:t>
            </w:r>
            <w:proofErr w:type="gramEnd"/>
            <w:r>
              <w:rPr>
                <w:bCs/>
              </w:rPr>
              <w:t xml:space="preserve"> in-coverage, partial-coverage and out-of-coverage</w:t>
            </w:r>
          </w:p>
          <w:p w14:paraId="51707016" w14:textId="77777777" w:rsidR="005D3D18" w:rsidRDefault="005D3D18" w:rsidP="005D3D18">
            <w:pPr>
              <w:widowControl w:val="0"/>
              <w:numPr>
                <w:ilvl w:val="1"/>
                <w:numId w:val="19"/>
              </w:numPr>
              <w:snapToGrid/>
              <w:spacing w:after="0" w:afterAutospacing="0"/>
              <w:rPr>
                <w:bCs/>
              </w:rPr>
            </w:pPr>
            <w:r>
              <w:rPr>
                <w:bCs/>
              </w:rPr>
              <w:t>Requirements: Based on requirements identified in TR38.845 and TS22.261 and TS22.104</w:t>
            </w:r>
          </w:p>
          <w:p w14:paraId="6188E9C3" w14:textId="77777777" w:rsidR="005D3D18" w:rsidRDefault="005D3D18" w:rsidP="005D3D18">
            <w:pPr>
              <w:widowControl w:val="0"/>
              <w:numPr>
                <w:ilvl w:val="1"/>
                <w:numId w:val="19"/>
              </w:numPr>
              <w:snapToGrid/>
              <w:spacing w:after="0" w:afterAutospacing="0"/>
              <w:rPr>
                <w:bCs/>
              </w:rPr>
            </w:pPr>
            <w:r>
              <w:rPr>
                <w:bCs/>
              </w:rPr>
              <w:t>Use cases: V2X (TR38.845), public safety (TR38.845), commercial (TS22.261), IIOT (TS22.104)</w:t>
            </w:r>
          </w:p>
          <w:p w14:paraId="5C7CD2A7" w14:textId="77777777" w:rsidR="005D3D18" w:rsidRDefault="005D3D18" w:rsidP="005D3D18">
            <w:pPr>
              <w:widowControl w:val="0"/>
              <w:numPr>
                <w:ilvl w:val="1"/>
                <w:numId w:val="19"/>
              </w:numPr>
              <w:snapToGrid/>
              <w:spacing w:after="0" w:afterAutospacing="0"/>
              <w:rPr>
                <w:bCs/>
              </w:rPr>
            </w:pPr>
            <w:r>
              <w:rPr>
                <w:bCs/>
              </w:rPr>
              <w:t>Spectrum: ITS, licensed</w:t>
            </w:r>
          </w:p>
          <w:p w14:paraId="3BAA3153" w14:textId="77777777" w:rsidR="005D3D18" w:rsidRDefault="005D3D18" w:rsidP="005D3D18">
            <w:pPr>
              <w:widowControl w:val="0"/>
              <w:numPr>
                <w:ilvl w:val="0"/>
                <w:numId w:val="19"/>
              </w:numPr>
              <w:snapToGrid/>
              <w:spacing w:after="0" w:afterAutospacing="0"/>
              <w:ind w:left="1080"/>
              <w:rPr>
                <w:bCs/>
              </w:rPr>
            </w:pPr>
            <w:r>
              <w:rPr>
                <w:bCs/>
              </w:rPr>
              <w:t>Identify specific target performance requirements to be considered for the evaluation based on existing 3GPP work and inputs from industry forums [RAN1]</w:t>
            </w:r>
          </w:p>
          <w:p w14:paraId="0B332322" w14:textId="77777777" w:rsidR="005D3D18" w:rsidRPr="00515A93" w:rsidRDefault="005D3D18" w:rsidP="005D3D18">
            <w:pPr>
              <w:widowControl w:val="0"/>
              <w:numPr>
                <w:ilvl w:val="0"/>
                <w:numId w:val="19"/>
              </w:numPr>
              <w:snapToGrid/>
              <w:spacing w:after="0" w:afterAutospacing="0"/>
              <w:ind w:left="1080"/>
              <w:rPr>
                <w:bCs/>
              </w:rPr>
            </w:pPr>
            <w:r>
              <w:rPr>
                <w:bCs/>
              </w:rPr>
              <w:t xml:space="preserve">Define evaluation methodology with which to evaluate SL positioning for the </w:t>
            </w:r>
            <w:proofErr w:type="gramStart"/>
            <w:r>
              <w:rPr>
                <w:bCs/>
              </w:rPr>
              <w:t>uses</w:t>
            </w:r>
            <w:proofErr w:type="gramEnd"/>
            <w:r>
              <w:rPr>
                <w:bCs/>
              </w:rPr>
              <w:t xml:space="preserve"> cases and coverage scenarios, reusing existing methodologies from sidelink communication and </w:t>
            </w:r>
            <w:r w:rsidRPr="00515A93">
              <w:rPr>
                <w:bCs/>
              </w:rPr>
              <w:t xml:space="preserve">from positioning as much as possible [RAN1]. </w:t>
            </w:r>
          </w:p>
          <w:p w14:paraId="43D78AFF" w14:textId="77777777" w:rsidR="005D3D18" w:rsidRPr="00515A93" w:rsidRDefault="005D3D18" w:rsidP="005D3D18">
            <w:pPr>
              <w:widowControl w:val="0"/>
              <w:numPr>
                <w:ilvl w:val="0"/>
                <w:numId w:val="19"/>
              </w:numPr>
              <w:snapToGrid/>
              <w:spacing w:after="0" w:afterAutospacing="0"/>
              <w:ind w:left="1080"/>
              <w:rPr>
                <w:bCs/>
              </w:rPr>
            </w:pPr>
            <w:r w:rsidRPr="00515A93">
              <w:rPr>
                <w:bCs/>
              </w:rPr>
              <w:t>Study and evaluate performance and feasibility of potential solutions for SL positioning, considering relative positioning, ranging and absolute positioning: [RAN1, RAN2]</w:t>
            </w:r>
          </w:p>
          <w:p w14:paraId="3EFC2297" w14:textId="77777777" w:rsidR="005D3D18" w:rsidRPr="00515A93" w:rsidRDefault="005D3D18" w:rsidP="005D3D18">
            <w:pPr>
              <w:widowControl w:val="0"/>
              <w:numPr>
                <w:ilvl w:val="1"/>
                <w:numId w:val="19"/>
              </w:numPr>
              <w:snapToGrid/>
              <w:spacing w:after="0" w:afterAutospacing="0"/>
              <w:rPr>
                <w:bCs/>
              </w:rPr>
            </w:pPr>
            <w:r w:rsidRPr="00515A93">
              <w:rPr>
                <w:bCs/>
              </w:rPr>
              <w:t>Evaluate bandwidth requirement needed to meet the identified accuracy requirements [RAN1]</w:t>
            </w:r>
          </w:p>
          <w:p w14:paraId="69C7DF68" w14:textId="77777777" w:rsidR="005D3D18" w:rsidRPr="00515A93" w:rsidRDefault="005D3D18" w:rsidP="005D3D18">
            <w:pPr>
              <w:widowControl w:val="0"/>
              <w:numPr>
                <w:ilvl w:val="1"/>
                <w:numId w:val="19"/>
              </w:numPr>
              <w:snapToGrid/>
              <w:spacing w:after="0" w:afterAutospacing="0"/>
              <w:rPr>
                <w:bCs/>
              </w:rPr>
            </w:pPr>
            <w:r w:rsidRPr="00515A93">
              <w:rPr>
                <w:bCs/>
              </w:rPr>
              <w:t>Study of positioning methods (</w:t>
            </w:r>
            <w:proofErr w:type="gramStart"/>
            <w:r w:rsidRPr="00515A93">
              <w:rPr>
                <w:bCs/>
              </w:rPr>
              <w:t>e.g.</w:t>
            </w:r>
            <w:proofErr w:type="gramEnd"/>
            <w:r w:rsidRPr="00515A93">
              <w:rPr>
                <w:bCs/>
              </w:rPr>
              <w:t xml:space="preserve"> TDOA, RTT, AOA/D, etc) including combination of SL positioning measurements with other RAT dependent positioning measurements (e.g. Uu based measurements) [RAN1]</w:t>
            </w:r>
          </w:p>
          <w:p w14:paraId="33D28FD8" w14:textId="77777777" w:rsidR="005D3D18" w:rsidRPr="00515A93" w:rsidRDefault="005D3D18" w:rsidP="005D3D18">
            <w:pPr>
              <w:widowControl w:val="0"/>
              <w:numPr>
                <w:ilvl w:val="1"/>
                <w:numId w:val="19"/>
              </w:numPr>
              <w:snapToGrid/>
              <w:spacing w:after="0" w:afterAutospacing="0"/>
              <w:rPr>
                <w:bCs/>
              </w:rPr>
            </w:pPr>
            <w:r w:rsidRPr="00515A93">
              <w:rPr>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2FE51CFF" w14:textId="77777777" w:rsidR="005D3D18" w:rsidRPr="00515A93" w:rsidRDefault="005D3D18" w:rsidP="005D3D18">
            <w:pPr>
              <w:widowControl w:val="0"/>
              <w:numPr>
                <w:ilvl w:val="1"/>
                <w:numId w:val="19"/>
              </w:numPr>
              <w:snapToGrid/>
              <w:spacing w:after="0" w:afterAutospacing="0"/>
              <w:rPr>
                <w:bCs/>
              </w:rPr>
            </w:pPr>
            <w:r w:rsidRPr="00515A93">
              <w:rPr>
                <w:bCs/>
              </w:rPr>
              <w:t>Study of positioning architecture and signalling procedures (</w:t>
            </w:r>
            <w:proofErr w:type="gramStart"/>
            <w:r w:rsidRPr="00515A93">
              <w:rPr>
                <w:bCs/>
              </w:rPr>
              <w:t>e.g.</w:t>
            </w:r>
            <w:proofErr w:type="gramEnd"/>
            <w:r w:rsidRPr="00515A93">
              <w:rPr>
                <w:bCs/>
              </w:rPr>
              <w:t xml:space="preserve"> configuration, measurement reporting, etc) to enable sidelink positioning covering both UE based and </w:t>
            </w:r>
            <w:r w:rsidRPr="00515A93">
              <w:rPr>
                <w:bCs/>
              </w:rPr>
              <w:lastRenderedPageBreak/>
              <w:t>network based positioning [RAN2, including coordination and alignment with RAN3 and SA2 as required]</w:t>
            </w:r>
          </w:p>
          <w:p w14:paraId="03964014" w14:textId="77777777" w:rsidR="005D3D18" w:rsidRPr="00CF2502" w:rsidRDefault="005D3D18" w:rsidP="00024731">
            <w:pPr>
              <w:ind w:left="1080"/>
            </w:pPr>
            <w:r w:rsidRPr="00515A93">
              <w:rPr>
                <w:bCs/>
              </w:rPr>
              <w:t>Note: When the bandwidth requirements have been det</w:t>
            </w:r>
            <w:r>
              <w:rPr>
                <w:bCs/>
              </w:rPr>
              <w:t>ermined and the study of sidelink communication in unlicensed spectrum has progressed, it can be reviewed whether unlicensed spectrum can be considered in further work. Checkpoint at RAN#97 to see if sufficient information is available for this review.</w:t>
            </w:r>
          </w:p>
        </w:tc>
      </w:tr>
    </w:tbl>
    <w:bookmarkEnd w:id="4"/>
    <w:p w14:paraId="3FA9F56A" w14:textId="5A6340C3" w:rsidR="005D3D18" w:rsidRDefault="005D3D18" w:rsidP="005D3D18">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on </w:t>
      </w:r>
      <w:r w:rsidRPr="005D3D18">
        <w:rPr>
          <w:rFonts w:eastAsia="ＭＳ 明朝"/>
          <w:color w:val="000000" w:themeColor="text1"/>
        </w:rPr>
        <w:t>potential solutions for SL positioning</w:t>
      </w:r>
      <w:r w:rsidRPr="00683FDE">
        <w:rPr>
          <w:rFonts w:eastAsia="ＭＳ 明朝"/>
          <w:color w:val="000000" w:themeColor="text1"/>
        </w:rPr>
        <w:t>.</w:t>
      </w:r>
    </w:p>
    <w:p w14:paraId="22D5DEC5" w14:textId="2F74CD5C" w:rsidR="004B3474" w:rsidRDefault="00656E99" w:rsidP="00E02008">
      <w:pPr>
        <w:pStyle w:val="10"/>
        <w:spacing w:after="180"/>
        <w:rPr>
          <w:color w:val="000000" w:themeColor="text1"/>
          <w:lang w:val="en-US"/>
        </w:rPr>
      </w:pPr>
      <w:r w:rsidRPr="00683FDE">
        <w:rPr>
          <w:color w:val="000000" w:themeColor="text1"/>
          <w:lang w:val="en-US"/>
        </w:rPr>
        <w:t>Discussions</w:t>
      </w:r>
    </w:p>
    <w:p w14:paraId="2EF708C8" w14:textId="6202CC31" w:rsidR="00322B14" w:rsidRDefault="003C61A4" w:rsidP="00322B14">
      <w:pPr>
        <w:pStyle w:val="20"/>
      </w:pPr>
      <w:r>
        <w:t>Positioning methods</w:t>
      </w:r>
    </w:p>
    <w:p w14:paraId="206066E5" w14:textId="50AE3639" w:rsidR="003C61A4" w:rsidRDefault="005D3D18" w:rsidP="003C61A4">
      <w:r>
        <w:t>In Rel-16</w:t>
      </w:r>
      <w:r w:rsidR="00CD3529">
        <w:t>, various location technologies to support regulatory as well as commercial use cases. Then, to address the higher accuracy, lower latency, high integrity and reliability requirements, the enhanced location technologies were introduced in Rel-17</w:t>
      </w:r>
      <w:r w:rsidR="00FF2206">
        <w:t xml:space="preserve"> [2]</w:t>
      </w:r>
      <w:r w:rsidR="00CD3529">
        <w:t>. Moreover, In Rel-18, the additional technologies to support improved positioning accuracy, integrity, and power efficiency (</w:t>
      </w:r>
      <w:proofErr w:type="gramStart"/>
      <w:r w:rsidR="00CD3529">
        <w:t>i.e.</w:t>
      </w:r>
      <w:proofErr w:type="gramEnd"/>
      <w:r w:rsidR="00CD3529">
        <w:t xml:space="preserve"> </w:t>
      </w:r>
      <w:r w:rsidR="00FF2206">
        <w:t>a</w:t>
      </w:r>
      <w:r w:rsidR="00CD3529">
        <w:t>genda item 9.5.2)</w:t>
      </w:r>
      <w:r w:rsidR="00CE6BB2">
        <w:t xml:space="preserve"> will be considered</w:t>
      </w:r>
      <w:r w:rsidR="00CD3529">
        <w:t>.</w:t>
      </w:r>
    </w:p>
    <w:p w14:paraId="352EDF11" w14:textId="3335BFCE" w:rsidR="00CD3529" w:rsidRPr="00CD3529" w:rsidRDefault="00CD3529" w:rsidP="003C61A4">
      <w:r>
        <w:t xml:space="preserve">For sidelink positioning, the target scenario/use cases will be discussed in </w:t>
      </w:r>
      <w:r w:rsidR="00FF2206">
        <w:t>a</w:t>
      </w:r>
      <w:r>
        <w:t xml:space="preserve">genda item 9.5.1.1. Once the </w:t>
      </w:r>
      <w:r w:rsidR="004347AC">
        <w:t xml:space="preserve">scenario/use cases are determined, the requirement for Rel-18 sidelink positioning would be clarified. Then, based on the requirement, </w:t>
      </w:r>
      <w:r w:rsidR="00DE06D5">
        <w:rPr>
          <w:rFonts w:eastAsia="ＭＳ 明朝"/>
        </w:rPr>
        <w:t xml:space="preserve">at least </w:t>
      </w:r>
      <w:r w:rsidR="00DE06D5">
        <w:t>whether</w:t>
      </w:r>
      <w:r w:rsidR="00C53AE1">
        <w:t>/which of</w:t>
      </w:r>
      <w:r w:rsidR="00DE06D5">
        <w:t xml:space="preserve"> the Rel-16/17 positioning technologies are </w:t>
      </w:r>
      <w:r w:rsidR="00C53AE1">
        <w:t>reused</w:t>
      </w:r>
      <w:r w:rsidR="00DE06D5">
        <w:t xml:space="preserve"> for sidelink positioning should be discussed</w:t>
      </w:r>
      <w:r w:rsidR="004347AC">
        <w:t>.</w:t>
      </w:r>
      <w:r w:rsidR="00DE06D5">
        <w:t xml:space="preserve"> It can be considered whether Rel-18 enhancements discussed under 9.5.2 are also applicable to sidelink, if necessary.</w:t>
      </w:r>
    </w:p>
    <w:p w14:paraId="12BC6327" w14:textId="300C10BD" w:rsidR="001D6F1E" w:rsidRPr="00BD4185" w:rsidRDefault="001D6F1E" w:rsidP="001D6F1E">
      <w:pPr>
        <w:rPr>
          <w:rFonts w:eastAsiaTheme="minorEastAsia" w:cs="Times"/>
        </w:rPr>
      </w:pPr>
      <w:bookmarkStart w:id="5" w:name="OLE_LINK28"/>
      <w:bookmarkStart w:id="6" w:name="OLE_LINK29"/>
      <w:bookmarkStart w:id="7" w:name="OLE_LINK30"/>
      <w:bookmarkStart w:id="8" w:name="OLE_LINK37"/>
      <w:bookmarkStart w:id="9" w:name="OLE_LINK38"/>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rFonts w:eastAsia="ＭＳ 明朝"/>
        </w:rPr>
        <w:t xml:space="preserve">As the potential positioning methods for sidelink, </w:t>
      </w:r>
      <w:r>
        <w:t>whether</w:t>
      </w:r>
      <w:r w:rsidR="00C53AE1">
        <w:t>/which of</w:t>
      </w:r>
      <w:r>
        <w:t xml:space="preserve"> the Rel-16/17 positioning technologies are </w:t>
      </w:r>
      <w:r w:rsidR="00C53AE1">
        <w:t>reused</w:t>
      </w:r>
      <w:r>
        <w:t xml:space="preserve"> for sidelink positioning should be discussed.</w:t>
      </w:r>
    </w:p>
    <w:p w14:paraId="02C77F24" w14:textId="4964C0F2" w:rsidR="003C61A4" w:rsidRDefault="003C61A4" w:rsidP="003C61A4">
      <w:pPr>
        <w:pStyle w:val="20"/>
      </w:pPr>
      <w:r>
        <w:t>S</w:t>
      </w:r>
      <w:r w:rsidRPr="003C61A4">
        <w:t xml:space="preserve">idelink reference signals </w:t>
      </w:r>
      <w:r>
        <w:t>for positioning purpose</w:t>
      </w:r>
    </w:p>
    <w:p w14:paraId="69666577" w14:textId="76CD8392" w:rsidR="004347AC" w:rsidRDefault="004347AC" w:rsidP="003C61A4">
      <w:r>
        <w:t>In Rel-16/17, as reference signals for positioning, PRS for DL positioning measurement and SRS</w:t>
      </w:r>
      <w:r w:rsidR="00B2251F">
        <w:t xml:space="preserve"> for positioning</w:t>
      </w:r>
      <w:r>
        <w:t xml:space="preserve"> for UL positioning measurement </w:t>
      </w:r>
      <w:r w:rsidR="00FF2206">
        <w:rPr>
          <w:rFonts w:hint="eastAsia"/>
        </w:rPr>
        <w:t>h</w:t>
      </w:r>
      <w:r w:rsidR="00FF2206">
        <w:t>ave been</w:t>
      </w:r>
      <w:r>
        <w:t xml:space="preserve"> ad</w:t>
      </w:r>
      <w:r w:rsidR="00B2251F">
        <w:t>o</w:t>
      </w:r>
      <w:r>
        <w:t>pted. For sidelink positioning, the starting point</w:t>
      </w:r>
      <w:r w:rsidR="00CE6BB2">
        <w:t xml:space="preserve"> </w:t>
      </w:r>
      <w:r w:rsidR="001419AB">
        <w:rPr>
          <w:rFonts w:eastAsia="ＭＳ 明朝"/>
        </w:rPr>
        <w:t>for the discussion</w:t>
      </w:r>
      <w:r w:rsidR="001419AB" w:rsidRPr="00FF2206">
        <w:rPr>
          <w:rFonts w:eastAsia="ＭＳ 明朝"/>
        </w:rPr>
        <w:t xml:space="preserve"> </w:t>
      </w:r>
      <w:r w:rsidR="00CE6BB2">
        <w:t xml:space="preserve">of the required reference signal should be these PRS and SRS </w:t>
      </w:r>
      <w:r w:rsidR="00B2251F">
        <w:t xml:space="preserve">for positioning </w:t>
      </w:r>
      <w:r w:rsidR="00CE6BB2">
        <w:t>structure.</w:t>
      </w:r>
    </w:p>
    <w:p w14:paraId="06067895" w14:textId="414CB017" w:rsidR="00082234" w:rsidRDefault="00665D95" w:rsidP="001419AB">
      <w:r>
        <w:t>For the detailed structure of the reference signals, the situation to apply the reference signals may be different with Rel-16/17 positioning cases.</w:t>
      </w:r>
      <w:r w:rsidR="008F3B0D">
        <w:t xml:space="preserve"> </w:t>
      </w:r>
      <w:r>
        <w:t xml:space="preserve">For example, when the PRS is applied on sidelink positioning, each sidelink UE may transmit the PRS and the </w:t>
      </w:r>
      <w:r w:rsidR="008F3B0D">
        <w:t xml:space="preserve">occupancy by the signalled PRSs may be drastically increased compared with </w:t>
      </w:r>
      <w:r>
        <w:t>the case of DL PRS measurement. On the other hand, the required transmission power for sidelink positioning may be lower than the DL PRS.</w:t>
      </w:r>
      <w:r w:rsidR="008F3B0D">
        <w:t xml:space="preserve"> </w:t>
      </w:r>
      <w:r w:rsidR="00082234">
        <w:t xml:space="preserve">When </w:t>
      </w:r>
      <w:r>
        <w:t xml:space="preserve">the required resources/periodicity </w:t>
      </w:r>
      <w:r w:rsidR="004C06E8">
        <w:t xml:space="preserve">for </w:t>
      </w:r>
      <w:r w:rsidR="008F3B0D">
        <w:t xml:space="preserve">each </w:t>
      </w:r>
      <w:r w:rsidR="004C06E8">
        <w:t xml:space="preserve">reference signal </w:t>
      </w:r>
      <w:r w:rsidR="00082234">
        <w:t>is</w:t>
      </w:r>
      <w:r>
        <w:t xml:space="preserve"> </w:t>
      </w:r>
      <w:r w:rsidR="008F3B0D">
        <w:t>studi</w:t>
      </w:r>
      <w:r>
        <w:t>ed</w:t>
      </w:r>
      <w:r w:rsidR="00082234">
        <w:t>, the consideration such differences is necessary</w:t>
      </w:r>
      <w:r>
        <w:t>.</w:t>
      </w:r>
    </w:p>
    <w:p w14:paraId="238A6006" w14:textId="019E3F1D" w:rsidR="00CE6BB2" w:rsidRPr="008F3B0D" w:rsidRDefault="00082234" w:rsidP="001419AB">
      <w:r>
        <w:t>At the same time</w:t>
      </w:r>
      <w:r w:rsidR="00CE6BB2">
        <w:t xml:space="preserve">, the achievable performance of latency and/or accuracy and the overhead of </w:t>
      </w:r>
      <w:r w:rsidR="00FF2206">
        <w:t xml:space="preserve">the </w:t>
      </w:r>
      <w:r w:rsidR="00CE6BB2">
        <w:t>reference</w:t>
      </w:r>
      <w:r w:rsidR="00FF2206">
        <w:t xml:space="preserve"> signals are in a trade-off relationship. </w:t>
      </w:r>
      <w:r>
        <w:t>W</w:t>
      </w:r>
      <w:r>
        <w:rPr>
          <w:rFonts w:eastAsia="ＭＳ 明朝"/>
        </w:rPr>
        <w:t xml:space="preserve">hen </w:t>
      </w:r>
      <w:r>
        <w:t>the reference signal for sidelink positioning is designed,</w:t>
      </w:r>
      <w:r>
        <w:rPr>
          <w:rFonts w:eastAsia="ＭＳ 明朝"/>
        </w:rPr>
        <w:t xml:space="preserve"> </w:t>
      </w:r>
      <w:r w:rsidR="001419AB">
        <w:rPr>
          <w:rFonts w:eastAsia="ＭＳ 明朝"/>
        </w:rPr>
        <w:t>the trade-off between the performance of sidelink positioning and t</w:t>
      </w:r>
      <w:r w:rsidR="001419AB" w:rsidRPr="00FF2206">
        <w:rPr>
          <w:rFonts w:eastAsia="ＭＳ 明朝"/>
        </w:rPr>
        <w:t>he overhead of the reference signal</w:t>
      </w:r>
      <w:r w:rsidR="00665D95">
        <w:rPr>
          <w:rFonts w:eastAsia="ＭＳ 明朝"/>
        </w:rPr>
        <w:t>s</w:t>
      </w:r>
      <w:r w:rsidR="001419AB" w:rsidRPr="00FF2206">
        <w:rPr>
          <w:rFonts w:eastAsia="ＭＳ 明朝"/>
        </w:rPr>
        <w:t xml:space="preserve"> should be </w:t>
      </w:r>
      <w:r>
        <w:rPr>
          <w:rFonts w:eastAsia="ＭＳ 明朝"/>
        </w:rPr>
        <w:t>considere</w:t>
      </w:r>
      <w:r w:rsidR="001419AB">
        <w:rPr>
          <w:rFonts w:eastAsia="ＭＳ 明朝"/>
        </w:rPr>
        <w:t>d.</w:t>
      </w:r>
    </w:p>
    <w:bookmarkEnd w:id="5"/>
    <w:bookmarkEnd w:id="6"/>
    <w:bookmarkEnd w:id="7"/>
    <w:bookmarkEnd w:id="8"/>
    <w:bookmarkEnd w:id="9"/>
    <w:p w14:paraId="79D49C20" w14:textId="77777777" w:rsidR="001D6F1E" w:rsidRDefault="001D6F1E" w:rsidP="001D6F1E">
      <w:pPr>
        <w:spacing w:after="0" w:afterAutospacing="0"/>
        <w:rPr>
          <w:rFonts w:eastAsia="ＭＳ 明朝"/>
        </w:rPr>
      </w:pPr>
      <w:r w:rsidRPr="00BD4185">
        <w:rPr>
          <w:rFonts w:eastAsiaTheme="minorEastAsia" w:cs="Times"/>
          <w:b/>
          <w:bCs/>
          <w:u w:val="single"/>
        </w:rPr>
        <w:lastRenderedPageBreak/>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sidRPr="00FF2206">
        <w:rPr>
          <w:rFonts w:eastAsia="ＭＳ 明朝"/>
        </w:rPr>
        <w:t>For reference signal</w:t>
      </w:r>
      <w:r>
        <w:rPr>
          <w:rFonts w:eastAsia="ＭＳ 明朝"/>
        </w:rPr>
        <w:t>s</w:t>
      </w:r>
      <w:r w:rsidRPr="00FF2206">
        <w:rPr>
          <w:rFonts w:eastAsia="ＭＳ 明朝"/>
        </w:rPr>
        <w:t xml:space="preserve"> for sidelink positioning, the starting point </w:t>
      </w:r>
      <w:r>
        <w:rPr>
          <w:rFonts w:eastAsia="ＭＳ 明朝"/>
        </w:rPr>
        <w:t>for the discussion</w:t>
      </w:r>
      <w:r w:rsidRPr="00FF2206">
        <w:rPr>
          <w:rFonts w:eastAsia="ＭＳ 明朝"/>
        </w:rPr>
        <w:t xml:space="preserve"> of the structure</w:t>
      </w:r>
      <w:r>
        <w:rPr>
          <w:rFonts w:eastAsia="ＭＳ 明朝"/>
        </w:rPr>
        <w:t xml:space="preserve"> </w:t>
      </w:r>
      <w:r w:rsidRPr="00FF2206">
        <w:rPr>
          <w:rFonts w:eastAsia="ＭＳ 明朝"/>
        </w:rPr>
        <w:t xml:space="preserve">is PRS </w:t>
      </w:r>
      <w:r>
        <w:rPr>
          <w:rFonts w:eastAsia="ＭＳ 明朝" w:hint="eastAsia"/>
        </w:rPr>
        <w:t>a</w:t>
      </w:r>
      <w:r>
        <w:rPr>
          <w:rFonts w:eastAsia="ＭＳ 明朝"/>
        </w:rPr>
        <w:t>nd</w:t>
      </w:r>
      <w:r w:rsidRPr="00FF2206">
        <w:rPr>
          <w:rFonts w:eastAsia="ＭＳ 明朝"/>
        </w:rPr>
        <w:t xml:space="preserve"> SRS </w:t>
      </w:r>
      <w:r>
        <w:rPr>
          <w:rFonts w:eastAsia="ＭＳ 明朝"/>
        </w:rPr>
        <w:t>for positioning in Rel-16/17.</w:t>
      </w:r>
    </w:p>
    <w:p w14:paraId="6C7673A1" w14:textId="77777777" w:rsidR="001D6F1E" w:rsidRPr="001D6F1E" w:rsidRDefault="001D6F1E" w:rsidP="001D6F1E">
      <w:pPr>
        <w:pStyle w:val="aff9"/>
        <w:numPr>
          <w:ilvl w:val="0"/>
          <w:numId w:val="25"/>
        </w:numPr>
        <w:spacing w:after="0" w:afterAutospacing="0"/>
        <w:ind w:firstLineChars="0"/>
        <w:rPr>
          <w:rFonts w:eastAsia="ＭＳ 明朝"/>
        </w:rPr>
      </w:pPr>
      <w:r>
        <w:t>The difference of the SL environment from DL/UL should be considered</w:t>
      </w:r>
    </w:p>
    <w:p w14:paraId="173ED902" w14:textId="77777777" w:rsidR="001D6F1E" w:rsidRPr="001D6F1E" w:rsidRDefault="001D6F1E" w:rsidP="001D6F1E">
      <w:pPr>
        <w:pStyle w:val="aff9"/>
        <w:numPr>
          <w:ilvl w:val="0"/>
          <w:numId w:val="25"/>
        </w:numPr>
        <w:ind w:firstLineChars="0"/>
        <w:rPr>
          <w:rFonts w:eastAsia="ＭＳ 明朝"/>
        </w:rPr>
      </w:pPr>
      <w:r>
        <w:rPr>
          <w:rFonts w:eastAsia="ＭＳ 明朝"/>
        </w:rPr>
        <w:t>T</w:t>
      </w:r>
      <w:r w:rsidRPr="001D6F1E">
        <w:rPr>
          <w:rFonts w:eastAsia="ＭＳ 明朝"/>
        </w:rPr>
        <w:t>he trade-off between the performance of sidelink positioning and the overhead of the reference signals should be considered</w:t>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620E3013"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proposals:</w:t>
      </w:r>
    </w:p>
    <w:bookmarkEnd w:id="3"/>
    <w:p w14:paraId="75BEAE0F" w14:textId="77777777" w:rsidR="00C53AE1" w:rsidRPr="00BD4185" w:rsidRDefault="00C53AE1" w:rsidP="00C53AE1">
      <w:pPr>
        <w:rPr>
          <w:rFonts w:eastAsiaTheme="minorEastAsia" w:cs="Times"/>
        </w:rPr>
      </w:pPr>
      <w:r w:rsidRPr="00BD4185">
        <w:rPr>
          <w:rFonts w:eastAsiaTheme="minorEastAsia" w:cs="Times"/>
          <w:b/>
          <w:bCs/>
          <w:u w:val="single"/>
        </w:rPr>
        <w:t xml:space="preserve">Proposal </w:t>
      </w:r>
      <w:r>
        <w:rPr>
          <w:rFonts w:eastAsiaTheme="minorEastAsia" w:cs="Times"/>
          <w:b/>
          <w:bCs/>
          <w:u w:val="single"/>
        </w:rPr>
        <w:t>1</w:t>
      </w:r>
      <w:r w:rsidRPr="00BD4185">
        <w:rPr>
          <w:rFonts w:eastAsiaTheme="minorEastAsia" w:cs="Times"/>
          <w:b/>
          <w:bCs/>
          <w:u w:val="single"/>
        </w:rPr>
        <w:t>:</w:t>
      </w:r>
      <w:r w:rsidRPr="00BD4185">
        <w:rPr>
          <w:rFonts w:eastAsiaTheme="minorEastAsia" w:cs="Times"/>
        </w:rPr>
        <w:t xml:space="preserve"> </w:t>
      </w:r>
      <w:r>
        <w:rPr>
          <w:rFonts w:eastAsia="ＭＳ 明朝"/>
        </w:rPr>
        <w:t xml:space="preserve">As the potential positioning methods for sidelink, </w:t>
      </w:r>
      <w:r>
        <w:t>whether/which of the Rel-16/17 positioning technologies are reused for sidelink positioning should be discussed.</w:t>
      </w:r>
    </w:p>
    <w:p w14:paraId="4179A699" w14:textId="603493CD" w:rsidR="001D6F1E" w:rsidRDefault="001D6F1E" w:rsidP="001D6F1E">
      <w:pPr>
        <w:spacing w:after="0" w:afterAutospacing="0"/>
        <w:rPr>
          <w:rFonts w:eastAsia="ＭＳ 明朝"/>
        </w:rPr>
      </w:pPr>
      <w:r w:rsidRPr="00BD4185">
        <w:rPr>
          <w:rFonts w:eastAsiaTheme="minorEastAsia" w:cs="Times"/>
          <w:b/>
          <w:bCs/>
          <w:u w:val="single"/>
        </w:rPr>
        <w:t xml:space="preserve">Proposal </w:t>
      </w:r>
      <w:r>
        <w:rPr>
          <w:rFonts w:eastAsiaTheme="minorEastAsia" w:cs="Times"/>
          <w:b/>
          <w:bCs/>
          <w:u w:val="single"/>
        </w:rPr>
        <w:t>2</w:t>
      </w:r>
      <w:r w:rsidRPr="00BD4185">
        <w:rPr>
          <w:rFonts w:eastAsiaTheme="minorEastAsia" w:cs="Times"/>
          <w:b/>
          <w:bCs/>
          <w:u w:val="single"/>
        </w:rPr>
        <w:t>:</w:t>
      </w:r>
      <w:r w:rsidRPr="00BD4185">
        <w:rPr>
          <w:rFonts w:eastAsiaTheme="minorEastAsia" w:cs="Times"/>
        </w:rPr>
        <w:t xml:space="preserve"> </w:t>
      </w:r>
      <w:r w:rsidRPr="00FF2206">
        <w:rPr>
          <w:rFonts w:eastAsia="ＭＳ 明朝"/>
        </w:rPr>
        <w:t>For reference signal</w:t>
      </w:r>
      <w:r>
        <w:rPr>
          <w:rFonts w:eastAsia="ＭＳ 明朝"/>
        </w:rPr>
        <w:t>s</w:t>
      </w:r>
      <w:r w:rsidRPr="00FF2206">
        <w:rPr>
          <w:rFonts w:eastAsia="ＭＳ 明朝"/>
        </w:rPr>
        <w:t xml:space="preserve"> for sidelink positioning, the starting point </w:t>
      </w:r>
      <w:r>
        <w:rPr>
          <w:rFonts w:eastAsia="ＭＳ 明朝"/>
        </w:rPr>
        <w:t>for the discussion</w:t>
      </w:r>
      <w:r w:rsidRPr="00FF2206">
        <w:rPr>
          <w:rFonts w:eastAsia="ＭＳ 明朝"/>
        </w:rPr>
        <w:t xml:space="preserve"> of the structure</w:t>
      </w:r>
      <w:r>
        <w:rPr>
          <w:rFonts w:eastAsia="ＭＳ 明朝"/>
        </w:rPr>
        <w:t xml:space="preserve"> </w:t>
      </w:r>
      <w:r w:rsidRPr="00FF2206">
        <w:rPr>
          <w:rFonts w:eastAsia="ＭＳ 明朝"/>
        </w:rPr>
        <w:t xml:space="preserve">is PRS </w:t>
      </w:r>
      <w:r>
        <w:rPr>
          <w:rFonts w:eastAsia="ＭＳ 明朝" w:hint="eastAsia"/>
        </w:rPr>
        <w:t>a</w:t>
      </w:r>
      <w:r>
        <w:rPr>
          <w:rFonts w:eastAsia="ＭＳ 明朝"/>
        </w:rPr>
        <w:t>nd</w:t>
      </w:r>
      <w:r w:rsidRPr="00FF2206">
        <w:rPr>
          <w:rFonts w:eastAsia="ＭＳ 明朝"/>
        </w:rPr>
        <w:t xml:space="preserve"> SRS </w:t>
      </w:r>
      <w:r>
        <w:rPr>
          <w:rFonts w:eastAsia="ＭＳ 明朝"/>
        </w:rPr>
        <w:t>for positioning in Rel-16/17.</w:t>
      </w:r>
    </w:p>
    <w:p w14:paraId="6AC28A0C" w14:textId="5A61CF9C" w:rsidR="001D6F1E" w:rsidRPr="001D6F1E" w:rsidRDefault="001D6F1E" w:rsidP="001D6F1E">
      <w:pPr>
        <w:pStyle w:val="aff9"/>
        <w:numPr>
          <w:ilvl w:val="0"/>
          <w:numId w:val="25"/>
        </w:numPr>
        <w:spacing w:after="0" w:afterAutospacing="0"/>
        <w:ind w:firstLineChars="0"/>
        <w:rPr>
          <w:rFonts w:eastAsia="ＭＳ 明朝"/>
        </w:rPr>
      </w:pPr>
      <w:r>
        <w:t>The difference of the SL environment from DL/UL should be considered</w:t>
      </w:r>
    </w:p>
    <w:p w14:paraId="5DCA3660" w14:textId="75666D22" w:rsidR="003514E4" w:rsidRPr="001D6F1E" w:rsidRDefault="001D6F1E" w:rsidP="001D6F1E">
      <w:pPr>
        <w:pStyle w:val="aff9"/>
        <w:numPr>
          <w:ilvl w:val="0"/>
          <w:numId w:val="25"/>
        </w:numPr>
        <w:ind w:firstLineChars="0"/>
        <w:rPr>
          <w:rFonts w:eastAsia="ＭＳ 明朝"/>
        </w:rPr>
      </w:pPr>
      <w:r>
        <w:rPr>
          <w:rFonts w:eastAsia="ＭＳ 明朝"/>
        </w:rPr>
        <w:t>T</w:t>
      </w:r>
      <w:r w:rsidR="003514E4" w:rsidRPr="001D6F1E">
        <w:rPr>
          <w:rFonts w:eastAsia="ＭＳ 明朝"/>
        </w:rPr>
        <w:t>he trade-off between the performance of sidelink positioning and the overhead of the reference signals should be considered</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5B77069D" w14:textId="77777777" w:rsidR="00947C95" w:rsidRDefault="00947C95" w:rsidP="00947C95">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 xml:space="preserve">P-213588, </w:t>
      </w:r>
      <w:r w:rsidRPr="001038C3">
        <w:rPr>
          <w:color w:val="000000" w:themeColor="text1"/>
          <w:szCs w:val="24"/>
          <w:lang w:eastAsia="ja-JP"/>
        </w:rPr>
        <w:t>Revised SID on Study on expanded and improved NR positioning</w:t>
      </w:r>
      <w:r>
        <w:rPr>
          <w:color w:val="000000" w:themeColor="text1"/>
          <w:szCs w:val="24"/>
          <w:lang w:eastAsia="ja-JP"/>
        </w:rPr>
        <w:t>, Intel, Dec. 2021</w:t>
      </w:r>
    </w:p>
    <w:p w14:paraId="7B23C1D7" w14:textId="7780E786" w:rsidR="00D451B2" w:rsidRPr="00A21948" w:rsidRDefault="00FF2206" w:rsidP="00A21948">
      <w:pPr>
        <w:pStyle w:val="textintend2"/>
        <w:rPr>
          <w:color w:val="000000" w:themeColor="text1"/>
          <w:szCs w:val="24"/>
        </w:rPr>
      </w:pPr>
      <w:r w:rsidRPr="00FF2206">
        <w:rPr>
          <w:color w:val="000000" w:themeColor="text1"/>
          <w:szCs w:val="24"/>
        </w:rPr>
        <w:t>RP-210903</w:t>
      </w:r>
      <w:r>
        <w:rPr>
          <w:color w:val="000000" w:themeColor="text1"/>
          <w:szCs w:val="24"/>
        </w:rPr>
        <w:t xml:space="preserve">, </w:t>
      </w:r>
      <w:r w:rsidRPr="00FF2206">
        <w:rPr>
          <w:color w:val="000000" w:themeColor="text1"/>
          <w:szCs w:val="24"/>
        </w:rPr>
        <w:t>Revised WID on NR Positioning Enhancements</w:t>
      </w:r>
      <w:r>
        <w:rPr>
          <w:color w:val="000000" w:themeColor="text1"/>
          <w:szCs w:val="24"/>
        </w:rPr>
        <w:t>, Intel, CATT, Mar</w:t>
      </w:r>
      <w:r w:rsidR="00A21948">
        <w:rPr>
          <w:color w:val="000000" w:themeColor="text1"/>
          <w:szCs w:val="24"/>
        </w:rPr>
        <w:t>. 2021</w:t>
      </w:r>
    </w:p>
    <w:sectPr w:rsidR="00D451B2" w:rsidRPr="00A21948"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8A01A" w14:textId="77777777" w:rsidR="00BD4144" w:rsidRDefault="00BD4144">
      <w:r>
        <w:separator/>
      </w:r>
    </w:p>
  </w:endnote>
  <w:endnote w:type="continuationSeparator" w:id="0">
    <w:p w14:paraId="63F58C0F" w14:textId="77777777" w:rsidR="00BD4144" w:rsidRDefault="00BD4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EC431" w14:textId="77777777" w:rsidR="00BD4144" w:rsidRDefault="00BD4144">
      <w:r>
        <w:separator/>
      </w:r>
    </w:p>
  </w:footnote>
  <w:footnote w:type="continuationSeparator" w:id="0">
    <w:p w14:paraId="171663E8" w14:textId="77777777" w:rsidR="00BD4144" w:rsidRDefault="00BD41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0188F"/>
    <w:multiLevelType w:val="hybridMultilevel"/>
    <w:tmpl w:val="9B244356"/>
    <w:lvl w:ilvl="0" w:tplc="8E06F930">
      <w:start w:val="3"/>
      <w:numFmt w:val="bullet"/>
      <w:lvlText w:val="-"/>
      <w:lvlJc w:val="left"/>
      <w:pPr>
        <w:ind w:left="420" w:hanging="420"/>
      </w:pPr>
      <w:rPr>
        <w:rFonts w:ascii="Calibri" w:eastAsia="SimSun" w:hAnsi="Calibri" w:cs="Calibri" w:hint="default"/>
      </w:rPr>
    </w:lvl>
    <w:lvl w:ilvl="1" w:tplc="8E06F930">
      <w:start w:val="3"/>
      <w:numFmt w:val="bullet"/>
      <w:lvlText w:val="-"/>
      <w:lvlJc w:val="left"/>
      <w:pPr>
        <w:ind w:left="840" w:hanging="420"/>
      </w:pPr>
      <w:rPr>
        <w:rFonts w:ascii="Calibri" w:eastAsia="SimSun" w:hAnsi="Calibri" w:cs="Calibri"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193FFC"/>
    <w:multiLevelType w:val="hybridMultilevel"/>
    <w:tmpl w:val="9CD87A06"/>
    <w:lvl w:ilvl="0" w:tplc="8E06F930">
      <w:start w:val="3"/>
      <w:numFmt w:val="bullet"/>
      <w:lvlText w:val="-"/>
      <w:lvlJc w:val="left"/>
      <w:pPr>
        <w:ind w:left="420" w:hanging="420"/>
      </w:pPr>
      <w:rPr>
        <w:rFonts w:ascii="Calibri" w:eastAsia="SimSu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8"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F7A4BE2"/>
    <w:multiLevelType w:val="hybridMultilevel"/>
    <w:tmpl w:val="CA2ED76C"/>
    <w:lvl w:ilvl="0" w:tplc="8E06F930">
      <w:start w:val="3"/>
      <w:numFmt w:val="bullet"/>
      <w:lvlText w:val="-"/>
      <w:lvlJc w:val="left"/>
      <w:pPr>
        <w:ind w:left="420" w:hanging="420"/>
      </w:pPr>
      <w:rPr>
        <w:rFonts w:ascii="Calibri" w:eastAsia="SimSun" w:hAnsi="Calibri" w:cs="Calibri"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D31AFC"/>
    <w:multiLevelType w:val="hybridMultilevel"/>
    <w:tmpl w:val="F18AC6E4"/>
    <w:lvl w:ilvl="0" w:tplc="1758E808">
      <w:numFmt w:val="bullet"/>
      <w:lvlText w:val="-"/>
      <w:lvlJc w:val="left"/>
      <w:pPr>
        <w:ind w:left="420" w:hanging="420"/>
      </w:pPr>
      <w:rPr>
        <w:rFonts w:ascii="Arial" w:eastAsia="ＭＳ 明朝" w:hAnsi="Arial" w:cs="Arial" w:hint="default"/>
      </w:rPr>
    </w:lvl>
    <w:lvl w:ilvl="1" w:tplc="1758E808">
      <w:numFmt w:val="bullet"/>
      <w:lvlText w:val="-"/>
      <w:lvlJc w:val="left"/>
      <w:pPr>
        <w:ind w:left="840" w:hanging="420"/>
      </w:pPr>
      <w:rPr>
        <w:rFonts w:ascii="Arial" w:eastAsia="ＭＳ 明朝"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333FBE"/>
    <w:multiLevelType w:val="hybridMultilevel"/>
    <w:tmpl w:val="3D241894"/>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9C14376"/>
    <w:multiLevelType w:val="hybridMultilevel"/>
    <w:tmpl w:val="7D5EE7A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3"/>
  </w:num>
  <w:num w:numId="3">
    <w:abstractNumId w:val="6"/>
  </w:num>
  <w:num w:numId="4">
    <w:abstractNumId w:val="21"/>
  </w:num>
  <w:num w:numId="5">
    <w:abstractNumId w:val="13"/>
  </w:num>
  <w:num w:numId="6">
    <w:abstractNumId w:val="14"/>
  </w:num>
  <w:num w:numId="7">
    <w:abstractNumId w:val="11"/>
  </w:num>
  <w:num w:numId="8">
    <w:abstractNumId w:val="2"/>
  </w:num>
  <w:num w:numId="9">
    <w:abstractNumId w:val="22"/>
  </w:num>
  <w:num w:numId="10">
    <w:abstractNumId w:val="9"/>
  </w:num>
  <w:num w:numId="11">
    <w:abstractNumId w:val="17"/>
  </w:num>
  <w:num w:numId="12">
    <w:abstractNumId w:val="4"/>
  </w:num>
  <w:num w:numId="13">
    <w:abstractNumId w:val="8"/>
  </w:num>
  <w:num w:numId="14">
    <w:abstractNumId w:val="4"/>
  </w:num>
  <w:num w:numId="15">
    <w:abstractNumId w:val="18"/>
  </w:num>
  <w:num w:numId="16">
    <w:abstractNumId w:val="5"/>
  </w:num>
  <w:num w:numId="17">
    <w:abstractNumId w:val="7"/>
  </w:num>
  <w:num w:numId="18">
    <w:abstractNumId w:val="12"/>
  </w:num>
  <w:num w:numId="19">
    <w:abstractNumId w:val="10"/>
  </w:num>
  <w:num w:numId="20">
    <w:abstractNumId w:val="19"/>
  </w:num>
  <w:num w:numId="21">
    <w:abstractNumId w:val="23"/>
  </w:num>
  <w:num w:numId="22">
    <w:abstractNumId w:val="16"/>
  </w:num>
  <w:num w:numId="23">
    <w:abstractNumId w:val="1"/>
  </w:num>
  <w:num w:numId="24">
    <w:abstractNumId w:val="15"/>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234"/>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9AB"/>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8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6F1E"/>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4E4"/>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1A4"/>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7AC"/>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1E5A"/>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4E4E"/>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6E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A93"/>
    <w:rsid w:val="00516BA6"/>
    <w:rsid w:val="005175C0"/>
    <w:rsid w:val="00517940"/>
    <w:rsid w:val="00517ACE"/>
    <w:rsid w:val="005207C6"/>
    <w:rsid w:val="00520FAC"/>
    <w:rsid w:val="00521A75"/>
    <w:rsid w:val="00521C35"/>
    <w:rsid w:val="00521C73"/>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3D18"/>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2F5"/>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A84"/>
    <w:rsid w:val="00665D95"/>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029"/>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1799"/>
    <w:rsid w:val="007A202C"/>
    <w:rsid w:val="007A2BA8"/>
    <w:rsid w:val="007A2DA1"/>
    <w:rsid w:val="007A2F82"/>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AE"/>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B0D"/>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51E"/>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C95"/>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4C2"/>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948"/>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55E"/>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945"/>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1F"/>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44"/>
    <w:rsid w:val="00BD4185"/>
    <w:rsid w:val="00BD508A"/>
    <w:rsid w:val="00BD51CE"/>
    <w:rsid w:val="00BD5293"/>
    <w:rsid w:val="00BD5648"/>
    <w:rsid w:val="00BD5BF5"/>
    <w:rsid w:val="00BD5F03"/>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AE1"/>
    <w:rsid w:val="00C53C03"/>
    <w:rsid w:val="00C545CA"/>
    <w:rsid w:val="00C547E9"/>
    <w:rsid w:val="00C5480A"/>
    <w:rsid w:val="00C54A42"/>
    <w:rsid w:val="00C54ABE"/>
    <w:rsid w:val="00C54AF7"/>
    <w:rsid w:val="00C54EAF"/>
    <w:rsid w:val="00C5551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529"/>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186"/>
    <w:rsid w:val="00CE5337"/>
    <w:rsid w:val="00CE5BFC"/>
    <w:rsid w:val="00CE621A"/>
    <w:rsid w:val="00CE623A"/>
    <w:rsid w:val="00CE6BB2"/>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6D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581F"/>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206"/>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899</Words>
  <Characters>5125</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2</cp:revision>
  <cp:lastPrinted>2019-02-13T08:31:00Z</cp:lastPrinted>
  <dcterms:created xsi:type="dcterms:W3CDTF">2022-04-28T10:00:00Z</dcterms:created>
  <dcterms:modified xsi:type="dcterms:W3CDTF">2022-04-28T10:00:00Z</dcterms:modified>
</cp:coreProperties>
</file>