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AEAE5" w14:textId="6E496492" w:rsidR="00715169" w:rsidRPr="00715169" w:rsidRDefault="00715169" w:rsidP="0071516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715169">
        <w:rPr>
          <w:rFonts w:ascii="Arial" w:eastAsia="바탕" w:hAnsi="Arial" w:cs="Arial"/>
          <w:b/>
          <w:bCs/>
          <w:sz w:val="28"/>
          <w:szCs w:val="24"/>
        </w:rPr>
        <w:t>3GPP TSG RAN WG1 #109-e</w:t>
      </w:r>
      <w:r w:rsidRPr="00715169">
        <w:rPr>
          <w:rFonts w:ascii="Arial" w:eastAsia="바탕" w:hAnsi="Arial" w:cs="Arial"/>
          <w:b/>
          <w:bCs/>
          <w:sz w:val="28"/>
          <w:szCs w:val="24"/>
        </w:rPr>
        <w:tab/>
      </w:r>
      <w:r w:rsidRPr="00715169">
        <w:rPr>
          <w:rFonts w:ascii="Arial" w:eastAsia="바탕" w:hAnsi="Arial" w:cs="Arial"/>
          <w:b/>
          <w:bCs/>
          <w:sz w:val="28"/>
          <w:szCs w:val="24"/>
        </w:rPr>
        <w:tab/>
      </w:r>
      <w:r w:rsidR="00BA0A1F">
        <w:rPr>
          <w:rFonts w:ascii="Arial" w:eastAsia="바탕" w:hAnsi="Arial" w:cs="Arial"/>
          <w:b/>
          <w:bCs/>
          <w:sz w:val="28"/>
          <w:szCs w:val="24"/>
        </w:rPr>
        <w:t xml:space="preserve">                         </w:t>
      </w:r>
      <w:r w:rsidR="00BA0A1F" w:rsidRPr="00BA0A1F">
        <w:rPr>
          <w:rFonts w:ascii="Arial" w:eastAsia="바탕" w:hAnsi="Arial" w:cs="Arial"/>
          <w:b/>
          <w:bCs/>
          <w:sz w:val="28"/>
          <w:szCs w:val="24"/>
        </w:rPr>
        <w:t>R1-2204615</w:t>
      </w:r>
    </w:p>
    <w:p w14:paraId="62421E91" w14:textId="77777777" w:rsidR="00715169" w:rsidRPr="00715169" w:rsidRDefault="00715169" w:rsidP="00715169">
      <w:pPr>
        <w:tabs>
          <w:tab w:val="center" w:pos="4536"/>
          <w:tab w:val="right" w:pos="9072"/>
        </w:tabs>
        <w:spacing w:before="0" w:after="0" w:line="240" w:lineRule="auto"/>
        <w:ind w:left="0" w:firstLine="0"/>
        <w:jc w:val="left"/>
        <w:rPr>
          <w:rFonts w:ascii="Arial" w:hAnsi="Arial" w:cs="Arial"/>
          <w:b/>
          <w:bCs/>
          <w:sz w:val="28"/>
          <w:szCs w:val="24"/>
          <w:lang w:eastAsia="ja-JP"/>
        </w:rPr>
      </w:pPr>
      <w:r w:rsidRPr="00715169">
        <w:rPr>
          <w:rFonts w:ascii="Arial" w:hAnsi="Arial" w:cs="Arial"/>
          <w:b/>
          <w:bCs/>
          <w:sz w:val="28"/>
          <w:szCs w:val="24"/>
          <w:lang w:eastAsia="ja-JP"/>
        </w:rPr>
        <w:t>e-Meeting, May 9</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xml:space="preserve"> – 20</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2022</w:t>
      </w:r>
    </w:p>
    <w:p w14:paraId="47200AEB" w14:textId="77777777" w:rsidR="000D41C4" w:rsidRPr="00715169" w:rsidRDefault="000D41C4" w:rsidP="00634235">
      <w:pPr>
        <w:tabs>
          <w:tab w:val="left" w:pos="1985"/>
        </w:tabs>
        <w:spacing w:after="0"/>
        <w:ind w:left="0" w:firstLine="0"/>
        <w:rPr>
          <w:rFonts w:ascii="Arial" w:eastAsia="맑은 고딕" w:hAnsi="Arial"/>
          <w:b/>
          <w:sz w:val="24"/>
          <w:lang w:eastAsia="ko-KR"/>
        </w:rPr>
      </w:pPr>
    </w:p>
    <w:p w14:paraId="334FB070" w14:textId="7C0BF46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715169">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5B5E59F"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715169" w:rsidRPr="00715169">
        <w:rPr>
          <w:rFonts w:ascii="Arial" w:eastAsia="바탕" w:hAnsi="Arial" w:cs="Arial"/>
          <w:sz w:val="24"/>
          <w:szCs w:val="24"/>
          <w:lang w:val="en-US" w:eastAsia="ko-KR"/>
        </w:rPr>
        <w:t>Remaining issues of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00B40E84"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w:t>
      </w:r>
      <w:r w:rsidR="00761DBB">
        <w:rPr>
          <w:rFonts w:eastAsia="바탕" w:hint="eastAsia"/>
          <w:bCs/>
          <w:sz w:val="22"/>
          <w:szCs w:val="22"/>
          <w:lang w:val="en-US" w:eastAsia="ko-KR"/>
        </w:rPr>
        <w:t xml:space="preserve">QCL </w:t>
      </w:r>
      <w:r w:rsidR="00E213DA">
        <w:rPr>
          <w:rFonts w:eastAsia="바탕" w:hint="eastAsia"/>
          <w:bCs/>
          <w:sz w:val="22"/>
          <w:szCs w:val="22"/>
          <w:lang w:val="en-US" w:eastAsia="ko-KR"/>
        </w:rPr>
        <w:t>assumptions for multiple PDSCHs</w:t>
      </w:r>
      <w:r w:rsidR="00761DBB">
        <w:rPr>
          <w:rFonts w:eastAsia="바탕" w:hint="eastAsia"/>
          <w:bCs/>
          <w:sz w:val="22"/>
          <w:szCs w:val="22"/>
          <w:lang w:val="en-US" w:eastAsia="ko-KR"/>
        </w:rPr>
        <w:t xml:space="preserve"> scheduled by a single DCI</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761DBB" w:rsidRDefault="00A14D66" w:rsidP="003D70FD">
      <w:pPr>
        <w:spacing w:before="120" w:after="120" w:line="240" w:lineRule="auto"/>
        <w:ind w:left="0" w:firstLineChars="100" w:firstLine="220"/>
        <w:rPr>
          <w:rFonts w:eastAsia="바탕"/>
          <w:sz w:val="22"/>
          <w:szCs w:val="22"/>
          <w:lang w:eastAsia="ko-KR"/>
        </w:rPr>
      </w:pPr>
    </w:p>
    <w:p w14:paraId="1184080A" w14:textId="77777777" w:rsidR="00D32D87" w:rsidRPr="00FE2B0D" w:rsidRDefault="00D32D87" w:rsidP="00D32D87">
      <w:pPr>
        <w:pStyle w:val="1"/>
        <w:numPr>
          <w:ilvl w:val="0"/>
          <w:numId w:val="1"/>
        </w:numPr>
        <w:spacing w:before="300"/>
        <w:rPr>
          <w:rFonts w:eastAsia="바탕" w:cs="Arial"/>
          <w:b/>
          <w:lang w:eastAsia="ko-KR"/>
        </w:rPr>
      </w:pPr>
      <w:r>
        <w:rPr>
          <w:rFonts w:eastAsia="바탕" w:cs="Arial"/>
          <w:b/>
          <w:bCs/>
          <w:lang w:val="en-US" w:eastAsia="ko-KR"/>
        </w:rPr>
        <w:t>Beam switching time</w:t>
      </w:r>
    </w:p>
    <w:p w14:paraId="113524DA" w14:textId="6CB436EE" w:rsidR="00D32D87"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Different from Rel-15/16 beam management operation, b</w:t>
      </w:r>
      <w:r>
        <w:rPr>
          <w:rFonts w:eastAsia="바탕"/>
          <w:sz w:val="22"/>
          <w:szCs w:val="22"/>
          <w:lang w:eastAsia="ko-KR"/>
        </w:rPr>
        <w:t xml:space="preserve">eam switching time (i.e., required time to change phase shifters) should be considered at least for 960 kHz SCS, and in addition, for 480 kHz SCS when applicable. Even though RAN4 tentatively agreed on 59 ns beam switching time at gNB side [1], UE may require beam switching time longer than gNB or have different beam switching time capabilities depending on how to implement. Therefore, it should be discussed how to </w:t>
      </w:r>
      <w:r w:rsidRPr="00FC47AB">
        <w:rPr>
          <w:rFonts w:eastAsia="바탕"/>
          <w:sz w:val="22"/>
          <w:szCs w:val="22"/>
          <w:lang w:eastAsia="ko-KR"/>
        </w:rPr>
        <w:t xml:space="preserve">handle beam switching </w:t>
      </w:r>
      <w:r>
        <w:rPr>
          <w:rFonts w:eastAsia="바탕"/>
          <w:sz w:val="22"/>
          <w:szCs w:val="22"/>
          <w:lang w:eastAsia="ko-KR"/>
        </w:rPr>
        <w:t>time</w:t>
      </w:r>
      <w:r w:rsidRPr="00FC47AB">
        <w:rPr>
          <w:rFonts w:eastAsia="바탕"/>
          <w:sz w:val="22"/>
          <w:szCs w:val="22"/>
          <w:lang w:eastAsia="ko-KR"/>
        </w:rPr>
        <w:t xml:space="preserve"> </w:t>
      </w:r>
      <w:r>
        <w:rPr>
          <w:rFonts w:eastAsia="바탕"/>
          <w:sz w:val="22"/>
          <w:szCs w:val="22"/>
          <w:lang w:eastAsia="ko-KR"/>
        </w:rPr>
        <w:t xml:space="preserve">or how to allocate symbol-level gap </w:t>
      </w:r>
      <w:r w:rsidRPr="00FC47AB">
        <w:rPr>
          <w:rFonts w:eastAsia="바탕"/>
          <w:sz w:val="22"/>
          <w:szCs w:val="22"/>
          <w:lang w:eastAsia="ko-KR"/>
        </w:rPr>
        <w:t xml:space="preserve">between </w:t>
      </w:r>
      <w:r>
        <w:rPr>
          <w:rFonts w:eastAsia="바탕"/>
          <w:sz w:val="22"/>
          <w:szCs w:val="22"/>
          <w:lang w:eastAsia="ko-KR"/>
        </w:rPr>
        <w:t xml:space="preserve">DL/UL </w:t>
      </w:r>
      <w:r w:rsidRPr="00FC47AB">
        <w:rPr>
          <w:rFonts w:eastAsia="바탕"/>
          <w:sz w:val="22"/>
          <w:szCs w:val="22"/>
          <w:lang w:eastAsia="ko-KR"/>
        </w:rPr>
        <w:t>signals/channels</w:t>
      </w:r>
      <w:r>
        <w:rPr>
          <w:rFonts w:eastAsia="바탕"/>
          <w:sz w:val="22"/>
          <w:szCs w:val="22"/>
          <w:lang w:eastAsia="ko-KR"/>
        </w:rPr>
        <w:t xml:space="preserve">. One possible approach could be to define UE capabilities </w:t>
      </w:r>
      <w:r w:rsidR="00755DD0">
        <w:rPr>
          <w:rFonts w:eastAsia="바탕"/>
          <w:sz w:val="22"/>
          <w:szCs w:val="22"/>
          <w:lang w:eastAsia="ko-KR"/>
        </w:rPr>
        <w:t xml:space="preserve">for beam switching time </w:t>
      </w:r>
      <w:r>
        <w:rPr>
          <w:rFonts w:eastAsia="바탕"/>
          <w:sz w:val="22"/>
          <w:szCs w:val="22"/>
          <w:lang w:eastAsia="ko-KR"/>
        </w:rPr>
        <w:t xml:space="preserve">and </w:t>
      </w:r>
      <w:r w:rsidR="00755DD0">
        <w:rPr>
          <w:rFonts w:eastAsia="바탕"/>
          <w:sz w:val="22"/>
          <w:szCs w:val="22"/>
          <w:lang w:eastAsia="ko-KR"/>
        </w:rPr>
        <w:t xml:space="preserve">corresponding </w:t>
      </w:r>
      <w:r>
        <w:rPr>
          <w:rFonts w:eastAsia="바탕"/>
          <w:sz w:val="22"/>
          <w:szCs w:val="22"/>
          <w:lang w:eastAsia="ko-KR"/>
        </w:rPr>
        <w:t xml:space="preserve">UE </w:t>
      </w:r>
      <w:r w:rsidR="0080449B">
        <w:rPr>
          <w:rFonts w:eastAsia="바탕"/>
          <w:sz w:val="22"/>
          <w:szCs w:val="22"/>
          <w:lang w:eastAsia="ko-KR"/>
        </w:rPr>
        <w:t xml:space="preserve">behaviour when </w:t>
      </w:r>
      <w:r>
        <w:rPr>
          <w:rFonts w:eastAsia="바탕"/>
          <w:sz w:val="22"/>
          <w:szCs w:val="22"/>
          <w:lang w:eastAsia="ko-KR"/>
        </w:rPr>
        <w:t>receiv</w:t>
      </w:r>
      <w:r w:rsidR="006957E6">
        <w:rPr>
          <w:rFonts w:eastAsia="바탕"/>
          <w:sz w:val="22"/>
          <w:szCs w:val="22"/>
          <w:lang w:eastAsia="ko-KR"/>
        </w:rPr>
        <w:t>ing</w:t>
      </w:r>
      <w:r>
        <w:rPr>
          <w:rFonts w:eastAsia="바탕"/>
          <w:sz w:val="22"/>
          <w:szCs w:val="22"/>
          <w:lang w:eastAsia="ko-KR"/>
        </w:rPr>
        <w:t xml:space="preserve"> adjacent DL signals/channels (or transmit</w:t>
      </w:r>
      <w:r w:rsidR="006957E6">
        <w:rPr>
          <w:rFonts w:eastAsia="바탕"/>
          <w:sz w:val="22"/>
          <w:szCs w:val="22"/>
          <w:lang w:eastAsia="ko-KR"/>
        </w:rPr>
        <w:t>ting</w:t>
      </w:r>
      <w:r>
        <w:rPr>
          <w:rFonts w:eastAsia="바탕"/>
          <w:sz w:val="22"/>
          <w:szCs w:val="22"/>
          <w:lang w:eastAsia="ko-KR"/>
        </w:rPr>
        <w:t xml:space="preserve"> adjacent UL signals/channels) </w:t>
      </w:r>
      <w:r w:rsidR="0080449B">
        <w:rPr>
          <w:rFonts w:eastAsia="바탕"/>
          <w:sz w:val="22"/>
          <w:szCs w:val="22"/>
          <w:lang w:eastAsia="ko-KR"/>
        </w:rPr>
        <w:t xml:space="preserve">considering </w:t>
      </w:r>
      <w:r>
        <w:rPr>
          <w:rFonts w:eastAsia="바탕"/>
          <w:sz w:val="22"/>
          <w:szCs w:val="22"/>
          <w:lang w:eastAsia="ko-KR"/>
        </w:rPr>
        <w:t>the reported beam switching time.</w:t>
      </w:r>
    </w:p>
    <w:p w14:paraId="3ED38208" w14:textId="58AC3E19" w:rsidR="00D32D87" w:rsidRDefault="00D32D87"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For instance, at least one symbol gap can be allocated (except for long CP symbol every half sub-frame) between two adjacent CORESETs if those are associated with different TCI states. For another instance f</w:t>
      </w:r>
      <w:r w:rsidRPr="00FC47AB">
        <w:rPr>
          <w:rFonts w:eastAsia="바탕"/>
          <w:sz w:val="22"/>
          <w:szCs w:val="22"/>
          <w:lang w:eastAsia="ko-KR"/>
        </w:rPr>
        <w:t xml:space="preserve">or </w:t>
      </w:r>
      <w:r w:rsidR="00EC7832">
        <w:rPr>
          <w:rFonts w:eastAsia="바탕" w:hint="eastAsia"/>
          <w:sz w:val="22"/>
          <w:szCs w:val="22"/>
          <w:lang w:eastAsia="ko-KR"/>
        </w:rPr>
        <w:t>consecutive UL signal/channel</w:t>
      </w:r>
      <w:r w:rsidR="0080449B">
        <w:rPr>
          <w:rFonts w:eastAsia="바탕"/>
          <w:sz w:val="22"/>
          <w:szCs w:val="22"/>
          <w:lang w:eastAsia="ko-KR"/>
        </w:rPr>
        <w:t xml:space="preserve"> transmissions</w:t>
      </w:r>
      <w:r w:rsidR="00EC7832">
        <w:rPr>
          <w:rFonts w:eastAsia="바탕" w:hint="eastAsia"/>
          <w:sz w:val="22"/>
          <w:szCs w:val="22"/>
          <w:lang w:eastAsia="ko-KR"/>
        </w:rPr>
        <w:t xml:space="preserve"> as shown in Figure 1</w:t>
      </w:r>
      <w:r w:rsidRPr="00FC47AB">
        <w:rPr>
          <w:rFonts w:eastAsia="바탕"/>
          <w:sz w:val="22"/>
          <w:szCs w:val="22"/>
          <w:lang w:eastAsia="ko-KR"/>
        </w:rPr>
        <w:t xml:space="preserve">, </w:t>
      </w:r>
      <w:r w:rsidR="00EC7832">
        <w:rPr>
          <w:rFonts w:eastAsia="바탕"/>
          <w:sz w:val="22"/>
          <w:szCs w:val="22"/>
          <w:lang w:eastAsia="ko-KR"/>
        </w:rPr>
        <w:t xml:space="preserve">if CG-PUSCH is configured with beam A at slot N+3 and DG-PUSCH is scheduled with beam B at slots N+4 and N+5, UE </w:t>
      </w:r>
      <w:r w:rsidR="00983470">
        <w:rPr>
          <w:rFonts w:eastAsia="바탕"/>
          <w:sz w:val="22"/>
          <w:szCs w:val="22"/>
          <w:lang w:eastAsia="ko-KR"/>
        </w:rPr>
        <w:t xml:space="preserve">may drop CG-PUSCH at slot N+3 or </w:t>
      </w:r>
      <w:r w:rsidR="00755DD0">
        <w:rPr>
          <w:rFonts w:eastAsia="바탕"/>
          <w:sz w:val="22"/>
          <w:szCs w:val="22"/>
          <w:lang w:eastAsia="ko-KR"/>
        </w:rPr>
        <w:t xml:space="preserve">drop </w:t>
      </w:r>
      <w:r w:rsidR="00983470">
        <w:rPr>
          <w:rFonts w:eastAsia="바탕"/>
          <w:sz w:val="22"/>
          <w:szCs w:val="22"/>
          <w:lang w:eastAsia="ko-KR"/>
        </w:rPr>
        <w:t>DG-PUSCH at slot N+4 depending on required beam switching time between CG-PUSCH and DG-PUSCH and/or UL cancellation time defined for CG-PUSCH</w:t>
      </w:r>
      <w:r>
        <w:rPr>
          <w:rFonts w:eastAsia="바탕"/>
          <w:sz w:val="22"/>
          <w:szCs w:val="22"/>
          <w:lang w:eastAsia="ko-KR"/>
        </w:rPr>
        <w:t>.</w:t>
      </w:r>
    </w:p>
    <w:p w14:paraId="533047A5" w14:textId="77777777" w:rsidR="00D32D87" w:rsidRDefault="00D32D87" w:rsidP="00D32D87">
      <w:pPr>
        <w:spacing w:before="120" w:after="120" w:line="240" w:lineRule="auto"/>
        <w:ind w:left="0" w:firstLineChars="100" w:firstLine="220"/>
        <w:rPr>
          <w:rFonts w:eastAsia="바탕"/>
          <w:sz w:val="22"/>
          <w:szCs w:val="22"/>
          <w:lang w:eastAsia="ko-KR"/>
        </w:rPr>
      </w:pPr>
    </w:p>
    <w:p w14:paraId="6E70034F" w14:textId="64C7175F" w:rsidR="00EC7832" w:rsidRDefault="00EC7832" w:rsidP="00EC7832">
      <w:pPr>
        <w:spacing w:before="120" w:after="120" w:line="240" w:lineRule="auto"/>
        <w:ind w:left="0" w:firstLineChars="100" w:firstLine="200"/>
        <w:jc w:val="center"/>
        <w:rPr>
          <w:rFonts w:eastAsia="바탕"/>
          <w:sz w:val="22"/>
          <w:szCs w:val="22"/>
          <w:lang w:eastAsia="ko-KR"/>
        </w:rPr>
      </w:pPr>
      <w:r w:rsidRPr="00EC7832">
        <w:rPr>
          <w:noProof/>
          <w:lang w:val="en-US" w:eastAsia="ko-KR"/>
        </w:rPr>
        <w:drawing>
          <wp:inline distT="0" distB="0" distL="0" distR="0" wp14:anchorId="54721D64" wp14:editId="7FD8B51D">
            <wp:extent cx="4153837" cy="15819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295" cy="1587094"/>
                    </a:xfrm>
                    <a:prstGeom prst="rect">
                      <a:avLst/>
                    </a:prstGeom>
                    <a:noFill/>
                    <a:ln>
                      <a:noFill/>
                    </a:ln>
                  </pic:spPr>
                </pic:pic>
              </a:graphicData>
            </a:graphic>
          </wp:inline>
        </w:drawing>
      </w:r>
    </w:p>
    <w:p w14:paraId="5A3BD027" w14:textId="572728D7" w:rsidR="00EC7832" w:rsidRPr="00EC7832" w:rsidRDefault="00EC7832" w:rsidP="00EC7832">
      <w:pPr>
        <w:spacing w:before="120" w:after="120" w:line="240" w:lineRule="auto"/>
        <w:ind w:left="0" w:firstLineChars="100" w:firstLine="216"/>
        <w:jc w:val="center"/>
        <w:rPr>
          <w:rFonts w:eastAsia="바탕"/>
          <w:b/>
          <w:sz w:val="22"/>
          <w:szCs w:val="22"/>
          <w:lang w:eastAsia="ko-KR"/>
        </w:rPr>
      </w:pPr>
      <w:r w:rsidRPr="00EC7832">
        <w:rPr>
          <w:rFonts w:eastAsia="바탕" w:hint="eastAsia"/>
          <w:b/>
          <w:sz w:val="22"/>
          <w:szCs w:val="22"/>
          <w:lang w:eastAsia="ko-KR"/>
        </w:rPr>
        <w:lastRenderedPageBreak/>
        <w:t>Figure 1.</w:t>
      </w:r>
      <w:r>
        <w:rPr>
          <w:rFonts w:eastAsia="바탕"/>
          <w:b/>
          <w:sz w:val="22"/>
          <w:szCs w:val="22"/>
          <w:lang w:eastAsia="ko-KR"/>
        </w:rPr>
        <w:t xml:space="preserve"> Consecutive CG-PUSCH and DG-PUSCH transmissions with different beams</w:t>
      </w:r>
    </w:p>
    <w:p w14:paraId="37A9117F" w14:textId="77777777" w:rsidR="00EC7832" w:rsidRPr="002D63B2" w:rsidRDefault="00EC7832" w:rsidP="00D32D87">
      <w:pPr>
        <w:spacing w:before="120" w:after="120" w:line="240" w:lineRule="auto"/>
        <w:ind w:left="0" w:firstLineChars="100" w:firstLine="220"/>
        <w:rPr>
          <w:rFonts w:eastAsia="바탕"/>
          <w:sz w:val="22"/>
          <w:szCs w:val="22"/>
          <w:lang w:eastAsia="ko-KR"/>
        </w:rPr>
      </w:pPr>
    </w:p>
    <w:p w14:paraId="7E395D81" w14:textId="0305AF0E"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983470" w:rsidRPr="00983470">
        <w:rPr>
          <w:rFonts w:eastAsia="바탕"/>
          <w:b/>
          <w:sz w:val="22"/>
          <w:szCs w:val="22"/>
          <w:lang w:eastAsia="ko-KR"/>
        </w:rPr>
        <w:t>Support a UE capability for Rx and Tx beam switching ti</w:t>
      </w:r>
      <w:r w:rsidR="0080449B">
        <w:rPr>
          <w:rFonts w:eastAsia="바탕"/>
          <w:b/>
          <w:sz w:val="22"/>
          <w:szCs w:val="22"/>
          <w:lang w:eastAsia="ko-KR"/>
        </w:rPr>
        <w:t>me between adjacent DL signals/</w:t>
      </w:r>
      <w:r w:rsidR="00983470" w:rsidRPr="00983470">
        <w:rPr>
          <w:rFonts w:eastAsia="바탕"/>
          <w:b/>
          <w:sz w:val="22"/>
          <w:szCs w:val="22"/>
          <w:lang w:eastAsia="ko-KR"/>
        </w:rPr>
        <w:t>channels and adjacent UL signals/channels, respectively</w:t>
      </w:r>
      <w:r>
        <w:rPr>
          <w:rFonts w:eastAsia="바탕"/>
          <w:b/>
          <w:sz w:val="22"/>
          <w:szCs w:val="22"/>
          <w:lang w:eastAsia="ko-KR"/>
        </w:rPr>
        <w:t>.</w:t>
      </w:r>
    </w:p>
    <w:p w14:paraId="186497D7" w14:textId="62D725D0"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00983470" w:rsidRPr="00983470">
        <w:rPr>
          <w:rFonts w:eastAsia="바탕"/>
          <w:b/>
          <w:sz w:val="22"/>
          <w:szCs w:val="22"/>
          <w:lang w:eastAsia="ko-KR"/>
        </w:rPr>
        <w:t xml:space="preserve">Define UE behavior (e.g., drop CG-PUSCH or </w:t>
      </w:r>
      <w:r w:rsidR="00755DD0">
        <w:rPr>
          <w:rFonts w:eastAsia="바탕"/>
          <w:b/>
          <w:sz w:val="22"/>
          <w:szCs w:val="22"/>
          <w:lang w:eastAsia="ko-KR"/>
        </w:rPr>
        <w:t xml:space="preserve">drop </w:t>
      </w:r>
      <w:r w:rsidR="00983470" w:rsidRPr="00983470">
        <w:rPr>
          <w:rFonts w:eastAsia="바탕"/>
          <w:b/>
          <w:sz w:val="22"/>
          <w:szCs w:val="22"/>
          <w:lang w:eastAsia="ko-KR"/>
        </w:rPr>
        <w:t xml:space="preserve">DG-PUSCH depending on PUSCH cancellation time) when </w:t>
      </w:r>
      <w:r w:rsidR="00983470">
        <w:rPr>
          <w:rFonts w:eastAsia="바탕"/>
          <w:b/>
          <w:sz w:val="22"/>
          <w:szCs w:val="22"/>
          <w:lang w:eastAsia="ko-KR"/>
        </w:rPr>
        <w:t xml:space="preserve">CG-PUSCH and DG-PUSCH transmissions are consecutively assigned and </w:t>
      </w:r>
      <w:r w:rsidR="0080449B">
        <w:rPr>
          <w:rFonts w:eastAsia="바탕"/>
          <w:b/>
          <w:sz w:val="22"/>
          <w:szCs w:val="22"/>
          <w:lang w:eastAsia="ko-KR"/>
        </w:rPr>
        <w:t xml:space="preserve">the </w:t>
      </w:r>
      <w:r w:rsidR="00983470">
        <w:rPr>
          <w:rFonts w:eastAsia="바탕"/>
          <w:b/>
          <w:sz w:val="22"/>
          <w:szCs w:val="22"/>
          <w:lang w:eastAsia="ko-KR"/>
        </w:rPr>
        <w:t xml:space="preserve">reported </w:t>
      </w:r>
      <w:r w:rsidR="00983470" w:rsidRPr="00983470">
        <w:rPr>
          <w:rFonts w:eastAsia="바탕"/>
          <w:b/>
          <w:sz w:val="22"/>
          <w:szCs w:val="22"/>
          <w:lang w:eastAsia="ko-KR"/>
        </w:rPr>
        <w:t xml:space="preserve">beam switching time between CG-PUSCH and DG-PUSCH is not </w:t>
      </w:r>
      <w:r w:rsidR="0080449B">
        <w:rPr>
          <w:rFonts w:eastAsia="바탕"/>
          <w:b/>
          <w:sz w:val="22"/>
          <w:szCs w:val="22"/>
          <w:lang w:eastAsia="ko-KR"/>
        </w:rPr>
        <w:t>guaranteed</w:t>
      </w:r>
      <w:r>
        <w:rPr>
          <w:rFonts w:eastAsia="바탕"/>
          <w:b/>
          <w:sz w:val="22"/>
          <w:szCs w:val="22"/>
          <w:lang w:eastAsia="ko-KR"/>
        </w:rPr>
        <w:t>.</w:t>
      </w:r>
    </w:p>
    <w:p w14:paraId="5D161D89" w14:textId="3DB7FAFE" w:rsidR="004B6DCE" w:rsidRPr="00D32D87" w:rsidRDefault="004B6DCE">
      <w:pPr>
        <w:spacing w:before="120" w:after="120" w:line="240" w:lineRule="auto"/>
        <w:ind w:left="0" w:firstLineChars="100" w:firstLine="216"/>
        <w:rPr>
          <w:rFonts w:eastAsia="바탕"/>
          <w:b/>
          <w:sz w:val="22"/>
          <w:szCs w:val="22"/>
          <w:lang w:eastAsia="ko-KR"/>
        </w:rPr>
      </w:pPr>
    </w:p>
    <w:p w14:paraId="6B1F80E1" w14:textId="1EE1CA8E" w:rsidR="006F1E56" w:rsidRPr="00FE2B0D" w:rsidRDefault="006F1E56" w:rsidP="006F1E56">
      <w:pPr>
        <w:pStyle w:val="1"/>
        <w:numPr>
          <w:ilvl w:val="0"/>
          <w:numId w:val="1"/>
        </w:numPr>
        <w:spacing w:before="300"/>
        <w:rPr>
          <w:rFonts w:eastAsia="바탕" w:cs="Arial"/>
          <w:b/>
          <w:lang w:eastAsia="ko-KR"/>
        </w:rPr>
      </w:pPr>
      <w:r>
        <w:rPr>
          <w:rFonts w:eastAsia="바탕" w:cs="Arial"/>
          <w:b/>
          <w:bCs/>
          <w:lang w:val="en-US" w:eastAsia="ko-KR"/>
        </w:rPr>
        <w:t xml:space="preserve">QCL </w:t>
      </w:r>
      <w:r w:rsidR="00E213DA">
        <w:rPr>
          <w:rFonts w:eastAsia="바탕" w:cs="Arial"/>
          <w:b/>
          <w:bCs/>
          <w:lang w:val="en-US" w:eastAsia="ko-KR"/>
        </w:rPr>
        <w:t>assumptions for multiple PDSCHs</w:t>
      </w:r>
    </w:p>
    <w:tbl>
      <w:tblPr>
        <w:tblStyle w:val="a6"/>
        <w:tblW w:w="0" w:type="auto"/>
        <w:tblLook w:val="04A0" w:firstRow="1" w:lastRow="0" w:firstColumn="1" w:lastColumn="0" w:noHBand="0" w:noVBand="1"/>
      </w:tblPr>
      <w:tblGrid>
        <w:gridCol w:w="9628"/>
      </w:tblGrid>
      <w:tr w:rsidR="00760976" w14:paraId="3F5FC0F6" w14:textId="77777777" w:rsidTr="00EA557F">
        <w:tc>
          <w:tcPr>
            <w:tcW w:w="9628" w:type="dxa"/>
          </w:tcPr>
          <w:p w14:paraId="322A84BB" w14:textId="77777777" w:rsidR="00760976" w:rsidRPr="00E213DA" w:rsidRDefault="00760976" w:rsidP="00EA557F">
            <w:pPr>
              <w:spacing w:before="0" w:after="0" w:line="240" w:lineRule="auto"/>
              <w:ind w:left="0" w:firstLine="0"/>
              <w:jc w:val="left"/>
              <w:rPr>
                <w:rFonts w:eastAsia="바탕"/>
                <w:b/>
                <w:szCs w:val="24"/>
              </w:rPr>
            </w:pPr>
            <w:r w:rsidRPr="00E213DA">
              <w:rPr>
                <w:rFonts w:eastAsia="바탕"/>
                <w:b/>
                <w:szCs w:val="24"/>
                <w:highlight w:val="green"/>
              </w:rPr>
              <w:t>Agreement</w:t>
            </w:r>
            <w:r>
              <w:rPr>
                <w:rFonts w:eastAsia="바탕"/>
                <w:b/>
                <w:szCs w:val="24"/>
              </w:rPr>
              <w:t xml:space="preserve"> (RAN1#108-e)</w:t>
            </w:r>
          </w:p>
          <w:p w14:paraId="2432BF18" w14:textId="77777777" w:rsidR="00760976" w:rsidRPr="00E213DA" w:rsidRDefault="00760976" w:rsidP="00EA557F">
            <w:pPr>
              <w:spacing w:before="0" w:after="0" w:line="240" w:lineRule="auto"/>
              <w:ind w:left="0" w:firstLine="0"/>
              <w:jc w:val="left"/>
              <w:rPr>
                <w:rFonts w:eastAsia="바탕"/>
                <w:szCs w:val="24"/>
              </w:rPr>
            </w:pPr>
            <w:r w:rsidRPr="00E213DA">
              <w:rPr>
                <w:rFonts w:eastAsia="바탕"/>
                <w:szCs w:val="24"/>
              </w:rPr>
              <w:t>TP#1 below is endorsed for TS 38.214</w:t>
            </w:r>
          </w:p>
          <w:p w14:paraId="49D9C84C" w14:textId="77777777" w:rsidR="00760976" w:rsidRPr="00E213DA" w:rsidRDefault="00760976" w:rsidP="00EA557F">
            <w:pPr>
              <w:widowControl w:val="0"/>
              <w:numPr>
                <w:ilvl w:val="0"/>
                <w:numId w:val="33"/>
              </w:numPr>
              <w:spacing w:before="0" w:after="0" w:line="240" w:lineRule="auto"/>
              <w:jc w:val="left"/>
              <w:rPr>
                <w:rFonts w:eastAsia="Times New Roman"/>
                <w:szCs w:val="24"/>
              </w:rPr>
            </w:pPr>
            <w:r w:rsidRPr="00E213DA">
              <w:rPr>
                <w:rFonts w:eastAsia="Times New Roman"/>
                <w:szCs w:val="24"/>
              </w:rPr>
              <w:t>RAN1 continues discussion to down-select between the following Alt1 and Alt2.</w:t>
            </w:r>
          </w:p>
          <w:p w14:paraId="42E5D783" w14:textId="77777777" w:rsidR="00760976" w:rsidRPr="00E213DA" w:rsidRDefault="00760976" w:rsidP="00EA557F">
            <w:pPr>
              <w:widowControl w:val="0"/>
              <w:numPr>
                <w:ilvl w:val="0"/>
                <w:numId w:val="33"/>
              </w:numPr>
              <w:spacing w:before="0" w:after="0" w:line="240" w:lineRule="auto"/>
              <w:ind w:left="1440"/>
              <w:jc w:val="left"/>
              <w:rPr>
                <w:rFonts w:eastAsia="SimSun"/>
                <w:szCs w:val="24"/>
                <w:lang w:eastAsia="x-none"/>
              </w:rPr>
            </w:pPr>
            <w:r w:rsidRPr="00E213DA">
              <w:rPr>
                <w:rFonts w:eastAsia="바탕"/>
                <w:szCs w:val="24"/>
                <w:lang w:eastAsia="x-none"/>
              </w:rPr>
              <w:t>Alt1) The applied TCI states can be updated using unified TCI framework within the span of multi-PDSCH</w:t>
            </w:r>
          </w:p>
          <w:p w14:paraId="06899682" w14:textId="77777777" w:rsidR="00760976" w:rsidRPr="00E213DA" w:rsidRDefault="00760976" w:rsidP="00EA557F">
            <w:pPr>
              <w:widowControl w:val="0"/>
              <w:numPr>
                <w:ilvl w:val="0"/>
                <w:numId w:val="33"/>
              </w:numPr>
              <w:spacing w:before="0" w:after="0" w:line="240" w:lineRule="auto"/>
              <w:ind w:left="1440"/>
              <w:jc w:val="left"/>
              <w:rPr>
                <w:rFonts w:eastAsia="Times New Roman"/>
                <w:szCs w:val="24"/>
                <w:lang w:eastAsia="x-none"/>
              </w:rPr>
            </w:pPr>
            <w:r w:rsidRPr="00E213DA">
              <w:rPr>
                <w:rFonts w:eastAsia="바탕"/>
                <w:szCs w:val="24"/>
                <w:lang w:eastAsia="x-none"/>
              </w:rPr>
              <w:t>Alt2) The applied TCI states cannot be updated using unified TCI framework within the span of multi-PDSCH</w:t>
            </w:r>
          </w:p>
          <w:p w14:paraId="675FAB80" w14:textId="77777777" w:rsidR="00760976" w:rsidRPr="00E213DA" w:rsidRDefault="00760976" w:rsidP="00EA557F">
            <w:pPr>
              <w:widowControl w:val="0"/>
              <w:numPr>
                <w:ilvl w:val="0"/>
                <w:numId w:val="33"/>
              </w:numPr>
              <w:spacing w:before="0" w:after="0" w:line="240" w:lineRule="auto"/>
              <w:ind w:left="1440"/>
              <w:jc w:val="left"/>
              <w:rPr>
                <w:rFonts w:eastAsia="Times New Roman"/>
                <w:szCs w:val="24"/>
                <w:lang w:eastAsia="x-none"/>
              </w:rPr>
            </w:pPr>
            <w:r w:rsidRPr="00E213DA">
              <w:rPr>
                <w:rFonts w:eastAsia="바탕"/>
                <w:szCs w:val="24"/>
                <w:lang w:eastAsia="x-none"/>
              </w:rPr>
              <w:t>Note: coordination with Rel-17 MIMO WI is allowed as necessary</w:t>
            </w:r>
          </w:p>
          <w:p w14:paraId="5C434921" w14:textId="77777777" w:rsidR="00760976" w:rsidRPr="00E213DA" w:rsidRDefault="00760976" w:rsidP="00EA557F">
            <w:pPr>
              <w:spacing w:before="0" w:after="0" w:line="240" w:lineRule="auto"/>
              <w:ind w:left="0" w:firstLine="0"/>
              <w:jc w:val="left"/>
              <w:rPr>
                <w:rFonts w:ascii="Times" w:eastAsia="바탕" w:hAnsi="Times"/>
                <w:b/>
                <w:bCs/>
                <w:szCs w:val="24"/>
              </w:rPr>
            </w:pPr>
          </w:p>
          <w:p w14:paraId="1C596BF4" w14:textId="77777777" w:rsidR="00760976" w:rsidRPr="00E213DA" w:rsidRDefault="00760976" w:rsidP="00EA557F">
            <w:pPr>
              <w:spacing w:before="0" w:after="0" w:line="240" w:lineRule="auto"/>
              <w:ind w:left="0" w:firstLine="0"/>
              <w:jc w:val="left"/>
              <w:rPr>
                <w:rFonts w:ascii="Times" w:eastAsia="바탕" w:hAnsi="Times"/>
                <w:b/>
                <w:bCs/>
                <w:szCs w:val="24"/>
              </w:rPr>
            </w:pPr>
            <w:r w:rsidRPr="00E213DA">
              <w:rPr>
                <w:rFonts w:ascii="Times" w:eastAsia="바탕" w:hAnsi="Times"/>
                <w:b/>
                <w:bCs/>
                <w:szCs w:val="24"/>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760976" w:rsidRPr="00E213DA" w14:paraId="581A1567" w14:textId="77777777" w:rsidTr="00EA557F">
              <w:tc>
                <w:tcPr>
                  <w:tcW w:w="9962" w:type="dxa"/>
                  <w:shd w:val="clear" w:color="auto" w:fill="auto"/>
                </w:tcPr>
                <w:p w14:paraId="2D8F37DF" w14:textId="77777777" w:rsidR="00760976" w:rsidRPr="00E213DA" w:rsidRDefault="00760976" w:rsidP="00EA557F">
                  <w:pPr>
                    <w:spacing w:before="0" w:after="120" w:line="231" w:lineRule="atLeast"/>
                    <w:ind w:left="0" w:firstLine="0"/>
                    <w:rPr>
                      <w:rFonts w:ascii="Times" w:eastAsia="바탕" w:hAnsi="Times"/>
                      <w:szCs w:val="24"/>
                      <w:lang w:eastAsia="x-none"/>
                    </w:rPr>
                  </w:pPr>
                  <w:r w:rsidRPr="00E213DA">
                    <w:rPr>
                      <w:rFonts w:ascii="Times" w:eastAsia="바탕" w:hAnsi="Times"/>
                      <w:sz w:val="28"/>
                      <w:szCs w:val="28"/>
                      <w:lang w:eastAsia="x-none"/>
                    </w:rPr>
                    <w:t>5.1.5 Antenna ports quasi co-location</w:t>
                  </w:r>
                </w:p>
                <w:p w14:paraId="6A5F43BF" w14:textId="77777777" w:rsidR="00760976" w:rsidRPr="00E213DA" w:rsidRDefault="00760976" w:rsidP="00EA557F">
                  <w:pPr>
                    <w:spacing w:before="0" w:after="120" w:line="231" w:lineRule="atLeast"/>
                    <w:ind w:left="0" w:firstLine="0"/>
                    <w:jc w:val="center"/>
                    <w:rPr>
                      <w:rFonts w:ascii="Times" w:eastAsia="바탕" w:hAnsi="Times"/>
                      <w:szCs w:val="24"/>
                      <w:lang w:eastAsia="x-none"/>
                    </w:rPr>
                  </w:pPr>
                  <w:r w:rsidRPr="00E213DA">
                    <w:rPr>
                      <w:rFonts w:eastAsia="바탕"/>
                      <w:color w:val="FF0000"/>
                      <w:szCs w:val="24"/>
                      <w:lang w:eastAsia="x-none"/>
                    </w:rPr>
                    <w:t>*** Unchanged text omitted ***</w:t>
                  </w:r>
                </w:p>
                <w:p w14:paraId="63B6D924" w14:textId="77777777" w:rsidR="00760976" w:rsidRPr="00E213DA" w:rsidRDefault="00760976" w:rsidP="00EA557F">
                  <w:pPr>
                    <w:spacing w:before="0" w:after="0" w:line="240" w:lineRule="auto"/>
                    <w:ind w:left="0" w:firstLine="0"/>
                    <w:jc w:val="left"/>
                    <w:rPr>
                      <w:rFonts w:ascii="Times" w:eastAsia="바탕" w:hAnsi="Times"/>
                      <w:szCs w:val="24"/>
                    </w:rPr>
                  </w:pPr>
                  <w:r w:rsidRPr="00E213DA">
                    <w:rPr>
                      <w:rFonts w:eastAsia="바탕"/>
                      <w:szCs w:val="24"/>
                    </w:rPr>
                    <w:t>When the UE is configured with a single slot PDSCH, the indicated TCI state should be based on the activated TCI states in the slot with the scheduled PDSCH. When the UE is configured with a multi-slot PDSCH </w:t>
                  </w:r>
                  <w:r w:rsidRPr="00E213DA">
                    <w:rPr>
                      <w:rFonts w:eastAsia="바탕"/>
                      <w:color w:val="FF0000"/>
                      <w:szCs w:val="24"/>
                    </w:rPr>
                    <w:t>or the UE is configured with higher layer parameter [</w:t>
                  </w:r>
                  <w:r w:rsidRPr="00E213DA">
                    <w:rPr>
                      <w:rFonts w:eastAsia="바탕"/>
                      <w:i/>
                      <w:iCs/>
                      <w:color w:val="FF0000"/>
                      <w:szCs w:val="24"/>
                    </w:rPr>
                    <w:t>pdsch-TimeDomainAllocationListForMultiPDSCH-r17</w:t>
                  </w:r>
                  <w:r w:rsidRPr="00E213DA">
                    <w:rPr>
                      <w:rFonts w:eastAsia="바탕"/>
                      <w:color w:val="FF0000"/>
                      <w:szCs w:val="24"/>
                    </w:rPr>
                    <w:t>]</w:t>
                  </w:r>
                  <w:r w:rsidRPr="00E213DA">
                    <w:rPr>
                      <w:rFonts w:eastAsia="바탕"/>
                      <w:szCs w:val="24"/>
                    </w:rPr>
                    <w:t>, the indicated TCI state should be based on the activated TCI states in the first slot with the scheduled PDSCH</w:t>
                  </w:r>
                  <w:r w:rsidRPr="00E213DA">
                    <w:rPr>
                      <w:rFonts w:eastAsia="바탕"/>
                      <w:color w:val="FF0000"/>
                      <w:szCs w:val="24"/>
                    </w:rPr>
                    <w:t>(s)</w:t>
                  </w:r>
                  <w:r w:rsidRPr="00E213DA">
                    <w:rPr>
                      <w:rFonts w:eastAsia="바탕"/>
                      <w:szCs w:val="24"/>
                    </w:rPr>
                    <w:t>, and UE shall expect the activated TCI states are the same across the slots with the scheduled PDSCH</w:t>
                  </w:r>
                  <w:r w:rsidRPr="00E213DA">
                    <w:rPr>
                      <w:rFonts w:eastAsia="바탕"/>
                      <w:color w:val="FF0000"/>
                      <w:szCs w:val="24"/>
                    </w:rPr>
                    <w:t>(s)</w:t>
                  </w:r>
                  <w:r w:rsidRPr="00E213DA">
                    <w:rPr>
                      <w:rFonts w:eastAsia="바탕"/>
                      <w:szCs w:val="24"/>
                    </w:rPr>
                    <w:t>. When the UE is configured with CORESET associated with a search space set for cross-carrier scheduling and the UE is not configured with </w:t>
                  </w:r>
                  <w:r w:rsidRPr="00E213DA">
                    <w:rPr>
                      <w:rFonts w:eastAsia="바탕"/>
                      <w:i/>
                      <w:iCs/>
                      <w:szCs w:val="24"/>
                    </w:rPr>
                    <w:t>enableDefaultBeamForCCS</w:t>
                  </w:r>
                  <w:r w:rsidRPr="00E213DA">
                    <w:rPr>
                      <w:rFonts w:eastAsia="바탕"/>
                      <w:szCs w:val="24"/>
                    </w:rPr>
                    <w:t>, the UE expects </w:t>
                  </w:r>
                  <w:r w:rsidRPr="00E213DA">
                    <w:rPr>
                      <w:rFonts w:eastAsia="바탕"/>
                      <w:i/>
                      <w:iCs/>
                      <w:szCs w:val="24"/>
                    </w:rPr>
                    <w:t>tci-PresentInDCI</w:t>
                  </w:r>
                  <w:r w:rsidRPr="00E213DA">
                    <w:rPr>
                      <w:rFonts w:eastAsia="바탕"/>
                      <w:iCs/>
                      <w:szCs w:val="24"/>
                    </w:rPr>
                    <w:t> </w:t>
                  </w:r>
                  <w:r w:rsidRPr="00E213DA">
                    <w:rPr>
                      <w:rFonts w:eastAsia="바탕"/>
                      <w:szCs w:val="24"/>
                    </w:rPr>
                    <w:t>is set as 'enabled' or </w:t>
                  </w:r>
                  <w:r w:rsidRPr="00E213DA">
                    <w:rPr>
                      <w:rFonts w:eastAsia="바탕"/>
                      <w:i/>
                      <w:iCs/>
                      <w:szCs w:val="24"/>
                    </w:rPr>
                    <w:t>tci-PresentDCI-1-2</w:t>
                  </w:r>
                  <w:r w:rsidRPr="00E213DA">
                    <w:rPr>
                      <w:rFonts w:eastAsia="바탕"/>
                      <w:iCs/>
                      <w:szCs w:val="24"/>
                    </w:rPr>
                    <w:t> </w:t>
                  </w:r>
                  <w:r w:rsidRPr="00E213DA">
                    <w:rPr>
                      <w:rFonts w:eastAsia="바탕"/>
                      <w:szCs w:val="24"/>
                    </w:rPr>
                    <w:t>is configured for the CORESET, and if one or more of the TCI states configured for the serving cell scheduled by the search space set contains </w:t>
                  </w:r>
                  <w:r w:rsidRPr="00E213DA">
                    <w:rPr>
                      <w:rFonts w:eastAsia="바탕"/>
                      <w:i/>
                      <w:iCs/>
                      <w:szCs w:val="24"/>
                    </w:rPr>
                    <w:t>qcl-Type</w:t>
                  </w:r>
                  <w:r w:rsidRPr="00E213DA">
                    <w:rPr>
                      <w:rFonts w:eastAsia="바탕"/>
                      <w:szCs w:val="24"/>
                    </w:rPr>
                    <w:t> set to 'typeD', the UE expects the time offset between the reception of the detected PDCCH in the search space set and a</w:t>
                  </w:r>
                  <w:r w:rsidRPr="00E213DA">
                    <w:rPr>
                      <w:rFonts w:eastAsia="바탕"/>
                      <w:color w:val="FF0000"/>
                      <w:szCs w:val="24"/>
                    </w:rPr>
                    <w:t> </w:t>
                  </w:r>
                  <w:r w:rsidRPr="00E213DA">
                    <w:rPr>
                      <w:rFonts w:eastAsia="바탕"/>
                      <w:szCs w:val="24"/>
                    </w:rPr>
                    <w:t>corresponding PDSCH is larger than or equal to the threshold </w:t>
                  </w:r>
                  <w:r w:rsidRPr="00E213DA">
                    <w:rPr>
                      <w:rFonts w:eastAsia="바탕"/>
                      <w:i/>
                      <w:iCs/>
                      <w:szCs w:val="24"/>
                    </w:rPr>
                    <w:t>timeDurationForQCL.</w:t>
                  </w:r>
                </w:p>
                <w:p w14:paraId="78B52359" w14:textId="77777777" w:rsidR="00760976" w:rsidRPr="00E213DA" w:rsidRDefault="00760976" w:rsidP="00EA557F">
                  <w:pPr>
                    <w:spacing w:before="0" w:after="120" w:line="231" w:lineRule="atLeast"/>
                    <w:ind w:left="0" w:firstLine="0"/>
                    <w:jc w:val="center"/>
                    <w:rPr>
                      <w:rFonts w:ascii="Times" w:eastAsia="바탕" w:hAnsi="Times"/>
                      <w:szCs w:val="24"/>
                      <w:lang w:eastAsia="x-none"/>
                    </w:rPr>
                  </w:pPr>
                  <w:r w:rsidRPr="00E213DA">
                    <w:rPr>
                      <w:rFonts w:eastAsia="바탕"/>
                      <w:color w:val="FF0000"/>
                      <w:szCs w:val="24"/>
                      <w:lang w:eastAsia="x-none"/>
                    </w:rPr>
                    <w:t>*** Unchanged text omitted ***</w:t>
                  </w:r>
                </w:p>
              </w:tc>
            </w:tr>
          </w:tbl>
          <w:p w14:paraId="7BB3E4DC" w14:textId="77777777" w:rsidR="00760976" w:rsidRDefault="00760976" w:rsidP="00EA557F">
            <w:pPr>
              <w:spacing w:before="120" w:after="120" w:line="240" w:lineRule="auto"/>
              <w:ind w:left="0" w:firstLine="0"/>
              <w:rPr>
                <w:rFonts w:eastAsia="바탕"/>
                <w:sz w:val="22"/>
                <w:szCs w:val="22"/>
                <w:lang w:eastAsia="ko-KR"/>
              </w:rPr>
            </w:pPr>
          </w:p>
        </w:tc>
      </w:tr>
    </w:tbl>
    <w:p w14:paraId="577A6CB7" w14:textId="77777777" w:rsidR="00760976" w:rsidRDefault="00760976" w:rsidP="00760976">
      <w:pPr>
        <w:spacing w:before="120" w:after="120" w:line="240" w:lineRule="auto"/>
        <w:ind w:left="0" w:firstLineChars="100" w:firstLine="220"/>
        <w:rPr>
          <w:rFonts w:eastAsia="바탕"/>
          <w:sz w:val="22"/>
          <w:szCs w:val="22"/>
          <w:lang w:eastAsia="ko-KR"/>
        </w:rPr>
      </w:pPr>
    </w:p>
    <w:p w14:paraId="0EA99009" w14:textId="5DB33B44" w:rsidR="00760976" w:rsidRDefault="00760976" w:rsidP="0076097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RAN1#108-e meeting, it was agree</w:t>
      </w:r>
      <w:r>
        <w:rPr>
          <w:rFonts w:eastAsia="바탕"/>
          <w:sz w:val="22"/>
          <w:szCs w:val="22"/>
          <w:lang w:eastAsia="ko-KR"/>
        </w:rPr>
        <w:t>d</w:t>
      </w:r>
      <w:r>
        <w:rPr>
          <w:rFonts w:eastAsia="바탕" w:hint="eastAsia"/>
          <w:sz w:val="22"/>
          <w:szCs w:val="22"/>
          <w:lang w:eastAsia="ko-KR"/>
        </w:rPr>
        <w:t xml:space="preserve"> that </w:t>
      </w:r>
      <w:r>
        <w:rPr>
          <w:rFonts w:eastAsia="바탕"/>
          <w:sz w:val="22"/>
          <w:szCs w:val="22"/>
          <w:lang w:eastAsia="ko-KR"/>
        </w:rPr>
        <w:t xml:space="preserve">multi-slot PDSCH and multiple PDSCHs scheduled by a single DCI have the same behaviour in that the activated TCI states (each of which is associated with a code-point of TCI field in a scheduling DCI) shall not be changed in the middle of the span of PDSCH(s) scheduled by the DCI. In addition, it was discussed 1) whether unified TCI framework is relevant with the agreed TP#1 </w:t>
      </w:r>
      <w:r w:rsidR="00C37273">
        <w:rPr>
          <w:rFonts w:eastAsia="바탕"/>
          <w:sz w:val="22"/>
          <w:szCs w:val="22"/>
          <w:lang w:eastAsia="ko-KR"/>
        </w:rPr>
        <w:t xml:space="preserve">above </w:t>
      </w:r>
      <w:r>
        <w:rPr>
          <w:rFonts w:eastAsia="바탕"/>
          <w:sz w:val="22"/>
          <w:szCs w:val="22"/>
          <w:lang w:eastAsia="ko-KR"/>
        </w:rPr>
        <w:t>or not, and 2) whether t</w:t>
      </w:r>
      <w:r w:rsidRPr="00E213DA">
        <w:rPr>
          <w:rFonts w:eastAsia="바탕"/>
          <w:sz w:val="22"/>
          <w:szCs w:val="22"/>
          <w:lang w:eastAsia="ko-KR"/>
        </w:rPr>
        <w:t>he applied TCI states can be updated using unified TCI framework within the span of multi-PDSCH</w:t>
      </w:r>
      <w:r>
        <w:rPr>
          <w:rFonts w:eastAsia="바탕"/>
          <w:sz w:val="22"/>
          <w:szCs w:val="22"/>
          <w:lang w:eastAsia="ko-KR"/>
        </w:rPr>
        <w:t xml:space="preserve"> or not.</w:t>
      </w:r>
    </w:p>
    <w:p w14:paraId="1A075DCC" w14:textId="7876BEED" w:rsidR="00760976" w:rsidRDefault="00760976" w:rsidP="0076097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based on the following paragraph (cited by TS 38.214), </w:t>
      </w:r>
      <w:r w:rsidRPr="00E213DA">
        <w:rPr>
          <w:rFonts w:eastAsia="바탕"/>
          <w:sz w:val="22"/>
          <w:szCs w:val="22"/>
          <w:lang w:eastAsia="ko-KR"/>
        </w:rPr>
        <w:t xml:space="preserve">the applied TCI state is not indicated by </w:t>
      </w:r>
      <w:r>
        <w:rPr>
          <w:rFonts w:eastAsia="바탕"/>
          <w:sz w:val="22"/>
          <w:szCs w:val="22"/>
          <w:lang w:eastAsia="ko-KR"/>
        </w:rPr>
        <w:t xml:space="preserve">a </w:t>
      </w:r>
      <w:r w:rsidRPr="00E213DA">
        <w:rPr>
          <w:rFonts w:eastAsia="바탕"/>
          <w:sz w:val="22"/>
          <w:szCs w:val="22"/>
          <w:lang w:eastAsia="ko-KR"/>
        </w:rPr>
        <w:t>DCI scheduling multi-slot PDSCH but determined after beam application time from HARQ-ACK transmission.</w:t>
      </w:r>
      <w:r>
        <w:rPr>
          <w:rFonts w:eastAsia="바탕"/>
          <w:sz w:val="22"/>
          <w:szCs w:val="22"/>
          <w:lang w:eastAsia="ko-KR"/>
        </w:rPr>
        <w:t xml:space="preserve"> </w:t>
      </w:r>
      <w:r w:rsidR="00712AC8">
        <w:rPr>
          <w:rFonts w:eastAsia="바탕"/>
          <w:sz w:val="22"/>
          <w:szCs w:val="22"/>
          <w:lang w:eastAsia="ko-KR"/>
        </w:rPr>
        <w:t xml:space="preserve">Meanwhile, TP#1 describes how UE applies TCI state based on information from scheduling DCI. </w:t>
      </w:r>
      <w:r>
        <w:rPr>
          <w:rFonts w:eastAsia="바탕"/>
          <w:sz w:val="22"/>
          <w:szCs w:val="22"/>
          <w:lang w:eastAsia="ko-KR"/>
        </w:rPr>
        <w:t>Therefore, we can conclude that the above agreed</w:t>
      </w:r>
      <w:r w:rsidRPr="00E213DA">
        <w:rPr>
          <w:rFonts w:eastAsia="바탕"/>
          <w:sz w:val="22"/>
          <w:szCs w:val="22"/>
          <w:lang w:eastAsia="ko-KR"/>
        </w:rPr>
        <w:t xml:space="preserve"> TP#1 is irrelevant with unified TCI framework introduced in Rel-17</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760976" w14:paraId="12D3A6CD" w14:textId="77777777" w:rsidTr="00EA557F">
        <w:tc>
          <w:tcPr>
            <w:tcW w:w="9628" w:type="dxa"/>
          </w:tcPr>
          <w:p w14:paraId="27A61B40" w14:textId="77777777" w:rsidR="00760976" w:rsidRPr="00E213DA" w:rsidRDefault="00760976" w:rsidP="00EA557F">
            <w:pPr>
              <w:keepNext/>
              <w:keepLines/>
              <w:spacing w:before="120" w:line="240" w:lineRule="auto"/>
              <w:ind w:left="1134" w:hanging="1134"/>
              <w:jc w:val="left"/>
              <w:outlineLvl w:val="2"/>
              <w:rPr>
                <w:rFonts w:ascii="Arial" w:eastAsia="SimSun" w:hAnsi="Arial"/>
                <w:color w:val="000000"/>
                <w:sz w:val="28"/>
                <w:lang w:val="x-none"/>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00147360"/>
            <w:r w:rsidRPr="00E213DA">
              <w:rPr>
                <w:rFonts w:ascii="Arial" w:eastAsia="SimSun" w:hAnsi="Arial"/>
                <w:color w:val="000000"/>
                <w:sz w:val="28"/>
                <w:lang w:val="x-none"/>
              </w:rPr>
              <w:t>5.1.5</w:t>
            </w:r>
            <w:r w:rsidRPr="00E213DA">
              <w:rPr>
                <w:rFonts w:ascii="Arial" w:eastAsia="SimSun" w:hAnsi="Arial"/>
                <w:color w:val="000000"/>
                <w:sz w:val="28"/>
                <w:lang w:val="x-none"/>
              </w:rPr>
              <w:tab/>
              <w:t>Antenna ports quasi co-location</w:t>
            </w:r>
            <w:bookmarkEnd w:id="3"/>
            <w:bookmarkEnd w:id="4"/>
            <w:bookmarkEnd w:id="5"/>
            <w:bookmarkEnd w:id="6"/>
            <w:bookmarkEnd w:id="7"/>
            <w:bookmarkEnd w:id="8"/>
            <w:bookmarkEnd w:id="9"/>
            <w:bookmarkEnd w:id="10"/>
            <w:bookmarkEnd w:id="11"/>
          </w:p>
          <w:p w14:paraId="2A702C4F" w14:textId="77777777" w:rsidR="00760976" w:rsidRPr="00E213DA" w:rsidRDefault="00760976" w:rsidP="00EA557F">
            <w:pPr>
              <w:spacing w:before="120" w:after="120" w:line="240" w:lineRule="auto"/>
              <w:ind w:left="0" w:firstLine="0"/>
              <w:rPr>
                <w:rFonts w:eastAsiaTheme="minorEastAsia"/>
                <w:color w:val="000000"/>
                <w:lang w:eastAsia="ko-KR"/>
              </w:rPr>
            </w:pPr>
            <w:r>
              <w:rPr>
                <w:rFonts w:eastAsiaTheme="minorEastAsia" w:hint="eastAsia"/>
                <w:color w:val="000000"/>
                <w:lang w:eastAsia="ko-KR"/>
              </w:rPr>
              <w:t>&lt;</w:t>
            </w:r>
            <w:r>
              <w:rPr>
                <w:rFonts w:eastAsiaTheme="minorEastAsia"/>
                <w:color w:val="000000"/>
                <w:lang w:eastAsia="ko-KR"/>
              </w:rPr>
              <w:t>Unrelated parts are omitted&gt;</w:t>
            </w:r>
          </w:p>
          <w:p w14:paraId="2C60A62C" w14:textId="77777777" w:rsidR="00760976" w:rsidRDefault="00760976" w:rsidP="00EA557F">
            <w:pPr>
              <w:spacing w:before="120" w:after="120" w:line="240" w:lineRule="auto"/>
              <w:ind w:left="0" w:firstLine="0"/>
              <w:rPr>
                <w:rFonts w:eastAsia="바탕"/>
                <w:sz w:val="22"/>
                <w:szCs w:val="22"/>
                <w:lang w:eastAsia="ko-KR"/>
              </w:rPr>
            </w:pPr>
            <w:r>
              <w:rPr>
                <w:color w:val="000000"/>
                <w:lang w:eastAsia="zh-CN"/>
              </w:rPr>
              <w:t xml:space="preserve">When the </w:t>
            </w:r>
            <w:r>
              <w:rPr>
                <w:lang w:eastAsia="zh-CN"/>
              </w:rPr>
              <w:t>UE would transmit the last symbol of a PUCCH with</w:t>
            </w:r>
            <w:r>
              <w:rPr>
                <w:color w:val="000000"/>
                <w:lang w:eastAsia="zh-CN"/>
              </w:rPr>
              <w:t xml:space="preserve"> HARQ-ACK </w:t>
            </w:r>
            <w:r>
              <w:rPr>
                <w:lang w:eastAsia="zh-CN"/>
              </w:rPr>
              <w:t xml:space="preserve">information </w:t>
            </w:r>
            <w:r>
              <w:rPr>
                <w:color w:val="000000"/>
                <w:lang w:eastAsia="zh-CN"/>
              </w:rPr>
              <w:t xml:space="preserve">corresponding to the DCI carrying the TCI State indication </w:t>
            </w:r>
            <w:r>
              <w:rPr>
                <w:color w:val="000000"/>
                <w:shd w:val="clear" w:color="auto" w:fill="FFFFFF"/>
              </w:rPr>
              <w:t xml:space="preserve">and without DL assignment, or corresponding to the PDSCH scheduling by the DCI carrying the </w:t>
            </w:r>
            <w:r>
              <w:rPr>
                <w:color w:val="000000"/>
                <w:lang w:eastAsia="zh-CN"/>
              </w:rPr>
              <w:t>TCI State</w:t>
            </w:r>
            <w:r>
              <w:rPr>
                <w:color w:val="000000"/>
                <w:shd w:val="clear" w:color="auto" w:fill="FFFFFF"/>
              </w:rPr>
              <w:t xml:space="preserve"> indication, </w:t>
            </w:r>
            <w:r>
              <w:rPr>
                <w:color w:val="000000"/>
                <w:lang w:eastAsia="zh-CN"/>
              </w:rPr>
              <w:t xml:space="preserve">and if the </w:t>
            </w:r>
            <w:r>
              <w:rPr>
                <w:color w:val="000000"/>
              </w:rPr>
              <w:t xml:space="preserve">indicated </w:t>
            </w:r>
            <w:r>
              <w:rPr>
                <w:color w:val="000000"/>
                <w:lang w:eastAsia="zh-CN"/>
              </w:rPr>
              <w:t xml:space="preserve">TCI State is different </w:t>
            </w:r>
            <w:r>
              <w:rPr>
                <w:color w:val="000000"/>
              </w:rPr>
              <w:t xml:space="preserve">from </w:t>
            </w:r>
            <w:r>
              <w:rPr>
                <w:color w:val="000000"/>
                <w:lang w:eastAsia="zh-CN"/>
              </w:rPr>
              <w:t>the previously indicated one, the indicated</w:t>
            </w:r>
            <w:r>
              <w:rPr>
                <w:i/>
                <w:iCs/>
                <w:color w:val="000000"/>
                <w:lang w:eastAsia="zh-CN"/>
              </w:rPr>
              <w:t xml:space="preserve"> </w:t>
            </w:r>
            <w:r>
              <w:rPr>
                <w:i/>
                <w:iCs/>
                <w:color w:val="000000"/>
              </w:rPr>
              <w:t xml:space="preserve">DLorJointTCIState </w:t>
            </w:r>
            <w:r>
              <w:rPr>
                <w:color w:val="000000"/>
              </w:rPr>
              <w:t>or</w:t>
            </w:r>
            <w:r>
              <w:rPr>
                <w:i/>
                <w:iCs/>
                <w:color w:val="000000"/>
              </w:rPr>
              <w:t xml:space="preserve"> UL-TCIstate </w:t>
            </w:r>
            <w:r>
              <w:rPr>
                <w:color w:val="000000"/>
                <w:lang w:eastAsia="zh-CN"/>
              </w:rPr>
              <w:t xml:space="preserve">should be applied starting from the first slot that is at least </w:t>
            </w:r>
            <m:oMath>
              <m:r>
                <m:rPr>
                  <m:sty m:val="p"/>
                </m:rPr>
                <w:rPr>
                  <w:rFonts w:ascii="Cambria Math" w:hAnsi="Cambria Math"/>
                </w:rPr>
                <m:t>BeamAppTime_r17</m:t>
              </m:r>
            </m:oMath>
            <w:r>
              <w:t xml:space="preserve"> symbols after the last symbol of the PUC</w:t>
            </w:r>
            <w:r>
              <w:rPr>
                <w:color w:val="000000"/>
              </w:rPr>
              <w:t xml:space="preserve">CH. The first slot and the </w:t>
            </w:r>
            <m:oMath>
              <m:r>
                <m:rPr>
                  <m:sty m:val="p"/>
                </m:rPr>
                <w:rPr>
                  <w:rFonts w:ascii="Cambria Math" w:hAnsi="Cambria Math"/>
                  <w:color w:val="000000"/>
                </w:rPr>
                <m:t>Be</m:t>
              </m:r>
              <m:r>
                <m:rPr>
                  <m:sty m:val="p"/>
                </m:rPr>
                <w:rPr>
                  <w:rFonts w:ascii="Cambria Math" w:hAnsi="Cambria Math"/>
                </w:rPr>
                <m:t>amAppTime_r17</m:t>
              </m:r>
            </m:oMath>
            <w:r>
              <w:t xml:space="preserve"> symbols are both determined on the carrier with the smallest SCS among the carrier(s) applying the beam indication.</w:t>
            </w:r>
          </w:p>
        </w:tc>
      </w:tr>
    </w:tbl>
    <w:p w14:paraId="5CB2BE85" w14:textId="77777777" w:rsidR="00760976" w:rsidRDefault="00760976" w:rsidP="00760976">
      <w:pPr>
        <w:spacing w:before="120" w:after="120" w:line="240" w:lineRule="auto"/>
        <w:ind w:left="0" w:firstLineChars="100" w:firstLine="220"/>
        <w:rPr>
          <w:rFonts w:eastAsia="바탕"/>
          <w:sz w:val="22"/>
          <w:szCs w:val="22"/>
          <w:lang w:eastAsia="ko-KR"/>
        </w:rPr>
      </w:pPr>
    </w:p>
    <w:p w14:paraId="5043C90F" w14:textId="23143034" w:rsidR="00760976" w:rsidRPr="00760976" w:rsidRDefault="00760976" w:rsidP="00760976">
      <w:pPr>
        <w:spacing w:before="120" w:after="120" w:line="240" w:lineRule="auto"/>
        <w:ind w:left="0" w:firstLineChars="100" w:firstLine="220"/>
        <w:rPr>
          <w:rFonts w:eastAsia="바탕"/>
          <w:sz w:val="22"/>
          <w:szCs w:val="22"/>
          <w:lang w:eastAsia="ko-KR"/>
        </w:rPr>
      </w:pPr>
      <w:r w:rsidRPr="00760976">
        <w:rPr>
          <w:rFonts w:eastAsia="바탕" w:hint="eastAsia"/>
          <w:sz w:val="22"/>
          <w:szCs w:val="22"/>
          <w:lang w:eastAsia="ko-KR"/>
        </w:rPr>
        <w:t xml:space="preserve">Next, </w:t>
      </w:r>
      <w:r w:rsidRPr="00760976">
        <w:rPr>
          <w:rFonts w:eastAsia="바탕"/>
          <w:sz w:val="22"/>
          <w:szCs w:val="22"/>
          <w:lang w:eastAsia="ko-KR"/>
        </w:rPr>
        <w:t>a</w:t>
      </w:r>
      <w:r w:rsidRPr="00760976">
        <w:rPr>
          <w:rFonts w:eastAsia="바탕" w:hint="eastAsia"/>
          <w:sz w:val="22"/>
          <w:szCs w:val="22"/>
          <w:lang w:eastAsia="ko-KR"/>
        </w:rPr>
        <w:t xml:space="preserve">ccording to </w:t>
      </w:r>
      <w:r w:rsidRPr="00760976">
        <w:rPr>
          <w:rFonts w:eastAsia="바탕"/>
          <w:sz w:val="22"/>
          <w:szCs w:val="22"/>
          <w:lang w:eastAsia="ko-KR"/>
        </w:rPr>
        <w:t>the above captured paragraph</w:t>
      </w:r>
      <w:r w:rsidRPr="00760976">
        <w:rPr>
          <w:rFonts w:eastAsia="바탕" w:hint="eastAsia"/>
          <w:sz w:val="22"/>
          <w:szCs w:val="22"/>
          <w:lang w:eastAsia="ko-KR"/>
        </w:rPr>
        <w:t xml:space="preserve">, </w:t>
      </w:r>
      <w:r w:rsidRPr="00760976">
        <w:rPr>
          <w:rFonts w:eastAsia="바탕"/>
          <w:sz w:val="22"/>
          <w:szCs w:val="22"/>
          <w:lang w:eastAsia="ko-KR"/>
        </w:rPr>
        <w:t xml:space="preserve">it is observed that </w:t>
      </w:r>
      <w:r w:rsidRPr="00760976">
        <w:rPr>
          <w:rFonts w:eastAsia="바탕"/>
          <w:sz w:val="22"/>
          <w:szCs w:val="22"/>
          <w:lang w:val="en-US" w:eastAsia="ko-KR"/>
        </w:rPr>
        <w:t xml:space="preserve">the applied TCI states </w:t>
      </w:r>
      <w:r w:rsidR="00712AC8" w:rsidRPr="00760976">
        <w:rPr>
          <w:rFonts w:eastAsia="바탕"/>
          <w:sz w:val="22"/>
          <w:szCs w:val="22"/>
          <w:lang w:val="en-US" w:eastAsia="ko-KR"/>
        </w:rPr>
        <w:t xml:space="preserve">using unified TCI framework </w:t>
      </w:r>
      <w:r w:rsidRPr="00760976">
        <w:rPr>
          <w:rFonts w:eastAsia="바탕"/>
          <w:sz w:val="22"/>
          <w:szCs w:val="22"/>
          <w:lang w:val="en-US" w:eastAsia="ko-KR"/>
        </w:rPr>
        <w:t>can be updated within the span of multi-slot PDSCH.</w:t>
      </w:r>
      <w:r>
        <w:rPr>
          <w:rFonts w:eastAsia="바탕"/>
          <w:sz w:val="22"/>
          <w:szCs w:val="22"/>
          <w:lang w:val="en-US" w:eastAsia="ko-KR"/>
        </w:rPr>
        <w:t xml:space="preserve"> Therefore, with this understanding, it would be straight-forward to adopt Alt 1 also for multi-PDSCH scheduling case.</w:t>
      </w:r>
    </w:p>
    <w:p w14:paraId="53852EFF" w14:textId="77777777" w:rsidR="00760976" w:rsidRDefault="00760976" w:rsidP="00760976">
      <w:pPr>
        <w:spacing w:before="120" w:after="120" w:line="240" w:lineRule="auto"/>
        <w:ind w:left="0" w:firstLineChars="100" w:firstLine="220"/>
        <w:rPr>
          <w:rFonts w:eastAsia="바탕"/>
          <w:sz w:val="22"/>
          <w:szCs w:val="22"/>
          <w:lang w:eastAsia="ko-KR"/>
        </w:rPr>
      </w:pPr>
    </w:p>
    <w:p w14:paraId="3768D1B7" w14:textId="77777777" w:rsidR="00760976" w:rsidRDefault="00760976" w:rsidP="00760976">
      <w:pPr>
        <w:spacing w:before="120" w:after="120" w:line="240" w:lineRule="auto"/>
        <w:ind w:left="0" w:firstLineChars="100" w:firstLine="216"/>
        <w:rPr>
          <w:rFonts w:eastAsia="바탕"/>
          <w:b/>
          <w:sz w:val="22"/>
          <w:szCs w:val="22"/>
          <w:lang w:val="en-US" w:eastAsia="ko-KR"/>
        </w:rPr>
      </w:pPr>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sidRPr="00760976">
        <w:rPr>
          <w:rFonts w:eastAsia="바탕"/>
          <w:b/>
          <w:sz w:val="22"/>
          <w:szCs w:val="22"/>
          <w:lang w:eastAsia="ko-KR"/>
        </w:rPr>
        <w:t xml:space="preserve">Adopt Alt1 (i.e., </w:t>
      </w:r>
      <w:r>
        <w:rPr>
          <w:rFonts w:eastAsia="바탕"/>
          <w:b/>
          <w:sz w:val="22"/>
          <w:szCs w:val="22"/>
          <w:lang w:val="en-US" w:eastAsia="ko-KR"/>
        </w:rPr>
        <w:t>t</w:t>
      </w:r>
      <w:r w:rsidRPr="00760976">
        <w:rPr>
          <w:rFonts w:eastAsia="바탕"/>
          <w:b/>
          <w:sz w:val="22"/>
          <w:szCs w:val="22"/>
          <w:lang w:val="en-US" w:eastAsia="ko-KR"/>
        </w:rPr>
        <w:t>he applied TCI states can be updated using unified TCI framework within the span of multi-PDSCH).</w:t>
      </w:r>
    </w:p>
    <w:p w14:paraId="4B423498" w14:textId="77777777" w:rsidR="00760976" w:rsidRPr="00760976" w:rsidRDefault="00760976" w:rsidP="00760976">
      <w:pPr>
        <w:pStyle w:val="ac"/>
        <w:numPr>
          <w:ilvl w:val="0"/>
          <w:numId w:val="34"/>
        </w:numPr>
        <w:spacing w:before="120" w:after="120" w:line="240" w:lineRule="auto"/>
        <w:ind w:leftChars="0"/>
        <w:rPr>
          <w:rFonts w:ascii="Times New Roman" w:hAnsi="Times New Roman"/>
          <w:b/>
          <w:sz w:val="22"/>
          <w:szCs w:val="22"/>
          <w:lang w:val="en-US" w:eastAsia="ko-KR"/>
        </w:rPr>
      </w:pPr>
      <w:r w:rsidRPr="00760976">
        <w:rPr>
          <w:rFonts w:ascii="Times New Roman" w:hAnsi="Times New Roman" w:hint="eastAsia"/>
          <w:b/>
          <w:sz w:val="22"/>
          <w:szCs w:val="22"/>
          <w:lang w:val="en-US" w:eastAsia="ko-KR"/>
        </w:rPr>
        <w:t xml:space="preserve">No additional specification </w:t>
      </w:r>
      <w:r>
        <w:rPr>
          <w:rFonts w:ascii="Times New Roman" w:hAnsi="Times New Roman"/>
          <w:b/>
          <w:sz w:val="22"/>
          <w:szCs w:val="22"/>
          <w:lang w:val="en-US" w:eastAsia="ko-KR"/>
        </w:rPr>
        <w:t xml:space="preserve">change </w:t>
      </w:r>
      <w:r w:rsidRPr="00760976">
        <w:rPr>
          <w:rFonts w:ascii="Times New Roman" w:hAnsi="Times New Roman" w:hint="eastAsia"/>
          <w:b/>
          <w:sz w:val="22"/>
          <w:szCs w:val="22"/>
          <w:lang w:val="en-US" w:eastAsia="ko-KR"/>
        </w:rPr>
        <w:t>is needed.</w:t>
      </w:r>
    </w:p>
    <w:p w14:paraId="2DD63087" w14:textId="77777777" w:rsidR="001621AC" w:rsidRPr="00760976" w:rsidRDefault="001621AC" w:rsidP="00FC47AB">
      <w:pPr>
        <w:spacing w:before="120" w:after="120" w:line="240" w:lineRule="auto"/>
        <w:ind w:left="0" w:firstLineChars="100" w:firstLine="220"/>
        <w:rPr>
          <w:rFonts w:eastAsia="바탕"/>
          <w:sz w:val="22"/>
          <w:szCs w:val="22"/>
          <w:lang w:val="en-US" w:eastAsia="ko-KR"/>
        </w:rPr>
      </w:pPr>
      <w:bookmarkStart w:id="12" w:name="_GoBack"/>
      <w:bookmarkEnd w:id="12"/>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ABDA9AD"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#1</w:t>
      </w:r>
      <w:r w:rsidRPr="002B431A">
        <w:rPr>
          <w:rFonts w:eastAsia="바탕"/>
          <w:b/>
          <w:sz w:val="22"/>
          <w:szCs w:val="22"/>
          <w:lang w:eastAsia="ko-KR"/>
        </w:rPr>
        <w:t xml:space="preserve">: </w:t>
      </w:r>
      <w:r w:rsidRPr="00983470">
        <w:rPr>
          <w:rFonts w:eastAsia="바탕"/>
          <w:b/>
          <w:sz w:val="22"/>
          <w:szCs w:val="22"/>
          <w:lang w:eastAsia="ko-KR"/>
        </w:rPr>
        <w:t>Support a UE capability for Rx and Tx beam switching ti</w:t>
      </w:r>
      <w:r>
        <w:rPr>
          <w:rFonts w:eastAsia="바탕"/>
          <w:b/>
          <w:sz w:val="22"/>
          <w:szCs w:val="22"/>
          <w:lang w:eastAsia="ko-KR"/>
        </w:rPr>
        <w:t>me between adjacent DL signals/</w:t>
      </w:r>
      <w:r w:rsidRPr="00983470">
        <w:rPr>
          <w:rFonts w:eastAsia="바탕"/>
          <w:b/>
          <w:sz w:val="22"/>
          <w:szCs w:val="22"/>
          <w:lang w:eastAsia="ko-KR"/>
        </w:rPr>
        <w:t>channels and adjacent UL signals/channels, respectively</w:t>
      </w:r>
      <w:r>
        <w:rPr>
          <w:rFonts w:eastAsia="바탕"/>
          <w:b/>
          <w:sz w:val="22"/>
          <w:szCs w:val="22"/>
          <w:lang w:eastAsia="ko-KR"/>
        </w:rPr>
        <w:t>.</w:t>
      </w:r>
    </w:p>
    <w:p w14:paraId="79231102"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983470">
        <w:rPr>
          <w:rFonts w:eastAsia="바탕"/>
          <w:b/>
          <w:sz w:val="22"/>
          <w:szCs w:val="22"/>
          <w:lang w:eastAsia="ko-KR"/>
        </w:rPr>
        <w:t xml:space="preserve">Define UE behavior (e.g., drop CG-PUSCH or </w:t>
      </w:r>
      <w:r>
        <w:rPr>
          <w:rFonts w:eastAsia="바탕"/>
          <w:b/>
          <w:sz w:val="22"/>
          <w:szCs w:val="22"/>
          <w:lang w:eastAsia="ko-KR"/>
        </w:rPr>
        <w:t xml:space="preserve">drop </w:t>
      </w:r>
      <w:r w:rsidRPr="00983470">
        <w:rPr>
          <w:rFonts w:eastAsia="바탕"/>
          <w:b/>
          <w:sz w:val="22"/>
          <w:szCs w:val="22"/>
          <w:lang w:eastAsia="ko-KR"/>
        </w:rPr>
        <w:t xml:space="preserve">DG-PUSCH depending on PUSCH cancellation time) when </w:t>
      </w:r>
      <w:r>
        <w:rPr>
          <w:rFonts w:eastAsia="바탕"/>
          <w:b/>
          <w:sz w:val="22"/>
          <w:szCs w:val="22"/>
          <w:lang w:eastAsia="ko-KR"/>
        </w:rPr>
        <w:t xml:space="preserve">CG-PUSCH and DG-PUSCH transmissions are consecutively assigned and the reported </w:t>
      </w:r>
      <w:r w:rsidRPr="00983470">
        <w:rPr>
          <w:rFonts w:eastAsia="바탕"/>
          <w:b/>
          <w:sz w:val="22"/>
          <w:szCs w:val="22"/>
          <w:lang w:eastAsia="ko-KR"/>
        </w:rPr>
        <w:t xml:space="preserve">beam switching time between CG-PUSCH and DG-PUSCH is not </w:t>
      </w:r>
      <w:r>
        <w:rPr>
          <w:rFonts w:eastAsia="바탕"/>
          <w:b/>
          <w:sz w:val="22"/>
          <w:szCs w:val="22"/>
          <w:lang w:eastAsia="ko-KR"/>
        </w:rPr>
        <w:t>guaranteed.</w:t>
      </w:r>
    </w:p>
    <w:p w14:paraId="63379FA6" w14:textId="77777777" w:rsidR="00760976" w:rsidRDefault="00760976" w:rsidP="00760976">
      <w:pPr>
        <w:spacing w:before="120" w:after="120" w:line="240" w:lineRule="auto"/>
        <w:ind w:left="0" w:firstLineChars="100" w:firstLine="216"/>
        <w:rPr>
          <w:rFonts w:eastAsia="바탕"/>
          <w:b/>
          <w:sz w:val="22"/>
          <w:szCs w:val="22"/>
          <w:lang w:val="en-US" w:eastAsia="ko-KR"/>
        </w:rPr>
      </w:pPr>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sidRPr="00760976">
        <w:rPr>
          <w:rFonts w:eastAsia="바탕"/>
          <w:b/>
          <w:sz w:val="22"/>
          <w:szCs w:val="22"/>
          <w:lang w:eastAsia="ko-KR"/>
        </w:rPr>
        <w:t xml:space="preserve">Adopt Alt1 (i.e., </w:t>
      </w:r>
      <w:r>
        <w:rPr>
          <w:rFonts w:eastAsia="바탕"/>
          <w:b/>
          <w:sz w:val="22"/>
          <w:szCs w:val="22"/>
          <w:lang w:val="en-US" w:eastAsia="ko-KR"/>
        </w:rPr>
        <w:t>t</w:t>
      </w:r>
      <w:r w:rsidRPr="00760976">
        <w:rPr>
          <w:rFonts w:eastAsia="바탕"/>
          <w:b/>
          <w:sz w:val="22"/>
          <w:szCs w:val="22"/>
          <w:lang w:val="en-US" w:eastAsia="ko-KR"/>
        </w:rPr>
        <w:t>he applied TCI states can be updated using unified TCI framework within the span of multi-PDSCH).</w:t>
      </w:r>
    </w:p>
    <w:p w14:paraId="67F47FEA" w14:textId="77777777" w:rsidR="00760976" w:rsidRPr="00760976" w:rsidRDefault="00760976" w:rsidP="00760976">
      <w:pPr>
        <w:pStyle w:val="ac"/>
        <w:numPr>
          <w:ilvl w:val="0"/>
          <w:numId w:val="34"/>
        </w:numPr>
        <w:spacing w:before="120" w:after="120" w:line="240" w:lineRule="auto"/>
        <w:ind w:leftChars="0"/>
        <w:rPr>
          <w:rFonts w:ascii="Times New Roman" w:hAnsi="Times New Roman"/>
          <w:b/>
          <w:sz w:val="22"/>
          <w:szCs w:val="22"/>
          <w:lang w:val="en-US" w:eastAsia="ko-KR"/>
        </w:rPr>
      </w:pPr>
      <w:r w:rsidRPr="00760976">
        <w:rPr>
          <w:rFonts w:ascii="Times New Roman" w:hAnsi="Times New Roman" w:hint="eastAsia"/>
          <w:b/>
          <w:sz w:val="22"/>
          <w:szCs w:val="22"/>
          <w:lang w:val="en-US" w:eastAsia="ko-KR"/>
        </w:rPr>
        <w:t xml:space="preserve">No additional specification </w:t>
      </w:r>
      <w:r>
        <w:rPr>
          <w:rFonts w:ascii="Times New Roman" w:hAnsi="Times New Roman"/>
          <w:b/>
          <w:sz w:val="22"/>
          <w:szCs w:val="22"/>
          <w:lang w:val="en-US" w:eastAsia="ko-KR"/>
        </w:rPr>
        <w:t xml:space="preserve">change </w:t>
      </w:r>
      <w:r w:rsidRPr="00760976">
        <w:rPr>
          <w:rFonts w:ascii="Times New Roman" w:hAnsi="Times New Roman" w:hint="eastAsia"/>
          <w:b/>
          <w:sz w:val="22"/>
          <w:szCs w:val="22"/>
          <w:lang w:val="en-US" w:eastAsia="ko-KR"/>
        </w:rPr>
        <w:t>is needed.</w:t>
      </w:r>
    </w:p>
    <w:p w14:paraId="023D84F1" w14:textId="77777777" w:rsidR="00755DD0" w:rsidRPr="00760976" w:rsidRDefault="00755DD0" w:rsidP="00755DD0">
      <w:pPr>
        <w:spacing w:before="120" w:after="120" w:line="240" w:lineRule="auto"/>
        <w:ind w:left="0" w:firstLineChars="100" w:firstLine="216"/>
        <w:rPr>
          <w:rFonts w:eastAsia="바탕"/>
          <w:b/>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6C182C23" w:rsidR="00072744" w:rsidRPr="007D20C7" w:rsidRDefault="007D20C7" w:rsidP="00072744">
      <w:pPr>
        <w:pStyle w:val="References"/>
        <w:rPr>
          <w:lang w:eastAsia="ko-KR"/>
        </w:rPr>
      </w:pPr>
      <w:r w:rsidRPr="007D20C7">
        <w:rPr>
          <w:rFonts w:eastAsiaTheme="minorEastAsia"/>
          <w:bCs/>
          <w:lang w:val="en-GB" w:eastAsia="ko-KR"/>
        </w:rPr>
        <w:t>R1-2106425</w:t>
      </w:r>
      <w:r w:rsidRPr="007D20C7">
        <w:rPr>
          <w:rFonts w:eastAsiaTheme="minorEastAsia"/>
          <w:szCs w:val="22"/>
          <w:lang w:eastAsia="ko-KR"/>
        </w:rPr>
        <w:t>, “</w:t>
      </w:r>
      <w:r w:rsidRPr="007D20C7">
        <w:rPr>
          <w:color w:val="000000"/>
        </w:rPr>
        <w:t>LS on 60 GHz time-related issues</w:t>
      </w:r>
      <w:r w:rsidRPr="007D20C7">
        <w:rPr>
          <w:rFonts w:eastAsiaTheme="minorEastAsia"/>
          <w:szCs w:val="22"/>
          <w:lang w:eastAsia="ko-KR"/>
        </w:rPr>
        <w:t>,” RAN4, Apple, RAN1#106-e</w:t>
      </w:r>
    </w:p>
    <w:p w14:paraId="6769B82F" w14:textId="77777777" w:rsidR="00072744" w:rsidRPr="007D20C7"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93F78" w14:textId="77777777" w:rsidR="009A15F5" w:rsidRDefault="009A15F5" w:rsidP="00CB15B0">
      <w:pPr>
        <w:spacing w:before="0" w:after="0" w:line="240" w:lineRule="auto"/>
      </w:pPr>
      <w:r>
        <w:separator/>
      </w:r>
    </w:p>
  </w:endnote>
  <w:endnote w:type="continuationSeparator" w:id="0">
    <w:p w14:paraId="6C5BB288" w14:textId="77777777" w:rsidR="009A15F5" w:rsidRDefault="009A15F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62F4A" w14:textId="77777777" w:rsidR="009A15F5" w:rsidRDefault="009A15F5" w:rsidP="00CB15B0">
      <w:pPr>
        <w:spacing w:before="0" w:after="0" w:line="240" w:lineRule="auto"/>
      </w:pPr>
      <w:r>
        <w:separator/>
      </w:r>
    </w:p>
  </w:footnote>
  <w:footnote w:type="continuationSeparator" w:id="0">
    <w:p w14:paraId="4E6084CC" w14:textId="77777777" w:rsidR="009A15F5" w:rsidRDefault="009A15F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4"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C300CF"/>
    <w:multiLevelType w:val="hybridMultilevel"/>
    <w:tmpl w:val="1624E446"/>
    <w:lvl w:ilvl="0" w:tplc="BF7C7E70">
      <w:start w:val="5"/>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3"/>
  </w:num>
  <w:num w:numId="4">
    <w:abstractNumId w:val="7"/>
  </w:num>
  <w:num w:numId="5">
    <w:abstractNumId w:val="5"/>
  </w:num>
  <w:num w:numId="6">
    <w:abstractNumId w:val="10"/>
  </w:num>
  <w:num w:numId="7">
    <w:abstractNumId w:val="12"/>
  </w:num>
  <w:num w:numId="8">
    <w:abstractNumId w:val="1"/>
  </w:num>
  <w:num w:numId="9">
    <w:abstractNumId w:val="4"/>
  </w:num>
  <w:num w:numId="10">
    <w:abstractNumId w:val="2"/>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8"/>
  </w:num>
  <w:num w:numId="20">
    <w:abstractNumId w:val="25"/>
  </w:num>
  <w:num w:numId="21">
    <w:abstractNumId w:val="16"/>
  </w:num>
  <w:num w:numId="22">
    <w:abstractNumId w:val="23"/>
  </w:num>
  <w:num w:numId="23">
    <w:abstractNumId w:val="11"/>
  </w:num>
  <w:num w:numId="24">
    <w:abstractNumId w:val="3"/>
  </w:num>
  <w:num w:numId="25">
    <w:abstractNumId w:val="15"/>
  </w:num>
  <w:num w:numId="26">
    <w:abstractNumId w:val="26"/>
  </w:num>
  <w:num w:numId="27">
    <w:abstractNumId w:val="22"/>
  </w:num>
  <w:num w:numId="28">
    <w:abstractNumId w:val="18"/>
  </w:num>
  <w:num w:numId="29">
    <w:abstractNumId w:val="19"/>
  </w:num>
  <w:num w:numId="30">
    <w:abstractNumId w:val="28"/>
  </w:num>
  <w:num w:numId="31">
    <w:abstractNumId w:val="27"/>
  </w:num>
  <w:num w:numId="32">
    <w:abstractNumId w:val="17"/>
  </w:num>
  <w:num w:numId="33">
    <w:abstractNumId w:val="9"/>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AC8"/>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976"/>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0C7"/>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0E0"/>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F5"/>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A1F"/>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273"/>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5D6"/>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3DA"/>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05B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5A0F5-4629-4E71-AE33-5796BF94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1057</Words>
  <Characters>6025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32</cp:revision>
  <cp:lastPrinted>2018-02-12T06:55:00Z</cp:lastPrinted>
  <dcterms:created xsi:type="dcterms:W3CDTF">2021-10-01T09:11:00Z</dcterms:created>
  <dcterms:modified xsi:type="dcterms:W3CDTF">2022-04-25T08:20:00Z</dcterms:modified>
</cp:coreProperties>
</file>