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3382" w14:textId="0CFB9762" w:rsidR="004E3508" w:rsidRPr="006E28C2" w:rsidRDefault="004E3508" w:rsidP="004E3508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F3761E">
        <w:rPr>
          <w:rFonts w:ascii="Times New Roman" w:hAnsi="Times New Roman"/>
          <w:b/>
          <w:bCs/>
          <w:sz w:val="28"/>
        </w:rPr>
        <w:t>9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DC610A" w:rsidRPr="00A16CCE">
        <w:rPr>
          <w:rFonts w:ascii="Times New Roman" w:hAnsi="Times New Roman"/>
          <w:b/>
          <w:bCs/>
          <w:sz w:val="28"/>
        </w:rPr>
        <w:t>220</w:t>
      </w:r>
      <w:r w:rsidR="00BB4B5E">
        <w:rPr>
          <w:rFonts w:ascii="Times New Roman" w:hAnsi="Times New Roman"/>
          <w:b/>
          <w:bCs/>
          <w:sz w:val="28"/>
        </w:rPr>
        <w:t>45</w:t>
      </w:r>
      <w:r w:rsidR="00F167F6">
        <w:rPr>
          <w:rFonts w:ascii="Times New Roman" w:hAnsi="Times New Roman"/>
          <w:b/>
          <w:bCs/>
          <w:sz w:val="28"/>
        </w:rPr>
        <w:t>5</w:t>
      </w:r>
      <w:r w:rsidR="005C3D2D">
        <w:rPr>
          <w:rFonts w:ascii="Times New Roman" w:hAnsi="Times New Roman"/>
          <w:b/>
          <w:bCs/>
          <w:sz w:val="28"/>
        </w:rPr>
        <w:t>1</w:t>
      </w:r>
    </w:p>
    <w:p w14:paraId="1067FCFD" w14:textId="21549A66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="00BB4B5E">
        <w:rPr>
          <w:rFonts w:ascii="Times New Roman" w:hAnsi="Times New Roman"/>
          <w:b/>
          <w:bCs/>
          <w:sz w:val="28"/>
          <w:lang w:val="en-GB"/>
        </w:rPr>
        <w:t>May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</w:t>
      </w:r>
      <w:r w:rsidR="00BB4B5E">
        <w:rPr>
          <w:rFonts w:ascii="Times New Roman" w:hAnsi="Times New Roman"/>
          <w:b/>
          <w:bCs/>
          <w:sz w:val="28"/>
          <w:lang w:val="en-GB"/>
        </w:rPr>
        <w:t>9</w:t>
      </w:r>
      <w:r w:rsidR="00BB4B5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– </w:t>
      </w:r>
      <w:r w:rsidR="00BB4B5E">
        <w:rPr>
          <w:rFonts w:ascii="Times New Roman" w:hAnsi="Times New Roman"/>
          <w:b/>
          <w:bCs/>
          <w:sz w:val="28"/>
          <w:lang w:val="en-GB"/>
        </w:rPr>
        <w:t>20</w:t>
      </w:r>
      <w:r w:rsidR="00BB4B5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>, 202</w:t>
      </w:r>
      <w:r w:rsidR="003A732A">
        <w:rPr>
          <w:rFonts w:ascii="Times New Roman" w:hAnsi="Times New Roman"/>
          <w:b/>
          <w:bCs/>
          <w:sz w:val="28"/>
          <w:lang w:val="en-GB"/>
        </w:rPr>
        <w:t>2</w:t>
      </w:r>
    </w:p>
    <w:p w14:paraId="00612618" w14:textId="77777777" w:rsidR="00473A70" w:rsidRPr="004E3508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6967B6A6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6524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potential enhancements on dynamic/flexible TDD</w:t>
      </w:r>
    </w:p>
    <w:p w14:paraId="6FE3A7FF" w14:textId="1CD9210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hAnsi="Times New Roman"/>
          <w:b/>
          <w:kern w:val="0"/>
          <w:sz w:val="24"/>
          <w:szCs w:val="20"/>
        </w:rPr>
        <w:t>9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3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5C3D2D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6CB3A2BE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6A6457A5" w14:textId="0BCD8B65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C41043">
        <w:rPr>
          <w:rFonts w:ascii="Times New Roman" w:hAnsi="Times New Roman"/>
          <w:kern w:val="0"/>
          <w:sz w:val="22"/>
        </w:rPr>
        <w:t>RAN#</w:t>
      </w:r>
      <w:r w:rsidR="000659C2">
        <w:rPr>
          <w:rFonts w:ascii="Times New Roman" w:hAnsi="Times New Roman"/>
          <w:kern w:val="0"/>
          <w:sz w:val="22"/>
        </w:rPr>
        <w:t>95</w:t>
      </w:r>
      <w:r w:rsidR="00C41043">
        <w:rPr>
          <w:rFonts w:ascii="Times New Roman" w:hAnsi="Times New Roman"/>
          <w:kern w:val="0"/>
          <w:sz w:val="22"/>
        </w:rPr>
        <w:t>-e meeting</w:t>
      </w:r>
      <w:r w:rsidR="000659C2">
        <w:rPr>
          <w:rFonts w:ascii="Times New Roman" w:hAnsi="Times New Roman"/>
          <w:kern w:val="0"/>
          <w:sz w:val="22"/>
        </w:rPr>
        <w:t xml:space="preserve">, </w:t>
      </w:r>
      <w:r w:rsidR="001D0F11">
        <w:rPr>
          <w:rFonts w:ascii="Times New Roman" w:hAnsi="Times New Roman"/>
          <w:kern w:val="0"/>
          <w:sz w:val="22"/>
        </w:rPr>
        <w:t>revised</w:t>
      </w:r>
      <w:r w:rsidR="000659C2">
        <w:rPr>
          <w:rFonts w:ascii="Times New Roman" w:hAnsi="Times New Roman"/>
          <w:kern w:val="0"/>
          <w:sz w:val="22"/>
        </w:rPr>
        <w:t xml:space="preserve"> SID on </w:t>
      </w:r>
      <w:r w:rsidR="00436153">
        <w:rPr>
          <w:rFonts w:ascii="Times New Roman" w:hAnsi="Times New Roman"/>
          <w:kern w:val="0"/>
          <w:sz w:val="22"/>
        </w:rPr>
        <w:t>evolution of NR duplex operation</w:t>
      </w:r>
      <w:r w:rsidR="000659C2">
        <w:rPr>
          <w:rFonts w:ascii="Times New Roman" w:hAnsi="Times New Roman"/>
          <w:kern w:val="0"/>
          <w:sz w:val="22"/>
        </w:rPr>
        <w:t xml:space="preserve"> was approved</w:t>
      </w:r>
      <w:r w:rsidR="00E51AE9">
        <w:rPr>
          <w:rFonts w:ascii="Times New Roman" w:hAnsi="Times New Roman"/>
          <w:kern w:val="0"/>
          <w:sz w:val="22"/>
        </w:rPr>
        <w:t xml:space="preserve"> </w:t>
      </w:r>
      <w:r w:rsidR="000659C2">
        <w:rPr>
          <w:rFonts w:ascii="Times New Roman" w:hAnsi="Times New Roman"/>
          <w:kern w:val="0"/>
          <w:sz w:val="22"/>
        </w:rPr>
        <w:t xml:space="preserve">[1], and the objective for </w:t>
      </w:r>
      <w:r w:rsidR="00436153">
        <w:rPr>
          <w:rFonts w:ascii="Times New Roman" w:hAnsi="Times New Roman"/>
          <w:kern w:val="0"/>
          <w:sz w:val="22"/>
        </w:rPr>
        <w:t>evolution of NR duplex operation</w:t>
      </w:r>
      <w:r w:rsidR="000659C2">
        <w:rPr>
          <w:rFonts w:ascii="Times New Roman" w:hAnsi="Times New Roman"/>
          <w:kern w:val="0"/>
          <w:sz w:val="22"/>
        </w:rPr>
        <w:t xml:space="preserve"> is listed as follows</w:t>
      </w:r>
      <w:r w:rsidRPr="008B6F35">
        <w:rPr>
          <w:rFonts w:ascii="Times New Roman" w:hAnsi="Times New Roman"/>
          <w:kern w:val="0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50EEE04D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bookmarkStart w:id="0" w:name="_Hlk89819652"/>
            <w:r w:rsidRPr="00680481">
              <w:rPr>
                <w:rFonts w:ascii="Times New Roman" w:eastAsia="DengXian" w:hAnsi="Times New Roman"/>
                <w:lang w:val="en-GB" w:eastAsia="en-GB"/>
              </w:rPr>
              <w:t>The objective of this study is to identify and evaluate the potential enhancements to support duplex evolution for NR TDD in unpaired spectrum.</w:t>
            </w:r>
          </w:p>
          <w:p w14:paraId="18DE71C8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eastAsia="DengXian" w:hAnsi="Times New Roman"/>
                <w:bCs/>
                <w:lang w:val="en-GB"/>
              </w:rPr>
              <w:t>In this study, the followings are assumed:</w:t>
            </w:r>
          </w:p>
          <w:p w14:paraId="28BFB730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Duplex enhancement at the gNB side</w:t>
            </w:r>
          </w:p>
          <w:p w14:paraId="5DE36262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Half duplex operation at the UE side</w:t>
            </w:r>
          </w:p>
          <w:p w14:paraId="77424169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No restriction on frequency ranges</w:t>
            </w:r>
          </w:p>
          <w:p w14:paraId="41414203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eastAsia="DengXian" w:hAnsi="Times New Roman" w:hint="eastAsia"/>
                <w:bCs/>
                <w:lang w:val="en-GB"/>
              </w:rPr>
              <w:t xml:space="preserve">The detailed objectives are as </w:t>
            </w:r>
            <w:r w:rsidRPr="00680481">
              <w:rPr>
                <w:rFonts w:ascii="Times New Roman" w:eastAsia="DengXian" w:hAnsi="Times New Roman"/>
                <w:bCs/>
                <w:lang w:val="en-GB"/>
              </w:rPr>
              <w:t>follows</w:t>
            </w:r>
            <w:r w:rsidRPr="00680481">
              <w:rPr>
                <w:rFonts w:ascii="Times New Roman" w:eastAsia="DengXian" w:hAnsi="Times New Roman" w:hint="eastAsia"/>
                <w:bCs/>
                <w:lang w:val="en-GB"/>
              </w:rPr>
              <w:t>:</w:t>
            </w:r>
          </w:p>
          <w:p w14:paraId="7F8E45A7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>Identify applicable and relevant deployment scenarios (RAN1).</w:t>
            </w:r>
          </w:p>
          <w:p w14:paraId="10130C56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>Develop evaluation methodology for duplex enhancement (RAN1).</w:t>
            </w:r>
          </w:p>
          <w:p w14:paraId="45CCEBAD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hAnsi="Times New Roman" w:hint="eastAsia"/>
              </w:rPr>
              <w:t xml:space="preserve">Study </w:t>
            </w:r>
            <w:r w:rsidRPr="00680481">
              <w:rPr>
                <w:rFonts w:ascii="Times New Roman" w:hAnsi="Times New Roman"/>
              </w:rPr>
              <w:t xml:space="preserve">the </w:t>
            </w:r>
            <w:proofErr w:type="spellStart"/>
            <w:r w:rsidRPr="00680481">
              <w:rPr>
                <w:rFonts w:ascii="Times New Roman" w:hAnsi="Times New Roman"/>
              </w:rPr>
              <w:t>subband</w:t>
            </w:r>
            <w:proofErr w:type="spellEnd"/>
            <w:r w:rsidRPr="00680481">
              <w:rPr>
                <w:rFonts w:ascii="Times New Roman" w:hAnsi="Times New Roman"/>
              </w:rPr>
              <w:t xml:space="preserve"> non-overlapping full duplex and </w:t>
            </w:r>
            <w:bookmarkStart w:id="1" w:name="_Hlk89796625"/>
            <w:r w:rsidRPr="00680481">
              <w:rPr>
                <w:rFonts w:ascii="Times New Roman" w:hAnsi="Times New Roman"/>
              </w:rPr>
              <w:t xml:space="preserve">potential enhancements on </w:t>
            </w:r>
            <w:r w:rsidRPr="00680481">
              <w:rPr>
                <w:rFonts w:ascii="Times New Roman" w:hAnsi="Times New Roman"/>
                <w:bCs/>
                <w:lang w:val="en-GB"/>
              </w:rPr>
              <w:t>dynamic/flexible TDD</w:t>
            </w:r>
            <w:bookmarkEnd w:id="1"/>
            <w:r w:rsidRPr="00680481">
              <w:rPr>
                <w:rFonts w:ascii="Times New Roman" w:hAnsi="Times New Roman"/>
                <w:bCs/>
                <w:lang w:val="en-GB"/>
              </w:rPr>
              <w:t xml:space="preserve"> (RAN1, RAN4).</w:t>
            </w:r>
          </w:p>
          <w:p w14:paraId="617A1AAC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Identify possible schemes and evaluate their feasibility and performances (RAN1).</w:t>
            </w:r>
          </w:p>
          <w:p w14:paraId="245E159F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Study inter-gNB and inter-UE CLI handling and identify solutions to manage them (RAN1). </w:t>
            </w:r>
          </w:p>
          <w:p w14:paraId="48704622" w14:textId="77777777" w:rsidR="00680481" w:rsidRPr="00680481" w:rsidRDefault="00680481" w:rsidP="00680481">
            <w:pPr>
              <w:widowControl/>
              <w:numPr>
                <w:ilvl w:val="1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Consider intra-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and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in case of the </w:t>
            </w:r>
            <w:proofErr w:type="spellStart"/>
            <w:r w:rsidRPr="00680481">
              <w:rPr>
                <w:rFonts w:ascii="Times New Roman" w:hAnsi="Times New Roman"/>
              </w:rPr>
              <w:t>subband</w:t>
            </w:r>
            <w:proofErr w:type="spellEnd"/>
            <w:r w:rsidRPr="00680481">
              <w:rPr>
                <w:rFonts w:ascii="Times New Roman" w:hAnsi="Times New Roman"/>
              </w:rPr>
              <w:t xml:space="preserve"> non-overlapping full duplex</w:t>
            </w:r>
            <w:r w:rsidRPr="00680481">
              <w:rPr>
                <w:rFonts w:ascii="Times New Roman" w:hAnsi="Times New Roman"/>
                <w:bCs/>
                <w:lang w:val="en-GB"/>
              </w:rPr>
              <w:t>.</w:t>
            </w:r>
          </w:p>
          <w:p w14:paraId="163F6A3C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performance of the identified schemes as well as the impact on legacy operation assuming their co-existence in co-channel and adjacent channels (RAN1).</w:t>
            </w:r>
          </w:p>
          <w:p w14:paraId="19DB3825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feasibility of and impact on RF requirements considering adjacent-channel co-existence with the legacy operation (RAN4).</w:t>
            </w:r>
          </w:p>
          <w:p w14:paraId="0A05ADB3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feasibility of and impact on RF requirements considering the self-interference, the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CLI, and the inter-operator CLI at 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gNB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and the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and inter-operator CLI at UE (RAN4).</w:t>
            </w:r>
          </w:p>
          <w:p w14:paraId="16E55FBB" w14:textId="77777777" w:rsidR="00680481" w:rsidRPr="00680481" w:rsidRDefault="00680481" w:rsidP="00680481">
            <w:pPr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Note: RAN4 should be involved early to provide necessary information to RAN1 as needed and to study the feasibility aspects due to high impact in antenna/RF and algorithm design, which include antenna isolation, TX IM suppression in the RX part, </w:t>
            </w:r>
            <w:proofErr w:type="gramStart"/>
            <w:r w:rsidRPr="00680481">
              <w:rPr>
                <w:rFonts w:ascii="Times New Roman" w:hAnsi="Times New Roman"/>
                <w:bCs/>
                <w:lang w:val="en-GB"/>
              </w:rPr>
              <w:t>filtering</w:t>
            </w:r>
            <w:proofErr w:type="gramEnd"/>
            <w:r w:rsidRPr="00680481">
              <w:rPr>
                <w:rFonts w:ascii="Times New Roman" w:hAnsi="Times New Roman"/>
                <w:bCs/>
                <w:lang w:val="en-GB"/>
              </w:rPr>
              <w:t xml:space="preserve"> and digital interference suppression.</w:t>
            </w:r>
          </w:p>
          <w:p w14:paraId="78964925" w14:textId="77777777" w:rsidR="00680481" w:rsidRPr="00680481" w:rsidRDefault="00680481" w:rsidP="00680481">
            <w:pPr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 xml:space="preserve">Summarize the regulatory aspects that </w:t>
            </w:r>
            <w:proofErr w:type="gramStart"/>
            <w:r w:rsidRPr="00680481">
              <w:rPr>
                <w:rFonts w:ascii="Times New Roman" w:eastAsia="DengXian" w:hAnsi="Times New Roman"/>
                <w:lang w:eastAsia="en-GB"/>
              </w:rPr>
              <w:t>have to</w:t>
            </w:r>
            <w:proofErr w:type="gramEnd"/>
            <w:r w:rsidRPr="00680481">
              <w:rPr>
                <w:rFonts w:ascii="Times New Roman" w:eastAsia="DengXian" w:hAnsi="Times New Roman"/>
                <w:lang w:eastAsia="en-GB"/>
              </w:rPr>
              <w:t xml:space="preserve"> be considered for deploying the identified duplex enhancements in TDD unpaired spectrum (RAN4).</w:t>
            </w:r>
          </w:p>
          <w:p w14:paraId="7B984FEF" w14:textId="10B7FEC4" w:rsidR="00EF06DA" w:rsidRPr="00680481" w:rsidRDefault="00680481" w:rsidP="00680481">
            <w:pPr>
              <w:widowControl/>
              <w:wordWrap/>
              <w:overflowPunct w:val="0"/>
              <w:adjustRightInd w:val="0"/>
              <w:textAlignment w:val="baseline"/>
              <w:rPr>
                <w:rFonts w:ascii="Times New Roman" w:eastAsiaTheme="minorEastAsia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Note: For potential enhancements on dynamic/flexible TDD, utilize the outcome of discussion in Rel-15 and Rel-16 while avoiding the repetition of the same discussion. </w:t>
            </w:r>
            <w:bookmarkEnd w:id="0"/>
          </w:p>
        </w:tc>
      </w:tr>
    </w:tbl>
    <w:p w14:paraId="2452B61F" w14:textId="39C54F24" w:rsidR="00E17DAC" w:rsidRPr="00FC34AF" w:rsidRDefault="00473A70" w:rsidP="00F167F6">
      <w:pPr>
        <w:widowControl/>
        <w:wordWrap/>
        <w:autoSpaceDE/>
        <w:autoSpaceDN/>
        <w:spacing w:before="24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>In this contribution, we provide our view</w:t>
      </w:r>
      <w:r w:rsidR="00257CDD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on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7F909972" w:rsidR="00473A70" w:rsidRPr="00E45180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lastRenderedPageBreak/>
        <w:t xml:space="preserve">Discussion on </w:t>
      </w:r>
      <w:r w:rsidR="0086524A">
        <w:rPr>
          <w:rFonts w:ascii="Times New Roman" w:hAnsi="Times New Roman"/>
          <w:sz w:val="28"/>
          <w:szCs w:val="22"/>
        </w:rPr>
        <w:t>potential enhancements on dynamic/flexible TDD</w:t>
      </w:r>
    </w:p>
    <w:bookmarkEnd w:id="2"/>
    <w:p w14:paraId="1C10F9B2" w14:textId="5BB2F025" w:rsidR="003B4605" w:rsidRPr="007276A2" w:rsidRDefault="003B4605" w:rsidP="003B4605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Sub-band format configuration/indication</w:t>
      </w:r>
    </w:p>
    <w:p w14:paraId="7B5FC037" w14:textId="2BEF6AA1" w:rsidR="00E57521" w:rsidRDefault="00792C00" w:rsidP="00E57521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</w:t>
      </w:r>
      <w:r w:rsidR="009E2576">
        <w:rPr>
          <w:rFonts w:ascii="Times New Roman" w:eastAsiaTheme="minorEastAsia" w:hAnsi="Times New Roman"/>
          <w:sz w:val="22"/>
        </w:rPr>
        <w:t>RAN1</w:t>
      </w:r>
      <w:r>
        <w:rPr>
          <w:rFonts w:ascii="Times New Roman" w:eastAsiaTheme="minorEastAsia" w:hAnsi="Times New Roman"/>
          <w:sz w:val="22"/>
        </w:rPr>
        <w:t>, it should be studied</w:t>
      </w:r>
      <w:r w:rsidR="00864C08">
        <w:rPr>
          <w:rFonts w:ascii="Times New Roman" w:eastAsiaTheme="minorEastAsia" w:hAnsi="Times New Roman"/>
          <w:sz w:val="22"/>
        </w:rPr>
        <w:t xml:space="preserve"> </w:t>
      </w:r>
      <w:r w:rsidR="009E2576">
        <w:rPr>
          <w:rFonts w:ascii="Times New Roman" w:eastAsiaTheme="minorEastAsia" w:hAnsi="Times New Roman"/>
          <w:sz w:val="22"/>
        </w:rPr>
        <w:t xml:space="preserve">how to </w:t>
      </w:r>
      <w:r w:rsidR="005E7D83">
        <w:rPr>
          <w:rFonts w:ascii="Times New Roman" w:eastAsiaTheme="minorEastAsia" w:hAnsi="Times New Roman"/>
          <w:sz w:val="22"/>
        </w:rPr>
        <w:t xml:space="preserve">semi-statically </w:t>
      </w:r>
      <w:r w:rsidR="009E2576">
        <w:rPr>
          <w:rFonts w:ascii="Times New Roman" w:eastAsiaTheme="minorEastAsia" w:hAnsi="Times New Roman"/>
          <w:sz w:val="22"/>
        </w:rPr>
        <w:t xml:space="preserve">configure and/or </w:t>
      </w:r>
      <w:r w:rsidR="005E7D83">
        <w:rPr>
          <w:rFonts w:ascii="Times New Roman" w:eastAsiaTheme="minorEastAsia" w:hAnsi="Times New Roman"/>
          <w:sz w:val="22"/>
        </w:rPr>
        <w:t xml:space="preserve">dynamically </w:t>
      </w:r>
      <w:r w:rsidR="009E2576">
        <w:rPr>
          <w:rFonts w:ascii="Times New Roman" w:eastAsiaTheme="minorEastAsia" w:hAnsi="Times New Roman"/>
          <w:sz w:val="22"/>
        </w:rPr>
        <w:t>indicate sub-band to UE wh</w:t>
      </w:r>
      <w:r w:rsidR="00DB078B">
        <w:rPr>
          <w:rFonts w:ascii="Times New Roman" w:eastAsiaTheme="minorEastAsia" w:hAnsi="Times New Roman"/>
          <w:sz w:val="22"/>
        </w:rPr>
        <w:t>ich</w:t>
      </w:r>
      <w:r w:rsidR="009E2576">
        <w:rPr>
          <w:rFonts w:ascii="Times New Roman" w:eastAsiaTheme="minorEastAsia" w:hAnsi="Times New Roman"/>
          <w:sz w:val="22"/>
        </w:rPr>
        <w:t xml:space="preserve"> support</w:t>
      </w:r>
      <w:r w:rsidR="00DB078B">
        <w:rPr>
          <w:rFonts w:ascii="Times New Roman" w:eastAsiaTheme="minorEastAsia" w:hAnsi="Times New Roman"/>
          <w:sz w:val="22"/>
        </w:rPr>
        <w:t>s</w:t>
      </w:r>
      <w:r w:rsidR="009E2576">
        <w:rPr>
          <w:rFonts w:ascii="Times New Roman" w:eastAsiaTheme="minorEastAsia" w:hAnsi="Times New Roman"/>
          <w:sz w:val="22"/>
        </w:rPr>
        <w:t xml:space="preserve"> Rel-18 duplex operation.</w:t>
      </w:r>
      <w:r w:rsidR="00C6606E">
        <w:rPr>
          <w:rFonts w:ascii="Times New Roman" w:eastAsiaTheme="minorEastAsia" w:hAnsi="Times New Roman"/>
          <w:sz w:val="22"/>
        </w:rPr>
        <w:t xml:space="preserve"> </w:t>
      </w:r>
      <w:r w:rsidR="00DB078B">
        <w:rPr>
          <w:rFonts w:ascii="Times New Roman" w:eastAsiaTheme="minorEastAsia" w:hAnsi="Times New Roman"/>
          <w:sz w:val="22"/>
        </w:rPr>
        <w:t xml:space="preserve">Existing </w:t>
      </w:r>
      <w:r w:rsidR="003F73EA">
        <w:rPr>
          <w:rFonts w:ascii="Times New Roman" w:eastAsiaTheme="minorEastAsia" w:hAnsi="Times New Roman"/>
          <w:sz w:val="22"/>
        </w:rPr>
        <w:t xml:space="preserve">mechanisms in frequency domain, e.g., FDRA, BWP can be </w:t>
      </w:r>
      <w:r w:rsidR="005E7D83">
        <w:rPr>
          <w:rFonts w:ascii="Times New Roman" w:eastAsiaTheme="minorEastAsia" w:hAnsi="Times New Roman"/>
          <w:sz w:val="22"/>
        </w:rPr>
        <w:t>reused</w:t>
      </w:r>
      <w:r w:rsidR="00DB078B">
        <w:rPr>
          <w:rFonts w:ascii="Times New Roman" w:eastAsiaTheme="minorEastAsia" w:hAnsi="Times New Roman"/>
          <w:sz w:val="22"/>
        </w:rPr>
        <w:t xml:space="preserve"> for the indication</w:t>
      </w:r>
      <w:r w:rsidR="003F73EA">
        <w:rPr>
          <w:rFonts w:ascii="Times New Roman" w:eastAsiaTheme="minorEastAsia" w:hAnsi="Times New Roman"/>
          <w:sz w:val="22"/>
        </w:rPr>
        <w:t xml:space="preserve">. </w:t>
      </w:r>
      <w:r w:rsidR="003C1B4D">
        <w:rPr>
          <w:rFonts w:ascii="Times New Roman" w:eastAsiaTheme="minorEastAsia" w:hAnsi="Times New Roman"/>
          <w:sz w:val="22"/>
        </w:rPr>
        <w:t xml:space="preserve">In addition to </w:t>
      </w:r>
      <w:r>
        <w:rPr>
          <w:rFonts w:ascii="Times New Roman" w:eastAsiaTheme="minorEastAsia" w:hAnsi="Times New Roman"/>
          <w:sz w:val="22"/>
        </w:rPr>
        <w:t xml:space="preserve">the indication in </w:t>
      </w:r>
      <w:r w:rsidR="003C1B4D">
        <w:rPr>
          <w:rFonts w:ascii="Times New Roman" w:eastAsiaTheme="minorEastAsia" w:hAnsi="Times New Roman"/>
          <w:sz w:val="22"/>
        </w:rPr>
        <w:t>the frequency domain</w:t>
      </w:r>
      <w:r w:rsidR="003F73EA">
        <w:rPr>
          <w:rFonts w:ascii="Times New Roman" w:eastAsiaTheme="minorEastAsia" w:hAnsi="Times New Roman"/>
          <w:sz w:val="22"/>
        </w:rPr>
        <w:t>, TDD slot</w:t>
      </w:r>
      <w:r w:rsidR="00F25119">
        <w:rPr>
          <w:rFonts w:ascii="Times New Roman" w:eastAsiaTheme="minorEastAsia" w:hAnsi="Times New Roman"/>
          <w:sz w:val="22"/>
        </w:rPr>
        <w:t xml:space="preserve"> format</w:t>
      </w:r>
      <w:r w:rsidR="003F73EA">
        <w:rPr>
          <w:rFonts w:ascii="Times New Roman" w:eastAsiaTheme="minorEastAsia" w:hAnsi="Times New Roman"/>
          <w:sz w:val="22"/>
        </w:rPr>
        <w:t xml:space="preserve"> configuration/indication</w:t>
      </w:r>
      <w:r w:rsidR="00BD08D0">
        <w:rPr>
          <w:rFonts w:ascii="Times New Roman" w:eastAsiaTheme="minorEastAsia" w:hAnsi="Times New Roman"/>
          <w:sz w:val="22"/>
        </w:rPr>
        <w:t xml:space="preserve"> mechanism</w:t>
      </w:r>
      <w:r w:rsidR="003F73EA">
        <w:rPr>
          <w:rFonts w:ascii="Times New Roman" w:eastAsiaTheme="minorEastAsia" w:hAnsi="Times New Roman"/>
          <w:sz w:val="22"/>
        </w:rPr>
        <w:t xml:space="preserve"> can be </w:t>
      </w:r>
      <w:r>
        <w:rPr>
          <w:rFonts w:ascii="Times New Roman" w:eastAsiaTheme="minorEastAsia" w:hAnsi="Times New Roman"/>
          <w:sz w:val="22"/>
        </w:rPr>
        <w:t xml:space="preserve">further </w:t>
      </w:r>
      <w:r w:rsidR="003F73EA">
        <w:rPr>
          <w:rFonts w:ascii="Times New Roman" w:eastAsiaTheme="minorEastAsia" w:hAnsi="Times New Roman"/>
          <w:sz w:val="22"/>
        </w:rPr>
        <w:t>considered</w:t>
      </w:r>
      <w:r w:rsidR="001E5D04">
        <w:rPr>
          <w:rFonts w:ascii="Times New Roman" w:eastAsiaTheme="minorEastAsia" w:hAnsi="Times New Roman"/>
          <w:sz w:val="22"/>
        </w:rPr>
        <w:t xml:space="preserve"> by switching slot format to sub-band format</w:t>
      </w:r>
      <w:r w:rsidR="00BD08D0">
        <w:rPr>
          <w:rFonts w:ascii="Times New Roman" w:eastAsiaTheme="minorEastAsia" w:hAnsi="Times New Roman"/>
          <w:sz w:val="22"/>
        </w:rPr>
        <w:t>.</w:t>
      </w:r>
      <w:r w:rsidR="00934AF9">
        <w:rPr>
          <w:rFonts w:ascii="Times New Roman" w:eastAsiaTheme="minorEastAsia" w:hAnsi="Times New Roman"/>
          <w:sz w:val="22"/>
        </w:rPr>
        <w:t xml:space="preserve"> </w:t>
      </w:r>
      <w:r w:rsidR="00E57521">
        <w:rPr>
          <w:rFonts w:ascii="Times New Roman" w:eastAsiaTheme="minorEastAsia" w:hAnsi="Times New Roman" w:hint="eastAsia"/>
          <w:sz w:val="22"/>
        </w:rPr>
        <w:t>Also,</w:t>
      </w:r>
      <w:r w:rsidR="00E57521">
        <w:rPr>
          <w:rFonts w:ascii="Times New Roman" w:eastAsiaTheme="minorEastAsia" w:hAnsi="Times New Roman"/>
          <w:sz w:val="22"/>
        </w:rPr>
        <w:t xml:space="preserve"> </w:t>
      </w:r>
      <w:r w:rsidR="00E57521">
        <w:rPr>
          <w:rFonts w:ascii="Times New Roman" w:eastAsiaTheme="minorEastAsia" w:hAnsi="Times New Roman" w:hint="eastAsia"/>
          <w:sz w:val="22"/>
        </w:rPr>
        <w:t>a</w:t>
      </w:r>
      <w:r w:rsidR="00E57521">
        <w:rPr>
          <w:rFonts w:ascii="Times New Roman" w:eastAsiaTheme="minorEastAsia" w:hAnsi="Times New Roman"/>
          <w:sz w:val="22"/>
        </w:rPr>
        <w:t>s we discussed in our contribution in A.I. 9.3.2 [2], flexible slots or symbols can be regarded as time domain resources for sub-band operation.</w:t>
      </w:r>
    </w:p>
    <w:p w14:paraId="19CB0B55" w14:textId="1D7E6E9C" w:rsidR="00E474B1" w:rsidRPr="001E5D04" w:rsidRDefault="00E474B1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32E8579" w14:textId="2C127229" w:rsidR="00065E66" w:rsidRPr="00065E66" w:rsidRDefault="00065E66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065E66">
        <w:rPr>
          <w:rFonts w:ascii="Times New Roman" w:eastAsiaTheme="minorEastAsia" w:hAnsi="Times New Roman" w:hint="eastAsia"/>
          <w:i/>
          <w:iCs/>
          <w:sz w:val="22"/>
          <w:u w:val="single"/>
        </w:rPr>
        <w:t>S</w:t>
      </w:r>
      <w:r w:rsidRPr="00065E66">
        <w:rPr>
          <w:rFonts w:ascii="Times New Roman" w:eastAsiaTheme="minorEastAsia" w:hAnsi="Times New Roman"/>
          <w:i/>
          <w:iCs/>
          <w:sz w:val="22"/>
          <w:u w:val="single"/>
        </w:rPr>
        <w:t>emi-static sub-band format configuration</w:t>
      </w:r>
    </w:p>
    <w:p w14:paraId="16660907" w14:textId="1ADA5F8F" w:rsidR="00E474B1" w:rsidRDefault="009E59B4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9E59B4">
        <w:rPr>
          <w:rFonts w:ascii="Times New Roman" w:eastAsiaTheme="minorEastAsia" w:hAnsi="Times New Roman"/>
          <w:sz w:val="22"/>
        </w:rPr>
        <w:t xml:space="preserve">Semi-static slot format configuration in TDD operation can be </w:t>
      </w:r>
      <w:r w:rsidR="00474F08">
        <w:rPr>
          <w:rFonts w:ascii="Times New Roman" w:eastAsiaTheme="minorEastAsia" w:hAnsi="Times New Roman"/>
          <w:sz w:val="22"/>
        </w:rPr>
        <w:t>introduced</w:t>
      </w:r>
      <w:r w:rsidRPr="009E59B4">
        <w:rPr>
          <w:rFonts w:ascii="Times New Roman" w:eastAsiaTheme="minorEastAsia" w:hAnsi="Times New Roman"/>
          <w:sz w:val="22"/>
        </w:rPr>
        <w:t xml:space="preserve"> for the semi-static sub-band format configuration.</w:t>
      </w:r>
      <w:r>
        <w:rPr>
          <w:rFonts w:ascii="Times New Roman" w:eastAsiaTheme="minorEastAsia" w:hAnsi="Times New Roman"/>
          <w:sz w:val="22"/>
        </w:rPr>
        <w:t xml:space="preserve"> </w:t>
      </w:r>
      <w:r w:rsidR="001E5D04">
        <w:rPr>
          <w:rFonts w:ascii="Times New Roman" w:eastAsiaTheme="minorEastAsia" w:hAnsi="Times New Roman"/>
          <w:sz w:val="22"/>
        </w:rPr>
        <w:t>Signaling methods</w:t>
      </w:r>
      <w:r w:rsidR="001E5D04" w:rsidRPr="009C5224">
        <w:rPr>
          <w:rFonts w:ascii="Times New Roman" w:eastAsiaTheme="minorEastAsia" w:hAnsi="Times New Roman"/>
          <w:sz w:val="22"/>
        </w:rPr>
        <w:t xml:space="preserve"> </w:t>
      </w:r>
      <w:r w:rsidR="001E5D04">
        <w:rPr>
          <w:rFonts w:ascii="Times New Roman" w:eastAsiaTheme="minorEastAsia" w:hAnsi="Times New Roman"/>
          <w:sz w:val="22"/>
        </w:rPr>
        <w:t>considered in the time domain (e.g., # of DL/UL symbols) can be reused in the frequency domain (e.g., # of DL/UL RBs) with little modifications.</w:t>
      </w:r>
      <w:r w:rsidR="00E67893">
        <w:rPr>
          <w:rFonts w:ascii="Times New Roman" w:eastAsiaTheme="minorEastAsia" w:hAnsi="Times New Roman"/>
          <w:sz w:val="22"/>
        </w:rPr>
        <w:t xml:space="preserve"> </w:t>
      </w:r>
    </w:p>
    <w:p w14:paraId="1E804F11" w14:textId="0456FB62" w:rsidR="0015104D" w:rsidRDefault="0015104D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 xml:space="preserve">n </w:t>
      </w:r>
      <w:r w:rsidR="00DB078B">
        <w:rPr>
          <w:rFonts w:ascii="Times New Roman" w:eastAsiaTheme="minorEastAsia" w:hAnsi="Times New Roman"/>
          <w:sz w:val="22"/>
        </w:rPr>
        <w:t xml:space="preserve">TDD </w:t>
      </w:r>
      <w:r>
        <w:rPr>
          <w:rFonts w:ascii="Times New Roman" w:eastAsiaTheme="minorEastAsia" w:hAnsi="Times New Roman"/>
          <w:sz w:val="22"/>
        </w:rPr>
        <w:t xml:space="preserve">semi-static slot format configuration, both cell-specific configuration by </w:t>
      </w:r>
      <w:r w:rsidRPr="0015104D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Pr="0015104D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>
        <w:rPr>
          <w:rFonts w:ascii="Times New Roman" w:eastAsiaTheme="minorEastAsia" w:hAnsi="Times New Roman"/>
          <w:sz w:val="22"/>
        </w:rPr>
        <w:t xml:space="preserve"> and UE-specific configuration by </w:t>
      </w:r>
      <w:r w:rsidRPr="0015104D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Pr="0015104D">
        <w:rPr>
          <w:rFonts w:ascii="Times New Roman" w:eastAsiaTheme="minorEastAsia" w:hAnsi="Times New Roman"/>
          <w:i/>
          <w:iCs/>
          <w:sz w:val="22"/>
        </w:rPr>
        <w:t>ConfigDedicated</w:t>
      </w:r>
      <w:proofErr w:type="spellEnd"/>
      <w:r>
        <w:rPr>
          <w:rFonts w:ascii="Times New Roman" w:eastAsiaTheme="minorEastAsia" w:hAnsi="Times New Roman"/>
          <w:sz w:val="22"/>
        </w:rPr>
        <w:t xml:space="preserve"> are supported</w:t>
      </w:r>
      <w:r w:rsidR="00474F08">
        <w:rPr>
          <w:rFonts w:ascii="Times New Roman" w:eastAsiaTheme="minorEastAsia" w:hAnsi="Times New Roman"/>
          <w:sz w:val="22"/>
        </w:rPr>
        <w:t xml:space="preserve"> in Rel-15 NR</w:t>
      </w:r>
      <w:r>
        <w:rPr>
          <w:rFonts w:ascii="Times New Roman" w:eastAsiaTheme="minorEastAsia" w:hAnsi="Times New Roman"/>
          <w:sz w:val="22"/>
        </w:rPr>
        <w:t>.</w:t>
      </w:r>
      <w:r w:rsidR="003F4144">
        <w:rPr>
          <w:rFonts w:ascii="Times New Roman" w:eastAsiaTheme="minorEastAsia" w:hAnsi="Times New Roman"/>
          <w:sz w:val="22"/>
        </w:rPr>
        <w:t xml:space="preserve"> For Rel-18 duplex operation, it </w:t>
      </w:r>
      <w:r w:rsidR="00474F08">
        <w:rPr>
          <w:rFonts w:ascii="Times New Roman" w:eastAsiaTheme="minorEastAsia" w:hAnsi="Times New Roman"/>
          <w:sz w:val="22"/>
        </w:rPr>
        <w:t>should be</w:t>
      </w:r>
      <w:r w:rsidR="003F4144">
        <w:rPr>
          <w:rFonts w:ascii="Times New Roman" w:eastAsiaTheme="minorEastAsia" w:hAnsi="Times New Roman"/>
          <w:sz w:val="22"/>
        </w:rPr>
        <w:t xml:space="preserve"> studied whether to configure sub-band format cell-specifically, UE-specifically, or both.</w:t>
      </w:r>
      <w:r w:rsidR="00D24B92">
        <w:rPr>
          <w:rFonts w:ascii="Times New Roman" w:eastAsiaTheme="minorEastAsia" w:hAnsi="Times New Roman"/>
          <w:sz w:val="22"/>
        </w:rPr>
        <w:t xml:space="preserve"> Considering that different sub-band configuration among UEs may introduce DL/UL interference in a cell, at least </w:t>
      </w:r>
      <w:r w:rsidR="00B940EC">
        <w:rPr>
          <w:rFonts w:ascii="Times New Roman" w:eastAsiaTheme="minorEastAsia" w:hAnsi="Times New Roman"/>
          <w:sz w:val="22"/>
        </w:rPr>
        <w:t xml:space="preserve">the </w:t>
      </w:r>
      <w:r w:rsidR="00D24B92">
        <w:rPr>
          <w:rFonts w:ascii="Times New Roman" w:eastAsiaTheme="minorEastAsia" w:hAnsi="Times New Roman"/>
          <w:sz w:val="22"/>
        </w:rPr>
        <w:t xml:space="preserve">cell-specific </w:t>
      </w:r>
      <w:r w:rsidR="00B940EC">
        <w:rPr>
          <w:rFonts w:ascii="Times New Roman" w:eastAsiaTheme="minorEastAsia" w:hAnsi="Times New Roman"/>
          <w:sz w:val="22"/>
        </w:rPr>
        <w:t xml:space="preserve">sub-band format </w:t>
      </w:r>
      <w:r w:rsidR="00D24B92">
        <w:rPr>
          <w:rFonts w:ascii="Times New Roman" w:eastAsiaTheme="minorEastAsia" w:hAnsi="Times New Roman"/>
          <w:sz w:val="22"/>
        </w:rPr>
        <w:t xml:space="preserve">configuration can be used. However, </w:t>
      </w:r>
      <w:r w:rsidR="00B940EC">
        <w:rPr>
          <w:rFonts w:ascii="Times New Roman" w:eastAsiaTheme="minorEastAsia" w:hAnsi="Times New Roman"/>
          <w:sz w:val="22"/>
        </w:rPr>
        <w:t xml:space="preserve">the </w:t>
      </w:r>
      <w:r w:rsidR="00D24B92">
        <w:rPr>
          <w:rFonts w:ascii="Times New Roman" w:eastAsiaTheme="minorEastAsia" w:hAnsi="Times New Roman"/>
          <w:sz w:val="22"/>
        </w:rPr>
        <w:t xml:space="preserve">UE-specific </w:t>
      </w:r>
      <w:r w:rsidR="00B940EC">
        <w:rPr>
          <w:rFonts w:ascii="Times New Roman" w:eastAsiaTheme="minorEastAsia" w:hAnsi="Times New Roman"/>
          <w:sz w:val="22"/>
        </w:rPr>
        <w:t xml:space="preserve">sub-band format </w:t>
      </w:r>
      <w:r w:rsidR="00D24B92">
        <w:rPr>
          <w:rFonts w:ascii="Times New Roman" w:eastAsiaTheme="minorEastAsia" w:hAnsi="Times New Roman"/>
          <w:sz w:val="22"/>
        </w:rPr>
        <w:t>configuration</w:t>
      </w:r>
      <w:r w:rsidR="00B37B06">
        <w:rPr>
          <w:rFonts w:ascii="Times New Roman" w:eastAsiaTheme="minorEastAsia" w:hAnsi="Times New Roman"/>
          <w:sz w:val="22"/>
        </w:rPr>
        <w:t xml:space="preserve"> also</w:t>
      </w:r>
      <w:r w:rsidR="00D24B92">
        <w:rPr>
          <w:rFonts w:ascii="Times New Roman" w:eastAsiaTheme="minorEastAsia" w:hAnsi="Times New Roman"/>
          <w:sz w:val="22"/>
        </w:rPr>
        <w:t xml:space="preserve"> can be further studied </w:t>
      </w:r>
      <w:r w:rsidR="00B940EC">
        <w:rPr>
          <w:rFonts w:ascii="Times New Roman" w:eastAsiaTheme="minorEastAsia" w:hAnsi="Times New Roman"/>
          <w:sz w:val="22"/>
        </w:rPr>
        <w:t xml:space="preserve">during </w:t>
      </w:r>
      <w:r w:rsidR="00D24B92">
        <w:rPr>
          <w:rFonts w:ascii="Times New Roman" w:eastAsiaTheme="minorEastAsia" w:hAnsi="Times New Roman"/>
          <w:sz w:val="22"/>
        </w:rPr>
        <w:t>Rel-18</w:t>
      </w:r>
      <w:r w:rsidR="00B940EC">
        <w:rPr>
          <w:rFonts w:ascii="Times New Roman" w:eastAsiaTheme="minorEastAsia" w:hAnsi="Times New Roman"/>
          <w:sz w:val="22"/>
        </w:rPr>
        <w:t xml:space="preserve"> study </w:t>
      </w:r>
      <w:r w:rsidR="00474F08">
        <w:rPr>
          <w:rFonts w:ascii="Times New Roman" w:eastAsiaTheme="minorEastAsia" w:hAnsi="Times New Roman"/>
          <w:sz w:val="22"/>
        </w:rPr>
        <w:t>phase</w:t>
      </w:r>
      <w:r w:rsidR="00D24B92">
        <w:rPr>
          <w:rFonts w:ascii="Times New Roman" w:eastAsiaTheme="minorEastAsia" w:hAnsi="Times New Roman"/>
          <w:sz w:val="22"/>
        </w:rPr>
        <w:t>.</w:t>
      </w:r>
    </w:p>
    <w:p w14:paraId="3835CA06" w14:textId="68A262B2" w:rsidR="006719A1" w:rsidRPr="00B37B06" w:rsidRDefault="00B940EC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a </w:t>
      </w:r>
      <w:r w:rsidR="00E26C21">
        <w:rPr>
          <w:rFonts w:ascii="Times New Roman" w:eastAsiaTheme="minorEastAsia" w:hAnsi="Times New Roman"/>
          <w:sz w:val="22"/>
        </w:rPr>
        <w:t xml:space="preserve">semi-static sub-band format configuration, a UE may </w:t>
      </w:r>
      <w:r w:rsidR="00B37B06">
        <w:rPr>
          <w:rFonts w:ascii="Times New Roman" w:eastAsiaTheme="minorEastAsia" w:hAnsi="Times New Roman"/>
          <w:sz w:val="22"/>
        </w:rPr>
        <w:t xml:space="preserve">be configured with the number of consecutive DL RBs for downlink sub-band and consecutive UL RBs for uplink sub-band as shown in </w:t>
      </w:r>
      <w:r w:rsidR="00B37B06" w:rsidRPr="00B37B06">
        <w:rPr>
          <w:rFonts w:ascii="Times New Roman" w:hAnsi="Times New Roman"/>
          <w:sz w:val="22"/>
        </w:rPr>
        <w:t xml:space="preserve">Figure </w:t>
      </w:r>
      <w:r w:rsidR="00B37B06" w:rsidRPr="00B37B06">
        <w:rPr>
          <w:rFonts w:ascii="Times New Roman" w:hAnsi="Times New Roman"/>
          <w:b/>
          <w:bCs/>
          <w:sz w:val="22"/>
        </w:rPr>
        <w:fldChar w:fldCharType="begin"/>
      </w:r>
      <w:r w:rsidR="00B37B06" w:rsidRPr="00B37B06">
        <w:rPr>
          <w:rFonts w:ascii="Times New Roman" w:hAnsi="Times New Roman"/>
          <w:sz w:val="22"/>
        </w:rPr>
        <w:instrText xml:space="preserve"> SEQ Figure \* ARABIC </w:instrText>
      </w:r>
      <w:r w:rsidR="00B37B06" w:rsidRPr="00B37B06">
        <w:rPr>
          <w:rFonts w:ascii="Times New Roman" w:hAnsi="Times New Roman"/>
          <w:b/>
          <w:bCs/>
          <w:sz w:val="22"/>
        </w:rPr>
        <w:fldChar w:fldCharType="separate"/>
      </w:r>
      <w:r w:rsidR="00B37B06" w:rsidRPr="00B37B06">
        <w:rPr>
          <w:rFonts w:ascii="Times New Roman" w:hAnsi="Times New Roman"/>
          <w:sz w:val="22"/>
        </w:rPr>
        <w:t>1</w:t>
      </w:r>
      <w:r w:rsidR="00B37B06" w:rsidRPr="00B37B06">
        <w:rPr>
          <w:rFonts w:ascii="Times New Roman" w:hAnsi="Times New Roman"/>
          <w:b/>
          <w:bCs/>
          <w:sz w:val="22"/>
        </w:rPr>
        <w:fldChar w:fldCharType="end"/>
      </w:r>
      <w:r w:rsidR="00B37B06" w:rsidRPr="00B37B06">
        <w:rPr>
          <w:rFonts w:ascii="Times New Roman" w:hAnsi="Times New Roman"/>
          <w:sz w:val="22"/>
        </w:rPr>
        <w:t>.</w:t>
      </w:r>
      <w:r w:rsidR="00D91EF7">
        <w:rPr>
          <w:rFonts w:ascii="Times New Roman" w:hAnsi="Times New Roman"/>
          <w:sz w:val="22"/>
        </w:rPr>
        <w:t xml:space="preserve"> </w:t>
      </w:r>
      <w:r w:rsidR="00D91EF7">
        <w:rPr>
          <w:rFonts w:ascii="Times New Roman" w:hAnsi="Times New Roman" w:hint="eastAsia"/>
          <w:sz w:val="22"/>
        </w:rPr>
        <w:t>In</w:t>
      </w:r>
      <w:r w:rsidR="00D91EF7">
        <w:rPr>
          <w:rFonts w:ascii="Times New Roman" w:hAnsi="Times New Roman"/>
          <w:sz w:val="22"/>
        </w:rPr>
        <w:t xml:space="preserve"> </w:t>
      </w:r>
      <w:r w:rsidR="00D91EF7">
        <w:rPr>
          <w:rFonts w:ascii="Times New Roman" w:hAnsi="Times New Roman" w:hint="eastAsia"/>
          <w:sz w:val="22"/>
        </w:rPr>
        <w:t>this</w:t>
      </w:r>
      <w:r w:rsidR="00D91EF7">
        <w:rPr>
          <w:rFonts w:ascii="Times New Roman" w:hAnsi="Times New Roman"/>
          <w:sz w:val="22"/>
        </w:rPr>
        <w:t xml:space="preserve"> case, remaining RBs which </w:t>
      </w:r>
      <w:r>
        <w:rPr>
          <w:rFonts w:ascii="Times New Roman" w:hAnsi="Times New Roman"/>
          <w:sz w:val="22"/>
        </w:rPr>
        <w:t xml:space="preserve">are </w:t>
      </w:r>
      <w:r w:rsidR="00D91EF7">
        <w:rPr>
          <w:rFonts w:ascii="Times New Roman" w:hAnsi="Times New Roman"/>
          <w:sz w:val="22"/>
        </w:rPr>
        <w:t>not configured can be determined as a guard band</w:t>
      </w:r>
      <w:r w:rsidR="006719A1">
        <w:rPr>
          <w:rFonts w:ascii="Times New Roman" w:hAnsi="Times New Roman"/>
          <w:sz w:val="22"/>
        </w:rPr>
        <w:t xml:space="preserve"> (or flexible sub-band)</w:t>
      </w:r>
      <w:r w:rsidR="00D91EF7">
        <w:rPr>
          <w:rFonts w:ascii="Times New Roman" w:hAnsi="Times New Roman"/>
          <w:sz w:val="22"/>
        </w:rPr>
        <w:t xml:space="preserve"> implicitly.</w:t>
      </w:r>
      <w:r w:rsidR="00B37B06">
        <w:rPr>
          <w:rFonts w:ascii="Times New Roman" w:hAnsi="Times New Roman"/>
          <w:sz w:val="22"/>
        </w:rPr>
        <w:t xml:space="preserve"> </w:t>
      </w:r>
    </w:p>
    <w:p w14:paraId="2AE895B9" w14:textId="37C4B6F8" w:rsidR="0015104D" w:rsidRDefault="0015104D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7746CA7B" w14:textId="77777777" w:rsidR="00B37B06" w:rsidRDefault="00B37B06" w:rsidP="00B37B06">
      <w:pPr>
        <w:keepNext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4D856A5C" wp14:editId="5DF5460B">
            <wp:extent cx="4473787" cy="2070472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494" cy="2078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CF1CF" w14:textId="23595E97" w:rsidR="00B37B06" w:rsidRDefault="00B37B06" w:rsidP="00B37B06">
      <w:pPr>
        <w:pStyle w:val="a0"/>
        <w:spacing w:before="12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>
        <w:rPr>
          <w:sz w:val="22"/>
          <w:szCs w:val="22"/>
        </w:rPr>
        <w:t>Semi-static sub-band format configuration.</w:t>
      </w:r>
    </w:p>
    <w:p w14:paraId="37772BEE" w14:textId="29E45A7B" w:rsidR="00A63352" w:rsidRDefault="00A63352" w:rsidP="00A63352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 RAN1 to study semi-static sub-band format configuration based on semi-static TDD slot format configuration.</w:t>
      </w:r>
    </w:p>
    <w:p w14:paraId="5BEEF70E" w14:textId="6E4F00F6" w:rsidR="00A63352" w:rsidRPr="00A63352" w:rsidRDefault="00A63352" w:rsidP="00A63352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cell-specific and/or UE-specific sub-band format configuration.</w:t>
      </w:r>
    </w:p>
    <w:p w14:paraId="1986C415" w14:textId="77777777" w:rsidR="00474F08" w:rsidRDefault="00474F08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</w:p>
    <w:p w14:paraId="7D9D888E" w14:textId="3ACE5B06" w:rsidR="002722F3" w:rsidRDefault="002722F3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i/>
          <w:iCs/>
          <w:sz w:val="22"/>
          <w:u w:val="single"/>
        </w:rPr>
        <w:t>Dynamic</w:t>
      </w:r>
      <w:r w:rsidRPr="00065E66">
        <w:rPr>
          <w:rFonts w:ascii="Times New Roman" w:eastAsiaTheme="minorEastAsia" w:hAnsi="Times New Roman"/>
          <w:i/>
          <w:iCs/>
          <w:sz w:val="22"/>
          <w:u w:val="single"/>
        </w:rPr>
        <w:t xml:space="preserve"> sub-band format </w:t>
      </w:r>
      <w:r>
        <w:rPr>
          <w:rFonts w:ascii="Times New Roman" w:eastAsiaTheme="minorEastAsia" w:hAnsi="Times New Roman"/>
          <w:i/>
          <w:iCs/>
          <w:sz w:val="22"/>
          <w:u w:val="single"/>
        </w:rPr>
        <w:t>indication</w:t>
      </w:r>
    </w:p>
    <w:p w14:paraId="73632893" w14:textId="38B13123" w:rsidR="002722F3" w:rsidRDefault="00C25C32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Rel-15, dynamic SFI (slot format indication) was introduced for dynamic and flexible slot format indication in time domain. For Rel-18 duplex operation, it </w:t>
      </w:r>
      <w:r w:rsidR="00D045FE">
        <w:rPr>
          <w:rFonts w:ascii="Times New Roman" w:eastAsiaTheme="minorEastAsia" w:hAnsi="Times New Roman"/>
          <w:sz w:val="22"/>
        </w:rPr>
        <w:t xml:space="preserve">should </w:t>
      </w:r>
      <w:r>
        <w:rPr>
          <w:rFonts w:ascii="Times New Roman" w:eastAsiaTheme="minorEastAsia" w:hAnsi="Times New Roman"/>
          <w:sz w:val="22"/>
        </w:rPr>
        <w:t>be studied whether/how to support dynamic sub-band format indication in frequency domain.</w:t>
      </w:r>
    </w:p>
    <w:p w14:paraId="55B5452F" w14:textId="16F2FB04" w:rsidR="003B4605" w:rsidRDefault="00916DDC" w:rsidP="00916DDC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lastRenderedPageBreak/>
        <w:t>H</w:t>
      </w:r>
      <w:r>
        <w:rPr>
          <w:rFonts w:ascii="Times New Roman" w:eastAsiaTheme="minorEastAsia" w:hAnsi="Times New Roman"/>
          <w:sz w:val="22"/>
        </w:rPr>
        <w:t xml:space="preserve">owever, different </w:t>
      </w:r>
      <w:r w:rsidR="00803750">
        <w:rPr>
          <w:rFonts w:ascii="Times New Roman" w:eastAsiaTheme="minorEastAsia" w:hAnsi="Times New Roman"/>
          <w:sz w:val="22"/>
        </w:rPr>
        <w:t>from the</w:t>
      </w:r>
      <w:r>
        <w:rPr>
          <w:rFonts w:ascii="Times New Roman" w:eastAsiaTheme="minorEastAsia" w:hAnsi="Times New Roman"/>
          <w:sz w:val="22"/>
        </w:rPr>
        <w:t xml:space="preserve"> semi-static </w:t>
      </w:r>
      <w:r w:rsidR="00803750">
        <w:rPr>
          <w:rFonts w:ascii="Times New Roman" w:eastAsiaTheme="minorEastAsia" w:hAnsi="Times New Roman"/>
          <w:sz w:val="22"/>
        </w:rPr>
        <w:t xml:space="preserve">configuration which </w:t>
      </w:r>
      <w:r>
        <w:rPr>
          <w:rFonts w:ascii="Times New Roman" w:eastAsiaTheme="minorEastAsia" w:hAnsi="Times New Roman"/>
          <w:sz w:val="22"/>
        </w:rPr>
        <w:t xml:space="preserve">can </w:t>
      </w:r>
      <w:r w:rsidR="00803750">
        <w:rPr>
          <w:rFonts w:ascii="Times New Roman" w:eastAsiaTheme="minorEastAsia" w:hAnsi="Times New Roman"/>
          <w:sz w:val="22"/>
        </w:rPr>
        <w:t>reuse the</w:t>
      </w:r>
      <w:r>
        <w:rPr>
          <w:rFonts w:ascii="Times New Roman" w:eastAsiaTheme="minorEastAsia" w:hAnsi="Times New Roman"/>
          <w:sz w:val="22"/>
        </w:rPr>
        <w:t xml:space="preserve"> TDD slot format configuration, </w:t>
      </w:r>
      <w:r w:rsidR="00D045FE">
        <w:rPr>
          <w:rFonts w:ascii="Times New Roman" w:eastAsiaTheme="minorEastAsia" w:hAnsi="Times New Roman"/>
          <w:sz w:val="22"/>
        </w:rPr>
        <w:t xml:space="preserve">it might </w:t>
      </w:r>
      <w:r>
        <w:rPr>
          <w:rFonts w:ascii="Times New Roman" w:eastAsiaTheme="minorEastAsia" w:hAnsi="Times New Roman"/>
          <w:sz w:val="22"/>
        </w:rPr>
        <w:t xml:space="preserve">be hard </w:t>
      </w:r>
      <w:r w:rsidR="00D045FE">
        <w:rPr>
          <w:rFonts w:ascii="Times New Roman" w:eastAsiaTheme="minorEastAsia" w:hAnsi="Times New Roman"/>
          <w:sz w:val="22"/>
        </w:rPr>
        <w:t xml:space="preserve">to utilize a method used in dynamic SFI </w:t>
      </w:r>
      <w:r>
        <w:rPr>
          <w:rFonts w:ascii="Times New Roman" w:eastAsiaTheme="minorEastAsia" w:hAnsi="Times New Roman"/>
          <w:sz w:val="22"/>
        </w:rPr>
        <w:t xml:space="preserve">for sub-band format indication in frequency domain. </w:t>
      </w:r>
      <w:r w:rsidR="006B24B0">
        <w:rPr>
          <w:rFonts w:ascii="Times New Roman" w:eastAsiaTheme="minorEastAsia" w:hAnsi="Times New Roman"/>
          <w:sz w:val="22"/>
        </w:rPr>
        <w:t>D</w:t>
      </w:r>
      <w:r>
        <w:rPr>
          <w:rFonts w:ascii="Times New Roman" w:eastAsiaTheme="minorEastAsia" w:hAnsi="Times New Roman"/>
          <w:sz w:val="22"/>
        </w:rPr>
        <w:t>ynamic SFI indicates slot format by utilizing</w:t>
      </w:r>
      <w:r w:rsidR="006B24B0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pre-defined slot format table in specification,</w:t>
      </w:r>
      <w:r w:rsidR="006B24B0">
        <w:rPr>
          <w:rFonts w:ascii="Times New Roman" w:eastAsiaTheme="minorEastAsia" w:hAnsi="Times New Roman"/>
          <w:sz w:val="22"/>
        </w:rPr>
        <w:t xml:space="preserve"> it may be difficult to define the</w:t>
      </w:r>
      <w:r>
        <w:rPr>
          <w:rFonts w:ascii="Times New Roman" w:eastAsiaTheme="minorEastAsia" w:hAnsi="Times New Roman"/>
          <w:sz w:val="22"/>
        </w:rPr>
        <w:t xml:space="preserve"> pre-defined sub-band format table since the number of RBs </w:t>
      </w:r>
      <w:r w:rsidR="006B24B0">
        <w:rPr>
          <w:rFonts w:ascii="Times New Roman" w:eastAsiaTheme="minorEastAsia" w:hAnsi="Times New Roman"/>
          <w:sz w:val="22"/>
        </w:rPr>
        <w:t>for sub-band is</w:t>
      </w:r>
      <w:r>
        <w:rPr>
          <w:rFonts w:ascii="Times New Roman" w:eastAsiaTheme="minorEastAsia" w:hAnsi="Times New Roman"/>
          <w:sz w:val="22"/>
        </w:rPr>
        <w:t xml:space="preserve"> not fixed</w:t>
      </w:r>
      <w:r w:rsidR="007C4927">
        <w:rPr>
          <w:rFonts w:ascii="Times New Roman" w:eastAsiaTheme="minorEastAsia" w:hAnsi="Times New Roman"/>
          <w:sz w:val="22"/>
        </w:rPr>
        <w:t xml:space="preserve"> and can be flexibly allocated for DL and UL in a dynamic manner.</w:t>
      </w:r>
    </w:p>
    <w:p w14:paraId="000CFD9B" w14:textId="02947A49" w:rsidR="003B4605" w:rsidRPr="00ED711A" w:rsidRDefault="002F54ED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Instead, some </w:t>
      </w:r>
      <w:r w:rsidR="00553BE0">
        <w:rPr>
          <w:rFonts w:ascii="Times New Roman" w:eastAsiaTheme="minorEastAsia" w:hAnsi="Times New Roman"/>
          <w:sz w:val="22"/>
        </w:rPr>
        <w:t xml:space="preserve">RA mechanisms in frequency domain, such as RIV can be </w:t>
      </w:r>
      <w:r w:rsidR="00AD6834">
        <w:rPr>
          <w:rFonts w:ascii="Times New Roman" w:eastAsiaTheme="minorEastAsia" w:hAnsi="Times New Roman"/>
          <w:sz w:val="22"/>
        </w:rPr>
        <w:t>re</w:t>
      </w:r>
      <w:r w:rsidR="00553BE0">
        <w:rPr>
          <w:rFonts w:ascii="Times New Roman" w:eastAsiaTheme="minorEastAsia" w:hAnsi="Times New Roman"/>
          <w:sz w:val="22"/>
        </w:rPr>
        <w:t xml:space="preserve">used for dynamic sub-band format indication. </w:t>
      </w:r>
      <w:r w:rsidR="000473D5">
        <w:rPr>
          <w:rFonts w:ascii="Times New Roman" w:eastAsiaTheme="minorEastAsia" w:hAnsi="Times New Roman"/>
          <w:sz w:val="22"/>
        </w:rPr>
        <w:t xml:space="preserve">It </w:t>
      </w:r>
      <w:r w:rsidR="007C4927">
        <w:rPr>
          <w:rFonts w:ascii="Times New Roman" w:eastAsiaTheme="minorEastAsia" w:hAnsi="Times New Roman"/>
          <w:sz w:val="22"/>
        </w:rPr>
        <w:t>should</w:t>
      </w:r>
      <w:r w:rsidR="000473D5">
        <w:rPr>
          <w:rFonts w:ascii="Times New Roman" w:eastAsiaTheme="minorEastAsia" w:hAnsi="Times New Roman"/>
          <w:sz w:val="22"/>
        </w:rPr>
        <w:t xml:space="preserve"> be further studied whether/how to support dynamic sub-band format indication.</w:t>
      </w:r>
    </w:p>
    <w:p w14:paraId="300892B4" w14:textId="4581EB3C" w:rsidR="003B4605" w:rsidRPr="000473D5" w:rsidRDefault="000473D5" w:rsidP="000473D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whether/how to support dynamic sub-band format indication.</w:t>
      </w:r>
    </w:p>
    <w:p w14:paraId="07E1D887" w14:textId="773A6E47" w:rsidR="003B4605" w:rsidRPr="007276A2" w:rsidRDefault="003B4605" w:rsidP="003B4605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Overwriting rule for sub</w:t>
      </w:r>
      <w:r w:rsidR="00AD2DE2">
        <w:rPr>
          <w:b/>
          <w:bCs/>
          <w:i/>
          <w:iCs/>
          <w:sz w:val="24"/>
          <w:szCs w:val="24"/>
          <w:u w:val="single"/>
        </w:rPr>
        <w:t>-</w:t>
      </w:r>
      <w:r>
        <w:rPr>
          <w:b/>
          <w:bCs/>
          <w:i/>
          <w:iCs/>
          <w:sz w:val="24"/>
          <w:szCs w:val="24"/>
          <w:u w:val="single"/>
        </w:rPr>
        <w:t>band format configuration/indication</w:t>
      </w:r>
    </w:p>
    <w:p w14:paraId="71BD4467" w14:textId="77777777" w:rsidR="006719A1" w:rsidRDefault="00791573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791573">
        <w:rPr>
          <w:rFonts w:ascii="Times New Roman" w:eastAsiaTheme="minorEastAsia" w:hAnsi="Times New Roman"/>
          <w:sz w:val="22"/>
        </w:rPr>
        <w:t>In Rel-15 TDD operation, UE behavior</w:t>
      </w:r>
      <w:r w:rsidR="006856A4">
        <w:rPr>
          <w:rFonts w:ascii="Times New Roman" w:eastAsiaTheme="minorEastAsia" w:hAnsi="Times New Roman"/>
          <w:sz w:val="22"/>
        </w:rPr>
        <w:t xml:space="preserve"> (i.e., overwriting rule)</w:t>
      </w:r>
      <w:r w:rsidRPr="00791573">
        <w:rPr>
          <w:rFonts w:ascii="Times New Roman" w:eastAsiaTheme="minorEastAsia" w:hAnsi="Times New Roman"/>
          <w:sz w:val="22"/>
        </w:rPr>
        <w:t xml:space="preserve"> was specified </w:t>
      </w:r>
      <w:r w:rsidR="00B4458F">
        <w:rPr>
          <w:rFonts w:ascii="Times New Roman" w:eastAsiaTheme="minorEastAsia" w:hAnsi="Times New Roman"/>
          <w:sz w:val="22"/>
        </w:rPr>
        <w:t xml:space="preserve">among semi-statically configured symbols and dynamically indicated symbols. </w:t>
      </w:r>
      <w:r w:rsidR="004F3434">
        <w:rPr>
          <w:rFonts w:ascii="Times New Roman" w:eastAsiaTheme="minorEastAsia" w:hAnsi="Times New Roman"/>
          <w:sz w:val="22"/>
        </w:rPr>
        <w:t>S</w:t>
      </w:r>
      <w:r w:rsidR="00B4458F">
        <w:rPr>
          <w:rFonts w:ascii="Times New Roman" w:eastAsiaTheme="minorEastAsia" w:hAnsi="Times New Roman"/>
          <w:sz w:val="22"/>
        </w:rPr>
        <w:t xml:space="preserve">emi-static </w:t>
      </w:r>
      <w:r w:rsidR="004F3434">
        <w:rPr>
          <w:rFonts w:ascii="Times New Roman" w:eastAsiaTheme="minorEastAsia" w:hAnsi="Times New Roman"/>
          <w:sz w:val="22"/>
        </w:rPr>
        <w:t xml:space="preserve">DL/UL symbol is not overridden by dynamic SFI, scheduling DCI, or configured signal/channel. </w:t>
      </w:r>
    </w:p>
    <w:p w14:paraId="24A5CE23" w14:textId="2FCA342F" w:rsidR="003B4605" w:rsidRDefault="004F3434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However, semi-static flexible </w:t>
      </w:r>
      <w:r w:rsidR="007C4927">
        <w:rPr>
          <w:rFonts w:ascii="Times New Roman" w:eastAsiaTheme="minorEastAsia" w:hAnsi="Times New Roman"/>
          <w:sz w:val="22"/>
        </w:rPr>
        <w:t xml:space="preserve">slots or </w:t>
      </w:r>
      <w:r>
        <w:rPr>
          <w:rFonts w:ascii="Times New Roman" w:eastAsiaTheme="minorEastAsia" w:hAnsi="Times New Roman"/>
          <w:sz w:val="22"/>
        </w:rPr>
        <w:t>symbol</w:t>
      </w:r>
      <w:r w:rsidR="007C4927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can be overridden, thus </w:t>
      </w:r>
      <w:r w:rsidR="007C4927">
        <w:rPr>
          <w:rFonts w:ascii="Times New Roman" w:eastAsiaTheme="minorEastAsia" w:hAnsi="Times New Roman"/>
          <w:sz w:val="22"/>
        </w:rPr>
        <w:t xml:space="preserve">the </w:t>
      </w:r>
      <w:r>
        <w:rPr>
          <w:rFonts w:ascii="Times New Roman" w:eastAsiaTheme="minorEastAsia" w:hAnsi="Times New Roman"/>
          <w:sz w:val="22"/>
        </w:rPr>
        <w:t xml:space="preserve">UE behavior was specified </w:t>
      </w:r>
      <w:r w:rsidR="00157A83">
        <w:rPr>
          <w:rFonts w:ascii="Times New Roman" w:eastAsiaTheme="minorEastAsia" w:hAnsi="Times New Roman"/>
          <w:sz w:val="22"/>
        </w:rPr>
        <w:t xml:space="preserve">by depending on </w:t>
      </w:r>
      <w:proofErr w:type="gramStart"/>
      <w:r w:rsidR="007C4927">
        <w:rPr>
          <w:rFonts w:ascii="Times New Roman" w:eastAsiaTheme="minorEastAsia" w:hAnsi="Times New Roman"/>
          <w:sz w:val="22"/>
        </w:rPr>
        <w:t>whether or not</w:t>
      </w:r>
      <w:proofErr w:type="gramEnd"/>
      <w:r w:rsidR="00791573" w:rsidRPr="00791573">
        <w:rPr>
          <w:rFonts w:ascii="Times New Roman" w:eastAsiaTheme="minorEastAsia" w:hAnsi="Times New Roman"/>
          <w:sz w:val="22"/>
        </w:rPr>
        <w:t xml:space="preserve"> a UE is configured to monitor PDCCH with DCI format 2_0 with CRC scrambled by SFI-RNTI, and </w:t>
      </w:r>
      <w:r w:rsidR="00157A83">
        <w:rPr>
          <w:rFonts w:ascii="Times New Roman" w:eastAsiaTheme="minorEastAsia" w:hAnsi="Times New Roman"/>
          <w:sz w:val="22"/>
        </w:rPr>
        <w:t>whether or not</w:t>
      </w:r>
      <w:r w:rsidR="00157A83" w:rsidRPr="00791573">
        <w:rPr>
          <w:rFonts w:ascii="Times New Roman" w:eastAsiaTheme="minorEastAsia" w:hAnsi="Times New Roman"/>
          <w:sz w:val="22"/>
        </w:rPr>
        <w:t xml:space="preserve"> </w:t>
      </w:r>
      <w:r w:rsidR="007C4927">
        <w:rPr>
          <w:rFonts w:ascii="Times New Roman" w:eastAsiaTheme="minorEastAsia" w:hAnsi="Times New Roman"/>
          <w:sz w:val="22"/>
        </w:rPr>
        <w:t>the</w:t>
      </w:r>
      <w:r w:rsidR="00791573" w:rsidRPr="00791573">
        <w:rPr>
          <w:rFonts w:ascii="Times New Roman" w:eastAsiaTheme="minorEastAsia" w:hAnsi="Times New Roman"/>
          <w:sz w:val="22"/>
        </w:rPr>
        <w:t xml:space="preserve"> UE detects DCI format 2_0</w:t>
      </w:r>
      <w:r w:rsidR="00791573">
        <w:rPr>
          <w:rFonts w:ascii="Times New Roman" w:eastAsiaTheme="minorEastAsia" w:hAnsi="Times New Roman"/>
          <w:sz w:val="22"/>
        </w:rPr>
        <w:t xml:space="preserve">. </w:t>
      </w:r>
      <w:r w:rsidR="003D60E2">
        <w:rPr>
          <w:rFonts w:ascii="Times New Roman" w:eastAsiaTheme="minorEastAsia" w:hAnsi="Times New Roman"/>
          <w:sz w:val="22"/>
        </w:rPr>
        <w:t>In</w:t>
      </w:r>
      <w:r w:rsidR="00B07005">
        <w:rPr>
          <w:rFonts w:ascii="Times New Roman" w:eastAsiaTheme="minorEastAsia" w:hAnsi="Times New Roman"/>
          <w:sz w:val="22"/>
        </w:rPr>
        <w:t xml:space="preserve"> detail, </w:t>
      </w:r>
      <w:r w:rsidR="00157A83">
        <w:rPr>
          <w:rFonts w:ascii="Times New Roman" w:eastAsiaTheme="minorEastAsia" w:hAnsi="Times New Roman"/>
          <w:sz w:val="22"/>
        </w:rPr>
        <w:t xml:space="preserve">the </w:t>
      </w:r>
      <w:r w:rsidR="00A9220C" w:rsidRPr="00A9220C">
        <w:rPr>
          <w:rFonts w:ascii="Times New Roman" w:eastAsiaTheme="minorEastAsia" w:hAnsi="Times New Roman"/>
          <w:sz w:val="22"/>
        </w:rPr>
        <w:t>UE behavior was specified for PDCCH monitoring in configured CORESET symbols, DCI-indicated DL reception or UL transmission, and higher layer-configured DL reception or UL transmission</w:t>
      </w:r>
      <w:r w:rsidR="00A9220C">
        <w:rPr>
          <w:rFonts w:ascii="Times New Roman" w:eastAsiaTheme="minorEastAsia" w:hAnsi="Times New Roman"/>
          <w:sz w:val="22"/>
        </w:rPr>
        <w:t xml:space="preserve"> </w:t>
      </w:r>
      <w:r w:rsidR="00A9220C" w:rsidRPr="00A9220C">
        <w:rPr>
          <w:rFonts w:ascii="Times New Roman" w:eastAsiaTheme="minorEastAsia" w:hAnsi="Times New Roman"/>
          <w:sz w:val="22"/>
        </w:rPr>
        <w:t>when a UE is not configured to monitor PDCCH with dynamic SFI, or a UE is configured to monitor PDCCH with dynamic SFI and detect DCI format 2_0, or a UE is configured to monitor PDCCH with dynamic SFI and does not detect DCI format 2_0.</w:t>
      </w:r>
    </w:p>
    <w:p w14:paraId="17325992" w14:textId="7867C1A4" w:rsidR="006719A1" w:rsidRPr="006719A1" w:rsidRDefault="00A25CE5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 w:rsidRPr="00A25CE5">
        <w:rPr>
          <w:rFonts w:ascii="Times New Roman" w:eastAsiaTheme="minorEastAsia" w:hAnsi="Times New Roman"/>
          <w:sz w:val="22"/>
        </w:rPr>
        <w:t xml:space="preserve">For Rel-18 duplex operation, if flexible sub-band is introduced as we discussed in [2], and if dynamic sub-band format indication is introduced, there can be both semi-static and dynamic flexible sub-bands. Then, </w:t>
      </w:r>
      <w:r w:rsidR="00157A83">
        <w:rPr>
          <w:rFonts w:ascii="Times New Roman" w:eastAsiaTheme="minorEastAsia" w:hAnsi="Times New Roman"/>
          <w:sz w:val="22"/>
        </w:rPr>
        <w:t xml:space="preserve">a </w:t>
      </w:r>
      <w:r w:rsidRPr="00A25CE5">
        <w:rPr>
          <w:rFonts w:ascii="Times New Roman" w:eastAsiaTheme="minorEastAsia" w:hAnsi="Times New Roman"/>
          <w:sz w:val="22"/>
        </w:rPr>
        <w:t xml:space="preserve">UE behavior for the cases discussed above (PDCCH monitoring, DL reception or UL transmission by DCI, and DL reception or UL transmission by higher layer configuration) </w:t>
      </w:r>
      <w:r w:rsidR="00157A83">
        <w:rPr>
          <w:rFonts w:ascii="Times New Roman" w:eastAsiaTheme="minorEastAsia" w:hAnsi="Times New Roman"/>
          <w:sz w:val="22"/>
        </w:rPr>
        <w:t xml:space="preserve">should also be discussed </w:t>
      </w:r>
      <w:r w:rsidRPr="00A25CE5">
        <w:rPr>
          <w:rFonts w:ascii="Times New Roman" w:eastAsiaTheme="minorEastAsia" w:hAnsi="Times New Roman"/>
          <w:sz w:val="22"/>
        </w:rPr>
        <w:t>as in Rel-15 TDD operation.</w:t>
      </w:r>
    </w:p>
    <w:p w14:paraId="54E426BB" w14:textId="267D30C2" w:rsidR="00CA48B4" w:rsidRPr="0066331D" w:rsidRDefault="00CA48B4" w:rsidP="00CA48B4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3: RAN1 to study </w:t>
      </w:r>
      <w:r w:rsidR="0066331D">
        <w:rPr>
          <w:rFonts w:eastAsiaTheme="minorEastAsia"/>
          <w:b/>
          <w:bCs/>
          <w:i/>
          <w:iCs/>
          <w:sz w:val="22"/>
          <w:szCs w:val="22"/>
          <w:lang w:eastAsia="ko-KR"/>
        </w:rPr>
        <w:t>the UE behavior for following cases on semi-static flexible sub-band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53C3B87D" w14:textId="6D11BF15" w:rsidR="0066331D" w:rsidRPr="0066331D" w:rsidRDefault="0066331D" w:rsidP="0066331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PDCCH monitoring in configured CORESET symbols.</w:t>
      </w:r>
    </w:p>
    <w:p w14:paraId="566816FC" w14:textId="5CDC88D4" w:rsidR="0066331D" w:rsidRPr="0066331D" w:rsidRDefault="0066331D" w:rsidP="0066331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CI-indicated DL reception or UL transmission.</w:t>
      </w:r>
    </w:p>
    <w:p w14:paraId="137A2521" w14:textId="41136DCD" w:rsidR="0066331D" w:rsidRPr="000473D5" w:rsidRDefault="0066331D" w:rsidP="0066331D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H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igher layer configured DL reception or UL transmission.</w:t>
      </w:r>
    </w:p>
    <w:p w14:paraId="22C45C00" w14:textId="620A2A7D" w:rsidR="001D1C45" w:rsidRPr="007D6DF7" w:rsidRDefault="001D1C45" w:rsidP="001D1C45">
      <w:pPr>
        <w:pStyle w:val="a0"/>
        <w:spacing w:line="276" w:lineRule="auto"/>
        <w:ind w:firstLineChars="64" w:firstLine="128"/>
        <w:jc w:val="both"/>
        <w:rPr>
          <w:rFonts w:eastAsiaTheme="minorEastAsia"/>
          <w:b/>
          <w:bCs/>
          <w:u w:val="single"/>
          <w:lang w:eastAsia="ko-KR"/>
        </w:rPr>
      </w:pPr>
    </w:p>
    <w:p w14:paraId="2955DA6E" w14:textId="77777777" w:rsidR="00473A70" w:rsidRPr="00E45180" w:rsidRDefault="00473A70" w:rsidP="00273052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3592B806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86524A">
        <w:rPr>
          <w:rFonts w:ascii="Times New Roman" w:hAnsi="Times New Roman"/>
          <w:kern w:val="0"/>
          <w:sz w:val="22"/>
        </w:rPr>
        <w:t>potential enhancements on dynamic/flexible TDD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192EEE79" w14:textId="77777777" w:rsidR="00941E05" w:rsidRDefault="00941E05" w:rsidP="00941E0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 RAN1 to study semi-static sub-band format configuration based on semi-static TDD slot format configuration.</w:t>
      </w:r>
    </w:p>
    <w:p w14:paraId="387F5254" w14:textId="4096C7F8" w:rsidR="00941E05" w:rsidRPr="00941E05" w:rsidRDefault="00941E05" w:rsidP="00941E05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cell-specific and/or UE-specific sub-band format configuration.</w:t>
      </w:r>
    </w:p>
    <w:p w14:paraId="5472CF64" w14:textId="77777777" w:rsidR="00941E05" w:rsidRPr="000473D5" w:rsidRDefault="00941E05" w:rsidP="00941E0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2: RAN1 to study whether/how to support dynamic sub-band format indication.</w:t>
      </w:r>
    </w:p>
    <w:p w14:paraId="10365C5C" w14:textId="77777777" w:rsidR="00941E05" w:rsidRPr="0066331D" w:rsidRDefault="00941E05" w:rsidP="00941E05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3: RAN1 to study the UE behavior for following cases on semi-static flexible sub-band.</w:t>
      </w:r>
    </w:p>
    <w:p w14:paraId="1082006E" w14:textId="77777777" w:rsidR="00941E05" w:rsidRPr="0066331D" w:rsidRDefault="00941E05" w:rsidP="00941E05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PDCCH monitoring in configured CORESET symbols.</w:t>
      </w:r>
    </w:p>
    <w:p w14:paraId="6657289E" w14:textId="77777777" w:rsidR="00941E05" w:rsidRPr="0066331D" w:rsidRDefault="00941E05" w:rsidP="00941E05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lastRenderedPageBreak/>
        <w:t>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CI-indicated DL reception or UL transmission.</w:t>
      </w:r>
    </w:p>
    <w:p w14:paraId="38BE1921" w14:textId="77777777" w:rsidR="00941E05" w:rsidRPr="000473D5" w:rsidRDefault="00941E05" w:rsidP="00941E05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rFonts w:eastAsiaTheme="minorEastAsia"/>
          <w:sz w:val="22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H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igher layer configured DL reception or UL transmission.</w:t>
      </w:r>
    </w:p>
    <w:p w14:paraId="20202657" w14:textId="77777777" w:rsidR="00941E05" w:rsidRDefault="00941E05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</w:p>
    <w:p w14:paraId="157D679C" w14:textId="6FD6D7C2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A97343D" w14:textId="388721E3" w:rsidR="00C41043" w:rsidRDefault="00680481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</w:t>
      </w:r>
      <w:r w:rsidR="0094239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20633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="007E2F06" w:rsidRPr="007E2F06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Revised SID: Study on evolution of NR duplex operation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,” </w:t>
      </w:r>
      <w:r w:rsidR="00831E1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CMCC, RAN#95-e</w:t>
      </w:r>
    </w:p>
    <w:p w14:paraId="332BC247" w14:textId="19947399" w:rsidR="00EA71BD" w:rsidRDefault="00EA71BD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R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1-2204550, “</w:t>
      </w:r>
      <w:r w:rsidRPr="00EA71BD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Discussion on sub-band non overlapping full duplex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,” WILUS, RAN1#109-e</w:t>
      </w:r>
    </w:p>
    <w:sectPr w:rsidR="00EA71BD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9B95" w14:textId="77777777" w:rsidR="00F64F92" w:rsidRDefault="00F64F92">
      <w:r>
        <w:separator/>
      </w:r>
    </w:p>
  </w:endnote>
  <w:endnote w:type="continuationSeparator" w:id="0">
    <w:p w14:paraId="3FC88563" w14:textId="77777777" w:rsidR="00F64F92" w:rsidRDefault="00F64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F64F92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87F9F" w14:textId="77777777" w:rsidR="00F64F92" w:rsidRDefault="00F64F92">
      <w:r>
        <w:separator/>
      </w:r>
    </w:p>
  </w:footnote>
  <w:footnote w:type="continuationSeparator" w:id="0">
    <w:p w14:paraId="66B701A0" w14:textId="77777777" w:rsidR="00F64F92" w:rsidRDefault="00F64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0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152649">
    <w:abstractNumId w:val="12"/>
  </w:num>
  <w:num w:numId="2" w16cid:durableId="1958098037">
    <w:abstractNumId w:val="5"/>
  </w:num>
  <w:num w:numId="3" w16cid:durableId="1753965024">
    <w:abstractNumId w:val="14"/>
  </w:num>
  <w:num w:numId="4" w16cid:durableId="2091271924">
    <w:abstractNumId w:val="1"/>
  </w:num>
  <w:num w:numId="5" w16cid:durableId="1956015375">
    <w:abstractNumId w:val="19"/>
  </w:num>
  <w:num w:numId="6" w16cid:durableId="213394916">
    <w:abstractNumId w:val="12"/>
  </w:num>
  <w:num w:numId="7" w16cid:durableId="1573268683">
    <w:abstractNumId w:val="21"/>
  </w:num>
  <w:num w:numId="8" w16cid:durableId="976879894">
    <w:abstractNumId w:val="11"/>
  </w:num>
  <w:num w:numId="9" w16cid:durableId="1210729712">
    <w:abstractNumId w:val="13"/>
  </w:num>
  <w:num w:numId="10" w16cid:durableId="476453561">
    <w:abstractNumId w:val="8"/>
  </w:num>
  <w:num w:numId="11" w16cid:durableId="1143351714">
    <w:abstractNumId w:val="13"/>
  </w:num>
  <w:num w:numId="12" w16cid:durableId="474370847">
    <w:abstractNumId w:val="3"/>
  </w:num>
  <w:num w:numId="13" w16cid:durableId="2016492400">
    <w:abstractNumId w:val="20"/>
  </w:num>
  <w:num w:numId="14" w16cid:durableId="867718731">
    <w:abstractNumId w:val="16"/>
  </w:num>
  <w:num w:numId="15" w16cid:durableId="76371246">
    <w:abstractNumId w:val="6"/>
  </w:num>
  <w:num w:numId="16" w16cid:durableId="852496210">
    <w:abstractNumId w:val="17"/>
  </w:num>
  <w:num w:numId="17" w16cid:durableId="798064079">
    <w:abstractNumId w:val="9"/>
  </w:num>
  <w:num w:numId="18" w16cid:durableId="1869641118">
    <w:abstractNumId w:val="18"/>
  </w:num>
  <w:num w:numId="19" w16cid:durableId="1501655462">
    <w:abstractNumId w:val="2"/>
  </w:num>
  <w:num w:numId="20" w16cid:durableId="755129925">
    <w:abstractNumId w:val="4"/>
  </w:num>
  <w:num w:numId="21" w16cid:durableId="1076049397">
    <w:abstractNumId w:val="0"/>
  </w:num>
  <w:num w:numId="22" w16cid:durableId="961233508">
    <w:abstractNumId w:val="7"/>
  </w:num>
  <w:num w:numId="23" w16cid:durableId="987169448">
    <w:abstractNumId w:val="10"/>
  </w:num>
  <w:num w:numId="24" w16cid:durableId="6438951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114C8"/>
    <w:rsid w:val="000127AF"/>
    <w:rsid w:val="00013E08"/>
    <w:rsid w:val="00014605"/>
    <w:rsid w:val="00024BF3"/>
    <w:rsid w:val="000261BA"/>
    <w:rsid w:val="00031DAC"/>
    <w:rsid w:val="000328E8"/>
    <w:rsid w:val="00036903"/>
    <w:rsid w:val="000412CA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837D3"/>
    <w:rsid w:val="000B14C0"/>
    <w:rsid w:val="000C02DD"/>
    <w:rsid w:val="000C4979"/>
    <w:rsid w:val="000C7E1C"/>
    <w:rsid w:val="000D61C5"/>
    <w:rsid w:val="000F5155"/>
    <w:rsid w:val="000F5567"/>
    <w:rsid w:val="00100BEE"/>
    <w:rsid w:val="001029A8"/>
    <w:rsid w:val="001117F3"/>
    <w:rsid w:val="00113BD0"/>
    <w:rsid w:val="00115835"/>
    <w:rsid w:val="00115E26"/>
    <w:rsid w:val="00117989"/>
    <w:rsid w:val="0012244B"/>
    <w:rsid w:val="00123B4A"/>
    <w:rsid w:val="00125928"/>
    <w:rsid w:val="00132E1D"/>
    <w:rsid w:val="00134AB6"/>
    <w:rsid w:val="00135236"/>
    <w:rsid w:val="00135AE1"/>
    <w:rsid w:val="001373FE"/>
    <w:rsid w:val="00147727"/>
    <w:rsid w:val="0015104D"/>
    <w:rsid w:val="0015782F"/>
    <w:rsid w:val="00157A83"/>
    <w:rsid w:val="001707D2"/>
    <w:rsid w:val="0017500A"/>
    <w:rsid w:val="00190382"/>
    <w:rsid w:val="001915DD"/>
    <w:rsid w:val="00192FC4"/>
    <w:rsid w:val="0019306D"/>
    <w:rsid w:val="0019350E"/>
    <w:rsid w:val="001A10D7"/>
    <w:rsid w:val="001A487D"/>
    <w:rsid w:val="001A5A28"/>
    <w:rsid w:val="001A6C11"/>
    <w:rsid w:val="001A7A6A"/>
    <w:rsid w:val="001A7C69"/>
    <w:rsid w:val="001B770B"/>
    <w:rsid w:val="001C3E61"/>
    <w:rsid w:val="001D02DD"/>
    <w:rsid w:val="001D0F11"/>
    <w:rsid w:val="001D1C45"/>
    <w:rsid w:val="001D2265"/>
    <w:rsid w:val="001E5D04"/>
    <w:rsid w:val="001F507A"/>
    <w:rsid w:val="002032F8"/>
    <w:rsid w:val="00203D88"/>
    <w:rsid w:val="0021468C"/>
    <w:rsid w:val="00215488"/>
    <w:rsid w:val="00226E0D"/>
    <w:rsid w:val="002273ED"/>
    <w:rsid w:val="00234D96"/>
    <w:rsid w:val="00241211"/>
    <w:rsid w:val="00241F61"/>
    <w:rsid w:val="002468CD"/>
    <w:rsid w:val="002475AA"/>
    <w:rsid w:val="00250CB2"/>
    <w:rsid w:val="00254416"/>
    <w:rsid w:val="00257CDD"/>
    <w:rsid w:val="002650BA"/>
    <w:rsid w:val="0026561F"/>
    <w:rsid w:val="00266AE9"/>
    <w:rsid w:val="0026722A"/>
    <w:rsid w:val="00267EDA"/>
    <w:rsid w:val="002722F3"/>
    <w:rsid w:val="00273052"/>
    <w:rsid w:val="002731A8"/>
    <w:rsid w:val="002876AE"/>
    <w:rsid w:val="00290C91"/>
    <w:rsid w:val="002A0F9A"/>
    <w:rsid w:val="002A3321"/>
    <w:rsid w:val="002A3D04"/>
    <w:rsid w:val="002A3FDA"/>
    <w:rsid w:val="002A6EC3"/>
    <w:rsid w:val="002B6D62"/>
    <w:rsid w:val="002D4594"/>
    <w:rsid w:val="002D7FF9"/>
    <w:rsid w:val="002E0B63"/>
    <w:rsid w:val="002E17C2"/>
    <w:rsid w:val="002E3389"/>
    <w:rsid w:val="002E347C"/>
    <w:rsid w:val="002E3999"/>
    <w:rsid w:val="002F0006"/>
    <w:rsid w:val="002F0472"/>
    <w:rsid w:val="002F280E"/>
    <w:rsid w:val="002F54ED"/>
    <w:rsid w:val="00302418"/>
    <w:rsid w:val="00317D0E"/>
    <w:rsid w:val="003218AF"/>
    <w:rsid w:val="00322A2D"/>
    <w:rsid w:val="00332104"/>
    <w:rsid w:val="00336599"/>
    <w:rsid w:val="00347163"/>
    <w:rsid w:val="00350971"/>
    <w:rsid w:val="00350DEB"/>
    <w:rsid w:val="0036224D"/>
    <w:rsid w:val="00377746"/>
    <w:rsid w:val="00385F9C"/>
    <w:rsid w:val="0038645C"/>
    <w:rsid w:val="003918AB"/>
    <w:rsid w:val="00391B35"/>
    <w:rsid w:val="0039329C"/>
    <w:rsid w:val="00395A4B"/>
    <w:rsid w:val="003A0DA1"/>
    <w:rsid w:val="003A1EED"/>
    <w:rsid w:val="003A3D67"/>
    <w:rsid w:val="003A732A"/>
    <w:rsid w:val="003B4605"/>
    <w:rsid w:val="003B61CC"/>
    <w:rsid w:val="003C1B4D"/>
    <w:rsid w:val="003C2785"/>
    <w:rsid w:val="003C419C"/>
    <w:rsid w:val="003C5E8F"/>
    <w:rsid w:val="003C65FE"/>
    <w:rsid w:val="003D2C35"/>
    <w:rsid w:val="003D60E2"/>
    <w:rsid w:val="003D79B9"/>
    <w:rsid w:val="003E6F87"/>
    <w:rsid w:val="003E764C"/>
    <w:rsid w:val="003E76D0"/>
    <w:rsid w:val="003F1931"/>
    <w:rsid w:val="003F4144"/>
    <w:rsid w:val="003F596A"/>
    <w:rsid w:val="003F73EA"/>
    <w:rsid w:val="00400ACD"/>
    <w:rsid w:val="00401903"/>
    <w:rsid w:val="00403A2B"/>
    <w:rsid w:val="004130FC"/>
    <w:rsid w:val="00413220"/>
    <w:rsid w:val="00416CFC"/>
    <w:rsid w:val="00421A42"/>
    <w:rsid w:val="00423FC8"/>
    <w:rsid w:val="00426800"/>
    <w:rsid w:val="0043062D"/>
    <w:rsid w:val="00431E13"/>
    <w:rsid w:val="00432820"/>
    <w:rsid w:val="00436153"/>
    <w:rsid w:val="00437675"/>
    <w:rsid w:val="00442E56"/>
    <w:rsid w:val="00445EC2"/>
    <w:rsid w:val="00463A18"/>
    <w:rsid w:val="00467383"/>
    <w:rsid w:val="00473A70"/>
    <w:rsid w:val="00474F08"/>
    <w:rsid w:val="004812A9"/>
    <w:rsid w:val="00483153"/>
    <w:rsid w:val="004832E9"/>
    <w:rsid w:val="00487748"/>
    <w:rsid w:val="00496B62"/>
    <w:rsid w:val="004A09D4"/>
    <w:rsid w:val="004B73EC"/>
    <w:rsid w:val="004B7E4C"/>
    <w:rsid w:val="004C3570"/>
    <w:rsid w:val="004D356D"/>
    <w:rsid w:val="004D4273"/>
    <w:rsid w:val="004D6B16"/>
    <w:rsid w:val="004E125C"/>
    <w:rsid w:val="004E3508"/>
    <w:rsid w:val="004E4550"/>
    <w:rsid w:val="004E50E9"/>
    <w:rsid w:val="004E6AA7"/>
    <w:rsid w:val="004F3434"/>
    <w:rsid w:val="004F6AC5"/>
    <w:rsid w:val="004F7113"/>
    <w:rsid w:val="005008C1"/>
    <w:rsid w:val="00503C99"/>
    <w:rsid w:val="0051047F"/>
    <w:rsid w:val="00511423"/>
    <w:rsid w:val="00513379"/>
    <w:rsid w:val="00513F9C"/>
    <w:rsid w:val="00516FA2"/>
    <w:rsid w:val="005336FF"/>
    <w:rsid w:val="00535093"/>
    <w:rsid w:val="00535D77"/>
    <w:rsid w:val="005408C4"/>
    <w:rsid w:val="00541F3F"/>
    <w:rsid w:val="005431F5"/>
    <w:rsid w:val="00543D99"/>
    <w:rsid w:val="005469ED"/>
    <w:rsid w:val="00551E04"/>
    <w:rsid w:val="00551E0D"/>
    <w:rsid w:val="00553A22"/>
    <w:rsid w:val="00553BE0"/>
    <w:rsid w:val="00554A98"/>
    <w:rsid w:val="00560053"/>
    <w:rsid w:val="005605AF"/>
    <w:rsid w:val="00561ABC"/>
    <w:rsid w:val="00564495"/>
    <w:rsid w:val="00566D07"/>
    <w:rsid w:val="00571294"/>
    <w:rsid w:val="00571FD4"/>
    <w:rsid w:val="00572830"/>
    <w:rsid w:val="005756CE"/>
    <w:rsid w:val="0057776F"/>
    <w:rsid w:val="00577B30"/>
    <w:rsid w:val="005837FB"/>
    <w:rsid w:val="005900D8"/>
    <w:rsid w:val="00592F28"/>
    <w:rsid w:val="005939D6"/>
    <w:rsid w:val="00594145"/>
    <w:rsid w:val="00595804"/>
    <w:rsid w:val="005A014D"/>
    <w:rsid w:val="005A4C38"/>
    <w:rsid w:val="005A6D57"/>
    <w:rsid w:val="005A7B08"/>
    <w:rsid w:val="005B154B"/>
    <w:rsid w:val="005B4EA2"/>
    <w:rsid w:val="005C3D2D"/>
    <w:rsid w:val="005D5F96"/>
    <w:rsid w:val="005E4AF7"/>
    <w:rsid w:val="005E5489"/>
    <w:rsid w:val="005E7D83"/>
    <w:rsid w:val="005F77BF"/>
    <w:rsid w:val="00602A62"/>
    <w:rsid w:val="006057F1"/>
    <w:rsid w:val="00607074"/>
    <w:rsid w:val="006136CC"/>
    <w:rsid w:val="00614FF1"/>
    <w:rsid w:val="00617BC2"/>
    <w:rsid w:val="006338F0"/>
    <w:rsid w:val="006347BA"/>
    <w:rsid w:val="00635747"/>
    <w:rsid w:val="00637CA1"/>
    <w:rsid w:val="006437F8"/>
    <w:rsid w:val="0066331D"/>
    <w:rsid w:val="00670E0F"/>
    <w:rsid w:val="006719A1"/>
    <w:rsid w:val="006756E8"/>
    <w:rsid w:val="00676064"/>
    <w:rsid w:val="0067612A"/>
    <w:rsid w:val="00677B6F"/>
    <w:rsid w:val="00677CB1"/>
    <w:rsid w:val="00677E44"/>
    <w:rsid w:val="00680481"/>
    <w:rsid w:val="0068511A"/>
    <w:rsid w:val="006856A4"/>
    <w:rsid w:val="00690411"/>
    <w:rsid w:val="00693D45"/>
    <w:rsid w:val="00693DA3"/>
    <w:rsid w:val="006941D8"/>
    <w:rsid w:val="00696B5D"/>
    <w:rsid w:val="00697D62"/>
    <w:rsid w:val="006A016C"/>
    <w:rsid w:val="006A2A57"/>
    <w:rsid w:val="006A32E2"/>
    <w:rsid w:val="006A7007"/>
    <w:rsid w:val="006B24B0"/>
    <w:rsid w:val="006C31B0"/>
    <w:rsid w:val="006D283B"/>
    <w:rsid w:val="006E0736"/>
    <w:rsid w:val="006E0B51"/>
    <w:rsid w:val="006E0D94"/>
    <w:rsid w:val="006F5368"/>
    <w:rsid w:val="00702BF7"/>
    <w:rsid w:val="00705F6C"/>
    <w:rsid w:val="007113EA"/>
    <w:rsid w:val="007158D1"/>
    <w:rsid w:val="0072564A"/>
    <w:rsid w:val="007276A2"/>
    <w:rsid w:val="00732B6C"/>
    <w:rsid w:val="00743A9C"/>
    <w:rsid w:val="0075060C"/>
    <w:rsid w:val="007649E6"/>
    <w:rsid w:val="00775C2D"/>
    <w:rsid w:val="00775DCD"/>
    <w:rsid w:val="007766C2"/>
    <w:rsid w:val="00782A1E"/>
    <w:rsid w:val="0078484D"/>
    <w:rsid w:val="00785914"/>
    <w:rsid w:val="00786F88"/>
    <w:rsid w:val="00791573"/>
    <w:rsid w:val="00792C00"/>
    <w:rsid w:val="007947CE"/>
    <w:rsid w:val="00794CD4"/>
    <w:rsid w:val="0079693C"/>
    <w:rsid w:val="007979CA"/>
    <w:rsid w:val="007A1F99"/>
    <w:rsid w:val="007A38FC"/>
    <w:rsid w:val="007B2180"/>
    <w:rsid w:val="007B2854"/>
    <w:rsid w:val="007B7B06"/>
    <w:rsid w:val="007C2EC1"/>
    <w:rsid w:val="007C4927"/>
    <w:rsid w:val="007D6DF7"/>
    <w:rsid w:val="007E2F06"/>
    <w:rsid w:val="007E40EE"/>
    <w:rsid w:val="007E4B4A"/>
    <w:rsid w:val="007F2192"/>
    <w:rsid w:val="007F4DBD"/>
    <w:rsid w:val="007F4FD5"/>
    <w:rsid w:val="007F7B04"/>
    <w:rsid w:val="00800EA9"/>
    <w:rsid w:val="00803750"/>
    <w:rsid w:val="00804457"/>
    <w:rsid w:val="00816610"/>
    <w:rsid w:val="00826113"/>
    <w:rsid w:val="00827E35"/>
    <w:rsid w:val="00831E12"/>
    <w:rsid w:val="00842FD8"/>
    <w:rsid w:val="00844A5B"/>
    <w:rsid w:val="00845019"/>
    <w:rsid w:val="00850BF7"/>
    <w:rsid w:val="00854933"/>
    <w:rsid w:val="00857FA3"/>
    <w:rsid w:val="00864C08"/>
    <w:rsid w:val="0086524A"/>
    <w:rsid w:val="00866056"/>
    <w:rsid w:val="008715F9"/>
    <w:rsid w:val="0087209E"/>
    <w:rsid w:val="008766B1"/>
    <w:rsid w:val="0088178A"/>
    <w:rsid w:val="008867DB"/>
    <w:rsid w:val="00887345"/>
    <w:rsid w:val="008925D0"/>
    <w:rsid w:val="00893887"/>
    <w:rsid w:val="008952E9"/>
    <w:rsid w:val="008A116A"/>
    <w:rsid w:val="008A3286"/>
    <w:rsid w:val="008B76B9"/>
    <w:rsid w:val="008C2DA5"/>
    <w:rsid w:val="008C3A3F"/>
    <w:rsid w:val="008C4433"/>
    <w:rsid w:val="008C7575"/>
    <w:rsid w:val="008D0305"/>
    <w:rsid w:val="008E5843"/>
    <w:rsid w:val="008E6CBD"/>
    <w:rsid w:val="00903ADA"/>
    <w:rsid w:val="00916DDC"/>
    <w:rsid w:val="00922456"/>
    <w:rsid w:val="00934793"/>
    <w:rsid w:val="00934AF9"/>
    <w:rsid w:val="00941E05"/>
    <w:rsid w:val="0094239F"/>
    <w:rsid w:val="0094253A"/>
    <w:rsid w:val="00950546"/>
    <w:rsid w:val="0095548D"/>
    <w:rsid w:val="00970C8E"/>
    <w:rsid w:val="00972D6E"/>
    <w:rsid w:val="00974F1E"/>
    <w:rsid w:val="0097525E"/>
    <w:rsid w:val="00981003"/>
    <w:rsid w:val="009846A0"/>
    <w:rsid w:val="00997338"/>
    <w:rsid w:val="00997EE8"/>
    <w:rsid w:val="009A1283"/>
    <w:rsid w:val="009A32AB"/>
    <w:rsid w:val="009A671E"/>
    <w:rsid w:val="009B6043"/>
    <w:rsid w:val="009C1216"/>
    <w:rsid w:val="009C5224"/>
    <w:rsid w:val="009D22D4"/>
    <w:rsid w:val="009D4FF3"/>
    <w:rsid w:val="009D57FD"/>
    <w:rsid w:val="009D6A14"/>
    <w:rsid w:val="009D7430"/>
    <w:rsid w:val="009E2576"/>
    <w:rsid w:val="009E59B4"/>
    <w:rsid w:val="009F1E03"/>
    <w:rsid w:val="009F392D"/>
    <w:rsid w:val="009F4647"/>
    <w:rsid w:val="009F57F8"/>
    <w:rsid w:val="00A06948"/>
    <w:rsid w:val="00A13413"/>
    <w:rsid w:val="00A14598"/>
    <w:rsid w:val="00A17DF6"/>
    <w:rsid w:val="00A17E85"/>
    <w:rsid w:val="00A20A9E"/>
    <w:rsid w:val="00A22345"/>
    <w:rsid w:val="00A25CE5"/>
    <w:rsid w:val="00A33A76"/>
    <w:rsid w:val="00A35F70"/>
    <w:rsid w:val="00A40DD4"/>
    <w:rsid w:val="00A4363D"/>
    <w:rsid w:val="00A50DF4"/>
    <w:rsid w:val="00A51401"/>
    <w:rsid w:val="00A54BA0"/>
    <w:rsid w:val="00A63352"/>
    <w:rsid w:val="00A65157"/>
    <w:rsid w:val="00A70788"/>
    <w:rsid w:val="00A7197F"/>
    <w:rsid w:val="00A75898"/>
    <w:rsid w:val="00A81E65"/>
    <w:rsid w:val="00A9220C"/>
    <w:rsid w:val="00AC7926"/>
    <w:rsid w:val="00AD0170"/>
    <w:rsid w:val="00AD2DE2"/>
    <w:rsid w:val="00AD4D96"/>
    <w:rsid w:val="00AD6834"/>
    <w:rsid w:val="00AD76FE"/>
    <w:rsid w:val="00B00FB3"/>
    <w:rsid w:val="00B02A98"/>
    <w:rsid w:val="00B07005"/>
    <w:rsid w:val="00B07281"/>
    <w:rsid w:val="00B15E75"/>
    <w:rsid w:val="00B16DB7"/>
    <w:rsid w:val="00B22862"/>
    <w:rsid w:val="00B2590B"/>
    <w:rsid w:val="00B26309"/>
    <w:rsid w:val="00B3209C"/>
    <w:rsid w:val="00B332BE"/>
    <w:rsid w:val="00B33530"/>
    <w:rsid w:val="00B37B06"/>
    <w:rsid w:val="00B4458F"/>
    <w:rsid w:val="00B608CA"/>
    <w:rsid w:val="00B86D80"/>
    <w:rsid w:val="00B87862"/>
    <w:rsid w:val="00B922D2"/>
    <w:rsid w:val="00B940EC"/>
    <w:rsid w:val="00BA2712"/>
    <w:rsid w:val="00BA5798"/>
    <w:rsid w:val="00BB4B5E"/>
    <w:rsid w:val="00BB58E0"/>
    <w:rsid w:val="00BB6940"/>
    <w:rsid w:val="00BC15D4"/>
    <w:rsid w:val="00BD08D0"/>
    <w:rsid w:val="00BD2428"/>
    <w:rsid w:val="00BE4C52"/>
    <w:rsid w:val="00BF46F1"/>
    <w:rsid w:val="00C0225F"/>
    <w:rsid w:val="00C02914"/>
    <w:rsid w:val="00C05B76"/>
    <w:rsid w:val="00C2103E"/>
    <w:rsid w:val="00C2535B"/>
    <w:rsid w:val="00C25C32"/>
    <w:rsid w:val="00C26F6E"/>
    <w:rsid w:val="00C27A9E"/>
    <w:rsid w:val="00C3257C"/>
    <w:rsid w:val="00C35E20"/>
    <w:rsid w:val="00C376A1"/>
    <w:rsid w:val="00C41043"/>
    <w:rsid w:val="00C62FB7"/>
    <w:rsid w:val="00C63316"/>
    <w:rsid w:val="00C65B4E"/>
    <w:rsid w:val="00C6606E"/>
    <w:rsid w:val="00C71B3C"/>
    <w:rsid w:val="00C76DAA"/>
    <w:rsid w:val="00C80A58"/>
    <w:rsid w:val="00C82762"/>
    <w:rsid w:val="00C946B8"/>
    <w:rsid w:val="00C95622"/>
    <w:rsid w:val="00C97206"/>
    <w:rsid w:val="00C97CBA"/>
    <w:rsid w:val="00CA40DC"/>
    <w:rsid w:val="00CA48B4"/>
    <w:rsid w:val="00CA4D98"/>
    <w:rsid w:val="00CC0AEB"/>
    <w:rsid w:val="00CC2383"/>
    <w:rsid w:val="00CD20A5"/>
    <w:rsid w:val="00CD7481"/>
    <w:rsid w:val="00CE051D"/>
    <w:rsid w:val="00CE3315"/>
    <w:rsid w:val="00D00964"/>
    <w:rsid w:val="00D045FE"/>
    <w:rsid w:val="00D15ED8"/>
    <w:rsid w:val="00D17DEF"/>
    <w:rsid w:val="00D17EA5"/>
    <w:rsid w:val="00D21CE1"/>
    <w:rsid w:val="00D224C5"/>
    <w:rsid w:val="00D24B92"/>
    <w:rsid w:val="00D2539D"/>
    <w:rsid w:val="00D26AC8"/>
    <w:rsid w:val="00D30568"/>
    <w:rsid w:val="00D34C26"/>
    <w:rsid w:val="00D35B44"/>
    <w:rsid w:val="00D37DCC"/>
    <w:rsid w:val="00D427B8"/>
    <w:rsid w:val="00D51B5E"/>
    <w:rsid w:val="00D53E4A"/>
    <w:rsid w:val="00D62E83"/>
    <w:rsid w:val="00D66597"/>
    <w:rsid w:val="00D67314"/>
    <w:rsid w:val="00D717C1"/>
    <w:rsid w:val="00D72F15"/>
    <w:rsid w:val="00D91EF7"/>
    <w:rsid w:val="00D92BDD"/>
    <w:rsid w:val="00D95C74"/>
    <w:rsid w:val="00DA295E"/>
    <w:rsid w:val="00DB078B"/>
    <w:rsid w:val="00DB1030"/>
    <w:rsid w:val="00DB57CA"/>
    <w:rsid w:val="00DB75C5"/>
    <w:rsid w:val="00DC22D3"/>
    <w:rsid w:val="00DC610A"/>
    <w:rsid w:val="00DD516E"/>
    <w:rsid w:val="00DE0F14"/>
    <w:rsid w:val="00DE3888"/>
    <w:rsid w:val="00DE5716"/>
    <w:rsid w:val="00DE708F"/>
    <w:rsid w:val="00E00486"/>
    <w:rsid w:val="00E00AB1"/>
    <w:rsid w:val="00E0687D"/>
    <w:rsid w:val="00E14562"/>
    <w:rsid w:val="00E17DAC"/>
    <w:rsid w:val="00E22A43"/>
    <w:rsid w:val="00E26C21"/>
    <w:rsid w:val="00E308FF"/>
    <w:rsid w:val="00E361D1"/>
    <w:rsid w:val="00E375C7"/>
    <w:rsid w:val="00E45180"/>
    <w:rsid w:val="00E4693B"/>
    <w:rsid w:val="00E474B1"/>
    <w:rsid w:val="00E479B2"/>
    <w:rsid w:val="00E51AE9"/>
    <w:rsid w:val="00E52361"/>
    <w:rsid w:val="00E542D0"/>
    <w:rsid w:val="00E548D5"/>
    <w:rsid w:val="00E56FDA"/>
    <w:rsid w:val="00E57521"/>
    <w:rsid w:val="00E6261A"/>
    <w:rsid w:val="00E65401"/>
    <w:rsid w:val="00E67893"/>
    <w:rsid w:val="00E67A4C"/>
    <w:rsid w:val="00E67CB2"/>
    <w:rsid w:val="00E74CDC"/>
    <w:rsid w:val="00E75071"/>
    <w:rsid w:val="00E75FEE"/>
    <w:rsid w:val="00E86960"/>
    <w:rsid w:val="00E91CFC"/>
    <w:rsid w:val="00E9312C"/>
    <w:rsid w:val="00E9600B"/>
    <w:rsid w:val="00E96760"/>
    <w:rsid w:val="00E9776E"/>
    <w:rsid w:val="00E97DEF"/>
    <w:rsid w:val="00EA1AD1"/>
    <w:rsid w:val="00EA71BD"/>
    <w:rsid w:val="00EB07A8"/>
    <w:rsid w:val="00EB4214"/>
    <w:rsid w:val="00EB5A0E"/>
    <w:rsid w:val="00EB62A3"/>
    <w:rsid w:val="00ED1E40"/>
    <w:rsid w:val="00ED711A"/>
    <w:rsid w:val="00ED715C"/>
    <w:rsid w:val="00ED7ECD"/>
    <w:rsid w:val="00EF06DA"/>
    <w:rsid w:val="00EF3D75"/>
    <w:rsid w:val="00EF6FA4"/>
    <w:rsid w:val="00F06328"/>
    <w:rsid w:val="00F134D2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14DC"/>
    <w:rsid w:val="00F63C0B"/>
    <w:rsid w:val="00F63FD4"/>
    <w:rsid w:val="00F64F92"/>
    <w:rsid w:val="00F67B1C"/>
    <w:rsid w:val="00F81E0B"/>
    <w:rsid w:val="00F85CEC"/>
    <w:rsid w:val="00F85DF3"/>
    <w:rsid w:val="00F96051"/>
    <w:rsid w:val="00FA0E8C"/>
    <w:rsid w:val="00FA4AEE"/>
    <w:rsid w:val="00FB2A7B"/>
    <w:rsid w:val="00FB66A2"/>
    <w:rsid w:val="00FC0D0B"/>
    <w:rsid w:val="00FC34AF"/>
    <w:rsid w:val="00FD76A8"/>
    <w:rsid w:val="00FD76AD"/>
    <w:rsid w:val="00FE1419"/>
    <w:rsid w:val="00FE37F2"/>
    <w:rsid w:val="00FF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2022-04-29T23:54:00Z</dcterms:created>
  <dcterms:modified xsi:type="dcterms:W3CDTF">2022-04-29T23:56:00Z</dcterms:modified>
</cp:coreProperties>
</file>