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3382" w14:textId="6556BA1A" w:rsidR="004E3508" w:rsidRPr="006E28C2" w:rsidRDefault="004E3508" w:rsidP="004E3508">
      <w:pPr>
        <w:tabs>
          <w:tab w:val="center" w:pos="4536"/>
          <w:tab w:val="right" w:pos="8280"/>
          <w:tab w:val="right" w:pos="9639"/>
        </w:tabs>
        <w:wordWrap/>
        <w:ind w:right="2"/>
        <w:rPr>
          <w:rFonts w:ascii="Times New Roman" w:hAnsi="Times New Roman"/>
          <w:b/>
          <w:bCs/>
          <w:sz w:val="28"/>
        </w:rPr>
      </w:pPr>
      <w:r w:rsidRPr="006E28C2">
        <w:rPr>
          <w:rFonts w:ascii="Times New Roman" w:hAnsi="Times New Roman"/>
          <w:b/>
          <w:bCs/>
          <w:sz w:val="28"/>
        </w:rPr>
        <w:t>3GPP TSG RAN WG1 #10</w:t>
      </w:r>
      <w:r w:rsidR="00F3761E">
        <w:rPr>
          <w:rFonts w:ascii="Times New Roman" w:hAnsi="Times New Roman"/>
          <w:b/>
          <w:bCs/>
          <w:sz w:val="28"/>
        </w:rPr>
        <w:t>9</w:t>
      </w:r>
      <w:r w:rsidRPr="006E28C2">
        <w:rPr>
          <w:rFonts w:ascii="Times New Roman" w:hAnsi="Times New Roman"/>
          <w:b/>
          <w:bCs/>
          <w:sz w:val="28"/>
        </w:rPr>
        <w:t>-e</w:t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0C7C3A">
        <w:rPr>
          <w:rFonts w:ascii="Times New Roman" w:hAnsi="Times New Roman"/>
          <w:b/>
          <w:bCs/>
          <w:sz w:val="28"/>
        </w:rPr>
        <w:t>R1-</w:t>
      </w:r>
      <w:r w:rsidR="00DC610A" w:rsidRPr="00A16CCE">
        <w:rPr>
          <w:rFonts w:ascii="Times New Roman" w:hAnsi="Times New Roman"/>
          <w:b/>
          <w:bCs/>
          <w:sz w:val="28"/>
        </w:rPr>
        <w:t>220</w:t>
      </w:r>
      <w:r w:rsidR="00BB4B5E">
        <w:rPr>
          <w:rFonts w:ascii="Times New Roman" w:hAnsi="Times New Roman"/>
          <w:b/>
          <w:bCs/>
          <w:sz w:val="28"/>
        </w:rPr>
        <w:t>45</w:t>
      </w:r>
      <w:r w:rsidR="00F167F6">
        <w:rPr>
          <w:rFonts w:ascii="Times New Roman" w:hAnsi="Times New Roman"/>
          <w:b/>
          <w:bCs/>
          <w:sz w:val="28"/>
        </w:rPr>
        <w:t>50</w:t>
      </w:r>
    </w:p>
    <w:p w14:paraId="1067FCFD" w14:textId="21549A66" w:rsidR="00473A70" w:rsidRPr="008B6F35" w:rsidRDefault="00473A70" w:rsidP="00473A7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spacing w:line="276" w:lineRule="auto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8B6F35">
        <w:rPr>
          <w:rFonts w:ascii="Times New Roman" w:hAnsi="Times New Roman"/>
          <w:b/>
          <w:bCs/>
          <w:sz w:val="28"/>
        </w:rPr>
        <w:t xml:space="preserve">e-Meeting, </w:t>
      </w:r>
      <w:r w:rsidR="00BB4B5E">
        <w:rPr>
          <w:rFonts w:ascii="Times New Roman" w:hAnsi="Times New Roman"/>
          <w:b/>
          <w:bCs/>
          <w:sz w:val="28"/>
          <w:lang w:val="en-GB"/>
        </w:rPr>
        <w:t>May</w:t>
      </w:r>
      <w:r w:rsidR="00463A18" w:rsidRPr="00463A18">
        <w:rPr>
          <w:rFonts w:ascii="Times New Roman" w:hAnsi="Times New Roman"/>
          <w:b/>
          <w:bCs/>
          <w:sz w:val="28"/>
          <w:lang w:val="en-GB"/>
        </w:rPr>
        <w:t xml:space="preserve"> </w:t>
      </w:r>
      <w:r w:rsidR="00BB4B5E">
        <w:rPr>
          <w:rFonts w:ascii="Times New Roman" w:hAnsi="Times New Roman"/>
          <w:b/>
          <w:bCs/>
          <w:sz w:val="28"/>
          <w:lang w:val="en-GB"/>
        </w:rPr>
        <w:t>9</w:t>
      </w:r>
      <w:r w:rsidR="00BB4B5E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="00463A18" w:rsidRPr="00463A18">
        <w:rPr>
          <w:rFonts w:ascii="Times New Roman" w:hAnsi="Times New Roman"/>
          <w:b/>
          <w:bCs/>
          <w:sz w:val="28"/>
          <w:lang w:val="en-GB"/>
        </w:rPr>
        <w:t xml:space="preserve"> – </w:t>
      </w:r>
      <w:r w:rsidR="00BB4B5E">
        <w:rPr>
          <w:rFonts w:ascii="Times New Roman" w:hAnsi="Times New Roman"/>
          <w:b/>
          <w:bCs/>
          <w:sz w:val="28"/>
          <w:lang w:val="en-GB"/>
        </w:rPr>
        <w:t>20</w:t>
      </w:r>
      <w:r w:rsidR="00BB4B5E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="00463A18" w:rsidRPr="00463A18">
        <w:rPr>
          <w:rFonts w:ascii="Times New Roman" w:hAnsi="Times New Roman"/>
          <w:b/>
          <w:bCs/>
          <w:sz w:val="28"/>
          <w:lang w:val="en-GB"/>
        </w:rPr>
        <w:t>, 202</w:t>
      </w:r>
      <w:r w:rsidR="003A732A">
        <w:rPr>
          <w:rFonts w:ascii="Times New Roman" w:hAnsi="Times New Roman"/>
          <w:b/>
          <w:bCs/>
          <w:sz w:val="28"/>
          <w:lang w:val="en-GB"/>
        </w:rPr>
        <w:t>2</w:t>
      </w:r>
    </w:p>
    <w:p w14:paraId="00612618" w14:textId="77777777" w:rsidR="00473A70" w:rsidRPr="004E3508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12110172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sub-band non overlapping full duplex</w:t>
      </w:r>
    </w:p>
    <w:p w14:paraId="6FE3A7FF" w14:textId="355DDB52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>
        <w:rPr>
          <w:rFonts w:ascii="Times New Roman" w:hAnsi="Times New Roman"/>
          <w:b/>
          <w:kern w:val="0"/>
          <w:sz w:val="24"/>
          <w:szCs w:val="20"/>
        </w:rPr>
        <w:t>9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</w:t>
      </w:r>
      <w:r w:rsidR="00F167F6">
        <w:rPr>
          <w:rFonts w:ascii="Times New Roman" w:hAnsi="Times New Roman"/>
          <w:b/>
          <w:kern w:val="0"/>
          <w:sz w:val="24"/>
          <w:szCs w:val="20"/>
        </w:rPr>
        <w:t>3</w:t>
      </w:r>
      <w:r w:rsidRPr="008B6F35">
        <w:rPr>
          <w:rFonts w:ascii="Times New Roman" w:hAnsi="Times New Roman"/>
          <w:b/>
          <w:kern w:val="0"/>
          <w:sz w:val="24"/>
          <w:szCs w:val="20"/>
        </w:rPr>
        <w:t>.</w:t>
      </w:r>
      <w:r w:rsidR="00F167F6">
        <w:rPr>
          <w:rFonts w:ascii="Times New Roman" w:hAnsi="Times New Roman"/>
          <w:b/>
          <w:kern w:val="0"/>
          <w:sz w:val="24"/>
          <w:szCs w:val="20"/>
        </w:rPr>
        <w:t>2</w:t>
      </w:r>
    </w:p>
    <w:p w14:paraId="0BB0D076" w14:textId="6CB3A2BE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E45180" w:rsidRDefault="00473A70" w:rsidP="00473A70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6A6457A5" w14:textId="0BCD8B65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C41043">
        <w:rPr>
          <w:rFonts w:ascii="Times New Roman" w:hAnsi="Times New Roman"/>
          <w:kern w:val="0"/>
          <w:sz w:val="22"/>
        </w:rPr>
        <w:t>RAN#</w:t>
      </w:r>
      <w:r w:rsidR="000659C2">
        <w:rPr>
          <w:rFonts w:ascii="Times New Roman" w:hAnsi="Times New Roman"/>
          <w:kern w:val="0"/>
          <w:sz w:val="22"/>
        </w:rPr>
        <w:t>95</w:t>
      </w:r>
      <w:r w:rsidR="00C41043">
        <w:rPr>
          <w:rFonts w:ascii="Times New Roman" w:hAnsi="Times New Roman"/>
          <w:kern w:val="0"/>
          <w:sz w:val="22"/>
        </w:rPr>
        <w:t>-e meeting</w:t>
      </w:r>
      <w:r w:rsidR="000659C2">
        <w:rPr>
          <w:rFonts w:ascii="Times New Roman" w:hAnsi="Times New Roman"/>
          <w:kern w:val="0"/>
          <w:sz w:val="22"/>
        </w:rPr>
        <w:t xml:space="preserve">, </w:t>
      </w:r>
      <w:r w:rsidR="001D0F11">
        <w:rPr>
          <w:rFonts w:ascii="Times New Roman" w:hAnsi="Times New Roman"/>
          <w:kern w:val="0"/>
          <w:sz w:val="22"/>
        </w:rPr>
        <w:t>revised</w:t>
      </w:r>
      <w:r w:rsidR="000659C2">
        <w:rPr>
          <w:rFonts w:ascii="Times New Roman" w:hAnsi="Times New Roman"/>
          <w:kern w:val="0"/>
          <w:sz w:val="22"/>
        </w:rPr>
        <w:t xml:space="preserve"> SID on </w:t>
      </w:r>
      <w:r w:rsidR="00436153">
        <w:rPr>
          <w:rFonts w:ascii="Times New Roman" w:hAnsi="Times New Roman"/>
          <w:kern w:val="0"/>
          <w:sz w:val="22"/>
        </w:rPr>
        <w:t>evolution of NR duplex operation</w:t>
      </w:r>
      <w:r w:rsidR="000659C2">
        <w:rPr>
          <w:rFonts w:ascii="Times New Roman" w:hAnsi="Times New Roman"/>
          <w:kern w:val="0"/>
          <w:sz w:val="22"/>
        </w:rPr>
        <w:t xml:space="preserve"> was approved</w:t>
      </w:r>
      <w:r w:rsidR="00E51AE9">
        <w:rPr>
          <w:rFonts w:ascii="Times New Roman" w:hAnsi="Times New Roman"/>
          <w:kern w:val="0"/>
          <w:sz w:val="22"/>
        </w:rPr>
        <w:t xml:space="preserve"> </w:t>
      </w:r>
      <w:r w:rsidR="000659C2">
        <w:rPr>
          <w:rFonts w:ascii="Times New Roman" w:hAnsi="Times New Roman"/>
          <w:kern w:val="0"/>
          <w:sz w:val="22"/>
        </w:rPr>
        <w:t xml:space="preserve">[1], and the objective for </w:t>
      </w:r>
      <w:r w:rsidR="00436153">
        <w:rPr>
          <w:rFonts w:ascii="Times New Roman" w:hAnsi="Times New Roman"/>
          <w:kern w:val="0"/>
          <w:sz w:val="22"/>
        </w:rPr>
        <w:t>evolution of NR duplex operation</w:t>
      </w:r>
      <w:r w:rsidR="000659C2">
        <w:rPr>
          <w:rFonts w:ascii="Times New Roman" w:hAnsi="Times New Roman"/>
          <w:kern w:val="0"/>
          <w:sz w:val="22"/>
        </w:rPr>
        <w:t xml:space="preserve"> is listed as follows</w:t>
      </w:r>
      <w:r w:rsidRPr="008B6F35">
        <w:rPr>
          <w:rFonts w:ascii="Times New Roman" w:hAnsi="Times New Roman"/>
          <w:kern w:val="0"/>
          <w:sz w:val="22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3A70" w:rsidRPr="008B6F35" w14:paraId="1D3F799D" w14:textId="77777777" w:rsidTr="00880585">
        <w:tc>
          <w:tcPr>
            <w:tcW w:w="9736" w:type="dxa"/>
          </w:tcPr>
          <w:p w14:paraId="50EEE04D" w14:textId="77777777" w:rsidR="00680481" w:rsidRPr="00680481" w:rsidRDefault="00680481" w:rsidP="00680481">
            <w:pPr>
              <w:widowControl/>
              <w:wordWrap/>
              <w:overflowPunct w:val="0"/>
              <w:adjustRightInd w:val="0"/>
              <w:spacing w:after="180"/>
              <w:ind w:right="-99"/>
              <w:textAlignment w:val="baseline"/>
              <w:rPr>
                <w:rFonts w:ascii="Times New Roman" w:eastAsia="DengXian" w:hAnsi="Times New Roman"/>
                <w:bCs/>
                <w:lang w:val="en-GB"/>
              </w:rPr>
            </w:pPr>
            <w:bookmarkStart w:id="0" w:name="_Hlk89819652"/>
            <w:r w:rsidRPr="00680481">
              <w:rPr>
                <w:rFonts w:ascii="Times New Roman" w:eastAsia="DengXian" w:hAnsi="Times New Roman"/>
                <w:lang w:val="en-GB" w:eastAsia="en-GB"/>
              </w:rPr>
              <w:t>The objective of this study is to identify and evaluate the potential enhancements to support duplex evolution for NR TDD in unpaired spectrum.</w:t>
            </w:r>
          </w:p>
          <w:p w14:paraId="18DE71C8" w14:textId="77777777" w:rsidR="00680481" w:rsidRPr="00680481" w:rsidRDefault="00680481" w:rsidP="00680481">
            <w:pPr>
              <w:widowControl/>
              <w:wordWrap/>
              <w:overflowPunct w:val="0"/>
              <w:adjustRightInd w:val="0"/>
              <w:spacing w:after="180"/>
              <w:ind w:right="-99"/>
              <w:textAlignment w:val="baseline"/>
              <w:rPr>
                <w:rFonts w:ascii="Times New Roman" w:eastAsia="DengXian" w:hAnsi="Times New Roman"/>
                <w:bCs/>
                <w:lang w:val="en-GB"/>
              </w:rPr>
            </w:pPr>
            <w:r w:rsidRPr="00680481">
              <w:rPr>
                <w:rFonts w:ascii="Times New Roman" w:eastAsia="DengXian" w:hAnsi="Times New Roman"/>
                <w:bCs/>
                <w:lang w:val="en-GB"/>
              </w:rPr>
              <w:t>In this study, the followings are assumed:</w:t>
            </w:r>
          </w:p>
          <w:p w14:paraId="28BFB730" w14:textId="77777777" w:rsidR="00680481" w:rsidRPr="00680481" w:rsidRDefault="00680481" w:rsidP="00680481">
            <w:pPr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Duplex enhancement at the gNB side</w:t>
            </w:r>
          </w:p>
          <w:p w14:paraId="5DE36262" w14:textId="77777777" w:rsidR="00680481" w:rsidRPr="00680481" w:rsidRDefault="00680481" w:rsidP="00680481">
            <w:pPr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Half duplex operation at the UE side</w:t>
            </w:r>
          </w:p>
          <w:p w14:paraId="77424169" w14:textId="77777777" w:rsidR="00680481" w:rsidRPr="00680481" w:rsidRDefault="00680481" w:rsidP="00680481">
            <w:pPr>
              <w:widowControl/>
              <w:numPr>
                <w:ilvl w:val="0"/>
                <w:numId w:val="21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No restriction on frequency ranges</w:t>
            </w:r>
          </w:p>
          <w:p w14:paraId="41414203" w14:textId="77777777" w:rsidR="00680481" w:rsidRPr="00680481" w:rsidRDefault="00680481" w:rsidP="00680481">
            <w:pPr>
              <w:widowControl/>
              <w:wordWrap/>
              <w:overflowPunct w:val="0"/>
              <w:adjustRightInd w:val="0"/>
              <w:spacing w:after="180"/>
              <w:ind w:right="-99"/>
              <w:textAlignment w:val="baseline"/>
              <w:rPr>
                <w:rFonts w:ascii="Times New Roman" w:eastAsia="DengXian" w:hAnsi="Times New Roman"/>
                <w:bCs/>
                <w:lang w:val="en-GB"/>
              </w:rPr>
            </w:pPr>
            <w:r w:rsidRPr="00680481">
              <w:rPr>
                <w:rFonts w:ascii="Times New Roman" w:eastAsia="DengXian" w:hAnsi="Times New Roman" w:hint="eastAsia"/>
                <w:bCs/>
                <w:lang w:val="en-GB"/>
              </w:rPr>
              <w:t xml:space="preserve">The detailed objectives are as </w:t>
            </w:r>
            <w:r w:rsidRPr="00680481">
              <w:rPr>
                <w:rFonts w:ascii="Times New Roman" w:eastAsia="DengXian" w:hAnsi="Times New Roman"/>
                <w:bCs/>
                <w:lang w:val="en-GB"/>
              </w:rPr>
              <w:t>follows</w:t>
            </w:r>
            <w:r w:rsidRPr="00680481">
              <w:rPr>
                <w:rFonts w:ascii="Times New Roman" w:eastAsia="DengXian" w:hAnsi="Times New Roman" w:hint="eastAsia"/>
                <w:bCs/>
                <w:lang w:val="en-GB"/>
              </w:rPr>
              <w:t>:</w:t>
            </w:r>
          </w:p>
          <w:p w14:paraId="7F8E45A7" w14:textId="77777777" w:rsidR="00680481" w:rsidRPr="00680481" w:rsidRDefault="00680481" w:rsidP="00680481">
            <w:pPr>
              <w:widowControl/>
              <w:numPr>
                <w:ilvl w:val="0"/>
                <w:numId w:val="23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en-GB"/>
              </w:rPr>
            </w:pPr>
            <w:r w:rsidRPr="00680481">
              <w:rPr>
                <w:rFonts w:ascii="Times New Roman" w:eastAsia="DengXian" w:hAnsi="Times New Roman"/>
                <w:lang w:eastAsia="en-GB"/>
              </w:rPr>
              <w:t>Identify applicable and relevant deployment scenarios (RAN1).</w:t>
            </w:r>
          </w:p>
          <w:p w14:paraId="10130C56" w14:textId="77777777" w:rsidR="00680481" w:rsidRPr="00680481" w:rsidRDefault="00680481" w:rsidP="00680481">
            <w:pPr>
              <w:widowControl/>
              <w:numPr>
                <w:ilvl w:val="0"/>
                <w:numId w:val="23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en-GB"/>
              </w:rPr>
            </w:pPr>
            <w:r w:rsidRPr="00680481">
              <w:rPr>
                <w:rFonts w:ascii="Times New Roman" w:eastAsia="DengXian" w:hAnsi="Times New Roman"/>
                <w:lang w:eastAsia="en-GB"/>
              </w:rPr>
              <w:t>Develop evaluation methodology for duplex enhancement (RAN1).</w:t>
            </w:r>
          </w:p>
          <w:p w14:paraId="45CCEBAD" w14:textId="77777777" w:rsidR="00680481" w:rsidRPr="00680481" w:rsidRDefault="00680481" w:rsidP="00680481">
            <w:pPr>
              <w:widowControl/>
              <w:numPr>
                <w:ilvl w:val="0"/>
                <w:numId w:val="23"/>
              </w:numPr>
              <w:wordWrap/>
              <w:overflowPunct w:val="0"/>
              <w:adjustRightInd w:val="0"/>
              <w:spacing w:after="180"/>
              <w:textAlignment w:val="baseline"/>
              <w:rPr>
                <w:rFonts w:ascii="Times New Roman" w:eastAsia="DengXian" w:hAnsi="Times New Roman"/>
                <w:lang w:eastAsia="en-GB"/>
              </w:rPr>
            </w:pPr>
            <w:r w:rsidRPr="00680481">
              <w:rPr>
                <w:rFonts w:ascii="Times New Roman" w:hAnsi="Times New Roman" w:hint="eastAsia"/>
              </w:rPr>
              <w:t xml:space="preserve">Study </w:t>
            </w:r>
            <w:r w:rsidRPr="00680481">
              <w:rPr>
                <w:rFonts w:ascii="Times New Roman" w:hAnsi="Times New Roman"/>
              </w:rPr>
              <w:t xml:space="preserve">the </w:t>
            </w:r>
            <w:proofErr w:type="spellStart"/>
            <w:r w:rsidRPr="00680481">
              <w:rPr>
                <w:rFonts w:ascii="Times New Roman" w:hAnsi="Times New Roman"/>
              </w:rPr>
              <w:t>subband</w:t>
            </w:r>
            <w:proofErr w:type="spellEnd"/>
            <w:r w:rsidRPr="00680481">
              <w:rPr>
                <w:rFonts w:ascii="Times New Roman" w:hAnsi="Times New Roman"/>
              </w:rPr>
              <w:t xml:space="preserve"> non-overlapping full duplex and </w:t>
            </w:r>
            <w:bookmarkStart w:id="1" w:name="_Hlk89796625"/>
            <w:r w:rsidRPr="00680481">
              <w:rPr>
                <w:rFonts w:ascii="Times New Roman" w:hAnsi="Times New Roman"/>
              </w:rPr>
              <w:t xml:space="preserve">potential enhancements on </w:t>
            </w:r>
            <w:r w:rsidRPr="00680481">
              <w:rPr>
                <w:rFonts w:ascii="Times New Roman" w:hAnsi="Times New Roman"/>
                <w:bCs/>
                <w:lang w:val="en-GB"/>
              </w:rPr>
              <w:t>dynamic/flexible TDD</w:t>
            </w:r>
            <w:bookmarkEnd w:id="1"/>
            <w:r w:rsidRPr="00680481">
              <w:rPr>
                <w:rFonts w:ascii="Times New Roman" w:hAnsi="Times New Roman"/>
                <w:bCs/>
                <w:lang w:val="en-GB"/>
              </w:rPr>
              <w:t xml:space="preserve"> (RAN1, RAN4).</w:t>
            </w:r>
          </w:p>
          <w:p w14:paraId="617A1AAC" w14:textId="77777777" w:rsidR="00680481" w:rsidRPr="00680481" w:rsidRDefault="00680481" w:rsidP="00680481">
            <w:pPr>
              <w:widowControl/>
              <w:numPr>
                <w:ilvl w:val="0"/>
                <w:numId w:val="2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Identify possible schemes and evaluate their feasibility and performances (RAN1).</w:t>
            </w:r>
          </w:p>
          <w:p w14:paraId="245E159F" w14:textId="77777777" w:rsidR="00680481" w:rsidRPr="00680481" w:rsidRDefault="00680481" w:rsidP="00680481">
            <w:pPr>
              <w:widowControl/>
              <w:numPr>
                <w:ilvl w:val="0"/>
                <w:numId w:val="2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 xml:space="preserve">Study inter-gNB and inter-UE CLI handling and identify solutions to manage them (RAN1). </w:t>
            </w:r>
          </w:p>
          <w:p w14:paraId="48704622" w14:textId="77777777" w:rsidR="00680481" w:rsidRPr="00680481" w:rsidRDefault="00680481" w:rsidP="00680481">
            <w:pPr>
              <w:widowControl/>
              <w:numPr>
                <w:ilvl w:val="1"/>
                <w:numId w:val="2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Consider intra-</w:t>
            </w:r>
            <w:proofErr w:type="spellStart"/>
            <w:r w:rsidRPr="00680481">
              <w:rPr>
                <w:rFonts w:ascii="Times New Roman" w:hAnsi="Times New Roman"/>
                <w:bCs/>
                <w:lang w:val="en-GB"/>
              </w:rPr>
              <w:t>subband</w:t>
            </w:r>
            <w:proofErr w:type="spellEnd"/>
            <w:r w:rsidRPr="00680481">
              <w:rPr>
                <w:rFonts w:ascii="Times New Roman" w:hAnsi="Times New Roman"/>
                <w:bCs/>
                <w:lang w:val="en-GB"/>
              </w:rPr>
              <w:t xml:space="preserve"> CLI and inter-</w:t>
            </w:r>
            <w:proofErr w:type="spellStart"/>
            <w:r w:rsidRPr="00680481">
              <w:rPr>
                <w:rFonts w:ascii="Times New Roman" w:hAnsi="Times New Roman"/>
                <w:bCs/>
                <w:lang w:val="en-GB"/>
              </w:rPr>
              <w:t>subband</w:t>
            </w:r>
            <w:proofErr w:type="spellEnd"/>
            <w:r w:rsidRPr="00680481">
              <w:rPr>
                <w:rFonts w:ascii="Times New Roman" w:hAnsi="Times New Roman"/>
                <w:bCs/>
                <w:lang w:val="en-GB"/>
              </w:rPr>
              <w:t xml:space="preserve"> CLI in case of the </w:t>
            </w:r>
            <w:proofErr w:type="spellStart"/>
            <w:r w:rsidRPr="00680481">
              <w:rPr>
                <w:rFonts w:ascii="Times New Roman" w:hAnsi="Times New Roman"/>
              </w:rPr>
              <w:t>subband</w:t>
            </w:r>
            <w:proofErr w:type="spellEnd"/>
            <w:r w:rsidRPr="00680481">
              <w:rPr>
                <w:rFonts w:ascii="Times New Roman" w:hAnsi="Times New Roman"/>
              </w:rPr>
              <w:t xml:space="preserve"> non-overlapping full duplex</w:t>
            </w:r>
            <w:r w:rsidRPr="00680481">
              <w:rPr>
                <w:rFonts w:ascii="Times New Roman" w:hAnsi="Times New Roman"/>
                <w:bCs/>
                <w:lang w:val="en-GB"/>
              </w:rPr>
              <w:t>.</w:t>
            </w:r>
          </w:p>
          <w:p w14:paraId="163F6A3C" w14:textId="77777777" w:rsidR="00680481" w:rsidRPr="00680481" w:rsidRDefault="00680481" w:rsidP="00680481">
            <w:pPr>
              <w:widowControl/>
              <w:numPr>
                <w:ilvl w:val="0"/>
                <w:numId w:val="2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Study the performance of the identified schemes as well as the impact on legacy operation assuming their co-existence in co-channel and adjacent channels (RAN1).</w:t>
            </w:r>
          </w:p>
          <w:p w14:paraId="19DB3825" w14:textId="77777777" w:rsidR="00680481" w:rsidRPr="00680481" w:rsidRDefault="00680481" w:rsidP="00680481">
            <w:pPr>
              <w:widowControl/>
              <w:numPr>
                <w:ilvl w:val="0"/>
                <w:numId w:val="2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Study the feasibility of and impact on RF requirements considering adjacent-channel co-existence with the legacy operation (RAN4).</w:t>
            </w:r>
          </w:p>
          <w:p w14:paraId="0A05ADB3" w14:textId="77777777" w:rsidR="00680481" w:rsidRPr="00680481" w:rsidRDefault="00680481" w:rsidP="00680481">
            <w:pPr>
              <w:widowControl/>
              <w:numPr>
                <w:ilvl w:val="0"/>
                <w:numId w:val="22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>Study the feasibility of and impact on RF requirements considering the self-interference, the inter-</w:t>
            </w:r>
            <w:proofErr w:type="spellStart"/>
            <w:r w:rsidRPr="00680481">
              <w:rPr>
                <w:rFonts w:ascii="Times New Roman" w:hAnsi="Times New Roman"/>
                <w:bCs/>
                <w:lang w:val="en-GB"/>
              </w:rPr>
              <w:t>subband</w:t>
            </w:r>
            <w:proofErr w:type="spellEnd"/>
            <w:r w:rsidRPr="00680481">
              <w:rPr>
                <w:rFonts w:ascii="Times New Roman" w:hAnsi="Times New Roman"/>
                <w:bCs/>
                <w:lang w:val="en-GB"/>
              </w:rPr>
              <w:t xml:space="preserve"> CLI, and the inter-operator CLI at </w:t>
            </w:r>
            <w:proofErr w:type="spellStart"/>
            <w:r w:rsidRPr="00680481">
              <w:rPr>
                <w:rFonts w:ascii="Times New Roman" w:hAnsi="Times New Roman"/>
                <w:bCs/>
                <w:lang w:val="en-GB"/>
              </w:rPr>
              <w:t>gNB</w:t>
            </w:r>
            <w:proofErr w:type="spellEnd"/>
            <w:r w:rsidRPr="00680481">
              <w:rPr>
                <w:rFonts w:ascii="Times New Roman" w:hAnsi="Times New Roman"/>
                <w:bCs/>
                <w:lang w:val="en-GB"/>
              </w:rPr>
              <w:t xml:space="preserve"> and the inter-</w:t>
            </w:r>
            <w:proofErr w:type="spellStart"/>
            <w:r w:rsidRPr="00680481">
              <w:rPr>
                <w:rFonts w:ascii="Times New Roman" w:hAnsi="Times New Roman"/>
                <w:bCs/>
                <w:lang w:val="en-GB"/>
              </w:rPr>
              <w:t>subband</w:t>
            </w:r>
            <w:proofErr w:type="spellEnd"/>
            <w:r w:rsidRPr="00680481">
              <w:rPr>
                <w:rFonts w:ascii="Times New Roman" w:hAnsi="Times New Roman"/>
                <w:bCs/>
                <w:lang w:val="en-GB"/>
              </w:rPr>
              <w:t xml:space="preserve"> CLI and inter-operator CLI at UE (RAN4).</w:t>
            </w:r>
          </w:p>
          <w:p w14:paraId="16E55FBB" w14:textId="77777777" w:rsidR="00680481" w:rsidRPr="00680481" w:rsidRDefault="00680481" w:rsidP="00680481">
            <w:pPr>
              <w:widowControl/>
              <w:numPr>
                <w:ilvl w:val="0"/>
                <w:numId w:val="24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 xml:space="preserve">Note: RAN4 should be involved early to provide necessary information to RAN1 as needed and to study the feasibility aspects due to high impact in antenna/RF and algorithm design, which include antenna isolation, TX IM suppression in the RX part, </w:t>
            </w:r>
            <w:proofErr w:type="gramStart"/>
            <w:r w:rsidRPr="00680481">
              <w:rPr>
                <w:rFonts w:ascii="Times New Roman" w:hAnsi="Times New Roman"/>
                <w:bCs/>
                <w:lang w:val="en-GB"/>
              </w:rPr>
              <w:t>filtering</w:t>
            </w:r>
            <w:proofErr w:type="gramEnd"/>
            <w:r w:rsidRPr="00680481">
              <w:rPr>
                <w:rFonts w:ascii="Times New Roman" w:hAnsi="Times New Roman"/>
                <w:bCs/>
                <w:lang w:val="en-GB"/>
              </w:rPr>
              <w:t xml:space="preserve"> and digital interference suppression.</w:t>
            </w:r>
          </w:p>
          <w:p w14:paraId="78964925" w14:textId="77777777" w:rsidR="00680481" w:rsidRPr="00680481" w:rsidRDefault="00680481" w:rsidP="00680481">
            <w:pPr>
              <w:widowControl/>
              <w:numPr>
                <w:ilvl w:val="0"/>
                <w:numId w:val="24"/>
              </w:numPr>
              <w:wordWrap/>
              <w:overflowPunct w:val="0"/>
              <w:adjustRightInd w:val="0"/>
              <w:spacing w:after="180"/>
              <w:contextualSpacing/>
              <w:textAlignment w:val="baseline"/>
              <w:rPr>
                <w:rFonts w:ascii="Times New Roman" w:eastAsia="DengXian" w:hAnsi="Times New Roman"/>
                <w:lang w:eastAsia="en-GB"/>
              </w:rPr>
            </w:pPr>
            <w:r w:rsidRPr="00680481">
              <w:rPr>
                <w:rFonts w:ascii="Times New Roman" w:eastAsia="DengXian" w:hAnsi="Times New Roman"/>
                <w:lang w:eastAsia="en-GB"/>
              </w:rPr>
              <w:t xml:space="preserve">Summarize the regulatory aspects that </w:t>
            </w:r>
            <w:proofErr w:type="gramStart"/>
            <w:r w:rsidRPr="00680481">
              <w:rPr>
                <w:rFonts w:ascii="Times New Roman" w:eastAsia="DengXian" w:hAnsi="Times New Roman"/>
                <w:lang w:eastAsia="en-GB"/>
              </w:rPr>
              <w:t>have to</w:t>
            </w:r>
            <w:proofErr w:type="gramEnd"/>
            <w:r w:rsidRPr="00680481">
              <w:rPr>
                <w:rFonts w:ascii="Times New Roman" w:eastAsia="DengXian" w:hAnsi="Times New Roman"/>
                <w:lang w:eastAsia="en-GB"/>
              </w:rPr>
              <w:t xml:space="preserve"> be considered for deploying the identified duplex enhancements in TDD unpaired spectrum (RAN4).</w:t>
            </w:r>
          </w:p>
          <w:p w14:paraId="7B984FEF" w14:textId="10B7FEC4" w:rsidR="00EF06DA" w:rsidRPr="00680481" w:rsidRDefault="00680481" w:rsidP="00680481">
            <w:pPr>
              <w:widowControl/>
              <w:wordWrap/>
              <w:overflowPunct w:val="0"/>
              <w:adjustRightInd w:val="0"/>
              <w:textAlignment w:val="baseline"/>
              <w:rPr>
                <w:rFonts w:ascii="Times New Roman" w:eastAsiaTheme="minorEastAsia" w:hAnsi="Times New Roman"/>
                <w:bCs/>
                <w:lang w:val="en-GB"/>
              </w:rPr>
            </w:pPr>
            <w:r w:rsidRPr="00680481">
              <w:rPr>
                <w:rFonts w:ascii="Times New Roman" w:hAnsi="Times New Roman"/>
                <w:bCs/>
                <w:lang w:val="en-GB"/>
              </w:rPr>
              <w:t xml:space="preserve">Note: For potential enhancements on dynamic/flexible TDD, utilize the outcome of discussion in Rel-15 and Rel-16 while avoiding the repetition of the same discussion. </w:t>
            </w:r>
            <w:bookmarkEnd w:id="0"/>
          </w:p>
        </w:tc>
      </w:tr>
    </w:tbl>
    <w:p w14:paraId="2452B61F" w14:textId="7E836649" w:rsidR="00E17DAC" w:rsidRPr="00FC34AF" w:rsidRDefault="00473A70" w:rsidP="006C2DF8">
      <w:pPr>
        <w:widowControl/>
        <w:wordWrap/>
        <w:autoSpaceDE/>
        <w:autoSpaceDN/>
        <w:spacing w:before="12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>In this contribution, we provide our view</w:t>
      </w:r>
      <w:r w:rsidR="00257CDD">
        <w:rPr>
          <w:rFonts w:ascii="Times New Roman" w:hAnsi="Times New Roman"/>
          <w:kern w:val="0"/>
          <w:sz w:val="22"/>
        </w:rPr>
        <w:t>s</w:t>
      </w:r>
      <w:r w:rsidRPr="008B6F35">
        <w:rPr>
          <w:rFonts w:ascii="Times New Roman" w:hAnsi="Times New Roman"/>
          <w:kern w:val="0"/>
          <w:sz w:val="22"/>
        </w:rPr>
        <w:t xml:space="preserve"> on </w:t>
      </w:r>
      <w:r w:rsidR="00F167F6">
        <w:rPr>
          <w:rFonts w:ascii="Times New Roman" w:hAnsi="Times New Roman"/>
          <w:kern w:val="0"/>
          <w:sz w:val="22"/>
        </w:rPr>
        <w:t>sub-band non overlapping full duplex</w:t>
      </w:r>
      <w:r w:rsidR="006941D8">
        <w:rPr>
          <w:rFonts w:ascii="Times New Roman" w:hAnsi="Times New Roman"/>
          <w:kern w:val="0"/>
          <w:sz w:val="22"/>
        </w:rPr>
        <w:t>.</w:t>
      </w:r>
    </w:p>
    <w:p w14:paraId="7529E291" w14:textId="76D4831B" w:rsidR="00473A70" w:rsidRPr="00E45180" w:rsidRDefault="00473A70" w:rsidP="00CD20A5">
      <w:pPr>
        <w:pStyle w:val="1"/>
        <w:spacing w:before="0" w:line="276" w:lineRule="auto"/>
        <w:jc w:val="both"/>
        <w:rPr>
          <w:rFonts w:ascii="Times New Roman" w:hAnsi="Times New Roman"/>
          <w:sz w:val="28"/>
          <w:szCs w:val="22"/>
        </w:rPr>
      </w:pPr>
      <w:bookmarkStart w:id="2" w:name="OLE_LINK69"/>
      <w:r w:rsidRPr="00E45180">
        <w:rPr>
          <w:rFonts w:ascii="Times New Roman" w:hAnsi="Times New Roman"/>
          <w:sz w:val="28"/>
          <w:szCs w:val="22"/>
        </w:rPr>
        <w:lastRenderedPageBreak/>
        <w:t xml:space="preserve">Discussion on </w:t>
      </w:r>
      <w:r w:rsidR="00F167F6">
        <w:rPr>
          <w:rFonts w:ascii="Times New Roman" w:hAnsi="Times New Roman"/>
          <w:sz w:val="28"/>
          <w:szCs w:val="22"/>
        </w:rPr>
        <w:t>sub-band non overlapping full duplex</w:t>
      </w:r>
    </w:p>
    <w:bookmarkEnd w:id="2"/>
    <w:p w14:paraId="21A7219C" w14:textId="7DE69BB8" w:rsidR="002D497F" w:rsidRPr="007276A2" w:rsidRDefault="002D497F" w:rsidP="002D497F">
      <w:pPr>
        <w:pStyle w:val="a0"/>
        <w:spacing w:before="240" w:line="276" w:lineRule="auto"/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  <w:u w:val="single"/>
        </w:rPr>
        <w:t>Spectrum partitioning</w:t>
      </w:r>
    </w:p>
    <w:p w14:paraId="1E25A690" w14:textId="368F081C" w:rsidR="00846FA5" w:rsidRDefault="002D497F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To support sub-band non overlapping full duplex operation, </w:t>
      </w:r>
      <w:r w:rsidR="00E070AF">
        <w:rPr>
          <w:rFonts w:ascii="Times New Roman" w:eastAsiaTheme="minorEastAsia" w:hAnsi="Times New Roman"/>
          <w:sz w:val="22"/>
        </w:rPr>
        <w:t>several</w:t>
      </w:r>
      <w:r w:rsidR="00846FA5">
        <w:rPr>
          <w:rFonts w:ascii="Times New Roman" w:eastAsiaTheme="minorEastAsia" w:hAnsi="Times New Roman"/>
          <w:sz w:val="22"/>
        </w:rPr>
        <w:t xml:space="preserve"> issues</w:t>
      </w:r>
      <w:r>
        <w:rPr>
          <w:rFonts w:ascii="Times New Roman" w:eastAsiaTheme="minorEastAsia" w:hAnsi="Times New Roman"/>
          <w:sz w:val="22"/>
        </w:rPr>
        <w:t xml:space="preserve"> </w:t>
      </w:r>
      <w:r w:rsidR="00E070AF">
        <w:rPr>
          <w:rFonts w:ascii="Times New Roman" w:eastAsiaTheme="minorEastAsia" w:hAnsi="Times New Roman"/>
          <w:sz w:val="22"/>
        </w:rPr>
        <w:t>should</w:t>
      </w:r>
      <w:r>
        <w:rPr>
          <w:rFonts w:ascii="Times New Roman" w:eastAsiaTheme="minorEastAsia" w:hAnsi="Times New Roman"/>
          <w:sz w:val="22"/>
        </w:rPr>
        <w:t xml:space="preserve"> be </w:t>
      </w:r>
      <w:r w:rsidR="005C5B63">
        <w:rPr>
          <w:rFonts w:ascii="Times New Roman" w:eastAsiaTheme="minorEastAsia" w:hAnsi="Times New Roman"/>
          <w:sz w:val="22"/>
        </w:rPr>
        <w:t>studi</w:t>
      </w:r>
      <w:r>
        <w:rPr>
          <w:rFonts w:ascii="Times New Roman" w:eastAsiaTheme="minorEastAsia" w:hAnsi="Times New Roman"/>
          <w:sz w:val="22"/>
        </w:rPr>
        <w:t>ed</w:t>
      </w:r>
      <w:r w:rsidR="00385506">
        <w:rPr>
          <w:rFonts w:ascii="Times New Roman" w:eastAsiaTheme="minorEastAsia" w:hAnsi="Times New Roman"/>
          <w:sz w:val="22"/>
        </w:rPr>
        <w:t xml:space="preserve">, such as which time domain resources are used for sub-band operation and how </w:t>
      </w:r>
      <w:r w:rsidR="00E070AF">
        <w:rPr>
          <w:rFonts w:ascii="Times New Roman" w:eastAsiaTheme="minorEastAsia" w:hAnsi="Times New Roman"/>
          <w:sz w:val="22"/>
        </w:rPr>
        <w:t xml:space="preserve">to </w:t>
      </w:r>
      <w:r w:rsidR="00385506">
        <w:rPr>
          <w:rFonts w:ascii="Times New Roman" w:eastAsiaTheme="minorEastAsia" w:hAnsi="Times New Roman"/>
          <w:sz w:val="22"/>
        </w:rPr>
        <w:t>flexibly partition a single TDD spectrum</w:t>
      </w:r>
      <w:r w:rsidR="006406A0">
        <w:rPr>
          <w:rFonts w:ascii="Times New Roman" w:eastAsiaTheme="minorEastAsia" w:hAnsi="Times New Roman"/>
          <w:sz w:val="22"/>
        </w:rPr>
        <w:t>.</w:t>
      </w:r>
    </w:p>
    <w:p w14:paraId="28E0ED43" w14:textId="77777777" w:rsidR="00023E09" w:rsidRDefault="00023E09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3E74D06B" w14:textId="2836F031" w:rsidR="00385506" w:rsidRDefault="00005758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For the</w:t>
      </w:r>
      <w:r w:rsidR="00385506">
        <w:rPr>
          <w:rFonts w:ascii="Times New Roman" w:eastAsiaTheme="minorEastAsia" w:hAnsi="Times New Roman"/>
          <w:sz w:val="22"/>
        </w:rPr>
        <w:t xml:space="preserve"> issue on time domain resources for sub-band operation,</w:t>
      </w:r>
      <w:r w:rsidR="007B715B">
        <w:rPr>
          <w:rFonts w:ascii="Times New Roman" w:eastAsiaTheme="minorEastAsia" w:hAnsi="Times New Roman"/>
          <w:sz w:val="22"/>
        </w:rPr>
        <w:t xml:space="preserve"> cell-common flexible</w:t>
      </w:r>
      <w:r w:rsidR="00347BBE">
        <w:rPr>
          <w:rFonts w:ascii="Times New Roman" w:eastAsiaTheme="minorEastAsia" w:hAnsi="Times New Roman"/>
          <w:sz w:val="22"/>
        </w:rPr>
        <w:t xml:space="preserve"> </w:t>
      </w:r>
      <w:proofErr w:type="gramStart"/>
      <w:r w:rsidR="00787A1B">
        <w:rPr>
          <w:rFonts w:ascii="Times New Roman" w:eastAsiaTheme="minorEastAsia" w:hAnsi="Times New Roman"/>
          <w:sz w:val="22"/>
        </w:rPr>
        <w:t>slots</w:t>
      </w:r>
      <w:proofErr w:type="gramEnd"/>
      <w:r w:rsidR="00347BBE">
        <w:rPr>
          <w:rFonts w:ascii="Times New Roman" w:eastAsiaTheme="minorEastAsia" w:hAnsi="Times New Roman"/>
          <w:sz w:val="22"/>
        </w:rPr>
        <w:t xml:space="preserve"> or</w:t>
      </w:r>
      <w:r w:rsidR="007B715B">
        <w:rPr>
          <w:rFonts w:ascii="Times New Roman" w:eastAsiaTheme="minorEastAsia" w:hAnsi="Times New Roman"/>
          <w:sz w:val="22"/>
        </w:rPr>
        <w:t xml:space="preserve"> symbols (i.e., flexible</w:t>
      </w:r>
      <w:r w:rsidR="00347BBE">
        <w:rPr>
          <w:rFonts w:ascii="Times New Roman" w:eastAsiaTheme="minorEastAsia" w:hAnsi="Times New Roman"/>
          <w:sz w:val="22"/>
        </w:rPr>
        <w:t xml:space="preserve"> slots or</w:t>
      </w:r>
      <w:r w:rsidR="007B715B">
        <w:rPr>
          <w:rFonts w:ascii="Times New Roman" w:eastAsiaTheme="minorEastAsia" w:hAnsi="Times New Roman"/>
          <w:sz w:val="22"/>
        </w:rPr>
        <w:t xml:space="preserve"> symbols by </w:t>
      </w:r>
      <w:r w:rsidR="007B715B" w:rsidRPr="007B715B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7B715B" w:rsidRPr="007B715B">
        <w:rPr>
          <w:rFonts w:ascii="Times New Roman" w:eastAsiaTheme="minorEastAsia" w:hAnsi="Times New Roman"/>
          <w:i/>
          <w:iCs/>
          <w:sz w:val="22"/>
        </w:rPr>
        <w:t>ConfigCommon</w:t>
      </w:r>
      <w:proofErr w:type="spellEnd"/>
      <w:r w:rsidR="007B715B">
        <w:rPr>
          <w:rFonts w:ascii="Times New Roman" w:eastAsiaTheme="minorEastAsia" w:hAnsi="Times New Roman"/>
          <w:sz w:val="22"/>
        </w:rPr>
        <w:t xml:space="preserve">) can be </w:t>
      </w:r>
      <w:r w:rsidR="00787A1B">
        <w:rPr>
          <w:rFonts w:ascii="Times New Roman" w:eastAsiaTheme="minorEastAsia" w:hAnsi="Times New Roman"/>
          <w:sz w:val="22"/>
        </w:rPr>
        <w:t>considered</w:t>
      </w:r>
      <w:r w:rsidR="007B715B">
        <w:rPr>
          <w:rFonts w:ascii="Times New Roman" w:eastAsiaTheme="minorEastAsia" w:hAnsi="Times New Roman"/>
          <w:sz w:val="22"/>
        </w:rPr>
        <w:t>.</w:t>
      </w:r>
      <w:r w:rsidR="00F60EDA">
        <w:rPr>
          <w:rFonts w:ascii="Times New Roman" w:eastAsiaTheme="minorEastAsia" w:hAnsi="Times New Roman"/>
          <w:sz w:val="22"/>
        </w:rPr>
        <w:t xml:space="preserve"> </w:t>
      </w:r>
      <w:r w:rsidR="00284490">
        <w:rPr>
          <w:rFonts w:ascii="Times New Roman" w:eastAsiaTheme="minorEastAsia" w:hAnsi="Times New Roman"/>
          <w:sz w:val="22"/>
        </w:rPr>
        <w:t>C</w:t>
      </w:r>
      <w:r w:rsidR="00F60EDA">
        <w:rPr>
          <w:rFonts w:ascii="Times New Roman" w:eastAsiaTheme="minorEastAsia" w:hAnsi="Times New Roman"/>
          <w:sz w:val="22"/>
        </w:rPr>
        <w:t>ell-common downlink/uplink</w:t>
      </w:r>
      <w:r w:rsidR="00347BBE">
        <w:rPr>
          <w:rFonts w:ascii="Times New Roman" w:eastAsiaTheme="minorEastAsia" w:hAnsi="Times New Roman"/>
          <w:sz w:val="22"/>
        </w:rPr>
        <w:t xml:space="preserve"> slots or</w:t>
      </w:r>
      <w:r w:rsidR="00F60EDA">
        <w:rPr>
          <w:rFonts w:ascii="Times New Roman" w:eastAsiaTheme="minorEastAsia" w:hAnsi="Times New Roman"/>
          <w:sz w:val="22"/>
        </w:rPr>
        <w:t xml:space="preserve"> symbols are not </w:t>
      </w:r>
      <w:r w:rsidR="00E070AF">
        <w:rPr>
          <w:rFonts w:ascii="Times New Roman" w:eastAsiaTheme="minorEastAsia" w:hAnsi="Times New Roman"/>
          <w:sz w:val="22"/>
        </w:rPr>
        <w:t xml:space="preserve">suitable </w:t>
      </w:r>
      <w:r w:rsidR="00F60EDA">
        <w:rPr>
          <w:rFonts w:ascii="Times New Roman" w:eastAsiaTheme="minorEastAsia" w:hAnsi="Times New Roman"/>
          <w:sz w:val="22"/>
        </w:rPr>
        <w:t xml:space="preserve">to </w:t>
      </w:r>
      <w:r w:rsidR="00836622">
        <w:rPr>
          <w:rFonts w:ascii="Times New Roman" w:eastAsiaTheme="minorEastAsia" w:hAnsi="Times New Roman"/>
          <w:sz w:val="22"/>
        </w:rPr>
        <w:t xml:space="preserve">be </w:t>
      </w:r>
      <w:r w:rsidR="00F60EDA">
        <w:rPr>
          <w:rFonts w:ascii="Times New Roman" w:eastAsiaTheme="minorEastAsia" w:hAnsi="Times New Roman"/>
          <w:sz w:val="22"/>
        </w:rPr>
        <w:t>used for sub-band operation considering co-existence with UEs</w:t>
      </w:r>
      <w:r w:rsidR="00626DA7">
        <w:rPr>
          <w:rFonts w:ascii="Times New Roman" w:eastAsiaTheme="minorEastAsia" w:hAnsi="Times New Roman"/>
          <w:sz w:val="22"/>
        </w:rPr>
        <w:t xml:space="preserve"> that</w:t>
      </w:r>
      <w:r w:rsidR="00F60EDA">
        <w:rPr>
          <w:rFonts w:ascii="Times New Roman" w:eastAsiaTheme="minorEastAsia" w:hAnsi="Times New Roman"/>
          <w:sz w:val="22"/>
        </w:rPr>
        <w:t xml:space="preserve"> </w:t>
      </w:r>
      <w:r w:rsidR="00626DA7">
        <w:rPr>
          <w:rFonts w:ascii="Times New Roman" w:eastAsiaTheme="minorEastAsia" w:hAnsi="Times New Roman"/>
          <w:sz w:val="22"/>
        </w:rPr>
        <w:t xml:space="preserve">does </w:t>
      </w:r>
      <w:r w:rsidR="00F60EDA">
        <w:rPr>
          <w:rFonts w:ascii="Times New Roman" w:eastAsiaTheme="minorEastAsia" w:hAnsi="Times New Roman"/>
          <w:sz w:val="22"/>
        </w:rPr>
        <w:t>not support sub-band operation.</w:t>
      </w:r>
      <w:r w:rsidR="00303B2C">
        <w:rPr>
          <w:rFonts w:ascii="Times New Roman" w:eastAsiaTheme="minorEastAsia" w:hAnsi="Times New Roman"/>
          <w:sz w:val="22"/>
        </w:rPr>
        <w:t xml:space="preserve"> Also,</w:t>
      </w:r>
      <w:r w:rsidR="00B409D6">
        <w:rPr>
          <w:rFonts w:ascii="Times New Roman" w:eastAsiaTheme="minorEastAsia" w:hAnsi="Times New Roman"/>
          <w:sz w:val="22"/>
        </w:rPr>
        <w:t xml:space="preserve"> </w:t>
      </w:r>
      <w:r w:rsidR="00626DA7">
        <w:rPr>
          <w:rFonts w:ascii="Times New Roman" w:eastAsiaTheme="minorEastAsia" w:hAnsi="Times New Roman"/>
          <w:sz w:val="22"/>
        </w:rPr>
        <w:t xml:space="preserve">even for UEs that support sub-band operation in a same cell, cell-common downlink/uplink </w:t>
      </w:r>
      <w:r w:rsidR="00787A1B">
        <w:rPr>
          <w:rFonts w:ascii="Times New Roman" w:eastAsiaTheme="minorEastAsia" w:hAnsi="Times New Roman"/>
          <w:sz w:val="22"/>
        </w:rPr>
        <w:t xml:space="preserve">slots or </w:t>
      </w:r>
      <w:r w:rsidR="00626DA7">
        <w:rPr>
          <w:rFonts w:ascii="Times New Roman" w:eastAsiaTheme="minorEastAsia" w:hAnsi="Times New Roman"/>
          <w:sz w:val="22"/>
        </w:rPr>
        <w:t xml:space="preserve">symbols are </w:t>
      </w:r>
      <w:r w:rsidR="00B409D6">
        <w:rPr>
          <w:rFonts w:ascii="Times New Roman" w:eastAsiaTheme="minorEastAsia" w:hAnsi="Times New Roman"/>
          <w:sz w:val="22"/>
        </w:rPr>
        <w:t>better to not divide into sub-bands to minimize inter-UE interference</w:t>
      </w:r>
      <w:r w:rsidR="00DF4435">
        <w:rPr>
          <w:rFonts w:ascii="Times New Roman" w:eastAsiaTheme="minorEastAsia" w:hAnsi="Times New Roman"/>
          <w:sz w:val="22"/>
        </w:rPr>
        <w:t>s</w:t>
      </w:r>
      <w:r w:rsidR="00B409D6">
        <w:rPr>
          <w:rFonts w:ascii="Times New Roman" w:eastAsiaTheme="minorEastAsia" w:hAnsi="Times New Roman"/>
          <w:sz w:val="22"/>
        </w:rPr>
        <w:t>.</w:t>
      </w:r>
      <w:r w:rsidR="00906326">
        <w:rPr>
          <w:rFonts w:ascii="Times New Roman" w:eastAsiaTheme="minorEastAsia" w:hAnsi="Times New Roman"/>
          <w:sz w:val="22"/>
        </w:rPr>
        <w:t xml:space="preserve"> </w:t>
      </w:r>
    </w:p>
    <w:p w14:paraId="00E041E6" w14:textId="3C597DD4" w:rsidR="00023E09" w:rsidRDefault="00DF4435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A</w:t>
      </w:r>
      <w:r w:rsidR="0064001C">
        <w:rPr>
          <w:rFonts w:ascii="Times New Roman" w:eastAsiaTheme="minorEastAsia" w:hAnsi="Times New Roman"/>
          <w:sz w:val="22"/>
        </w:rPr>
        <w:t xml:space="preserve"> guard band </w:t>
      </w:r>
      <w:r w:rsidR="00E00D56">
        <w:rPr>
          <w:rFonts w:ascii="Times New Roman" w:eastAsiaTheme="minorEastAsia" w:hAnsi="Times New Roman"/>
          <w:sz w:val="22"/>
        </w:rPr>
        <w:t>may be</w:t>
      </w:r>
      <w:r w:rsidR="00284490">
        <w:rPr>
          <w:rFonts w:ascii="Times New Roman" w:eastAsiaTheme="minorEastAsia" w:hAnsi="Times New Roman"/>
          <w:sz w:val="22"/>
        </w:rPr>
        <w:t xml:space="preserve"> required between </w:t>
      </w:r>
      <w:r>
        <w:rPr>
          <w:rFonts w:ascii="Times New Roman" w:eastAsiaTheme="minorEastAsia" w:hAnsi="Times New Roman"/>
          <w:sz w:val="22"/>
        </w:rPr>
        <w:t>a</w:t>
      </w:r>
      <w:r w:rsidR="00C65F1F">
        <w:rPr>
          <w:rFonts w:ascii="Times New Roman" w:eastAsiaTheme="minorEastAsia" w:hAnsi="Times New Roman"/>
          <w:sz w:val="22"/>
        </w:rPr>
        <w:t xml:space="preserve"> </w:t>
      </w:r>
      <w:r w:rsidR="00284490">
        <w:rPr>
          <w:rFonts w:ascii="Times New Roman" w:eastAsiaTheme="minorEastAsia" w:hAnsi="Times New Roman"/>
          <w:sz w:val="22"/>
        </w:rPr>
        <w:t xml:space="preserve">downlink sub-band and </w:t>
      </w:r>
      <w:r>
        <w:rPr>
          <w:rFonts w:ascii="Times New Roman" w:eastAsiaTheme="minorEastAsia" w:hAnsi="Times New Roman"/>
          <w:sz w:val="22"/>
        </w:rPr>
        <w:t>a</w:t>
      </w:r>
      <w:r w:rsidR="00C65F1F">
        <w:rPr>
          <w:rFonts w:ascii="Times New Roman" w:eastAsiaTheme="minorEastAsia" w:hAnsi="Times New Roman"/>
          <w:sz w:val="22"/>
        </w:rPr>
        <w:t xml:space="preserve"> </w:t>
      </w:r>
      <w:r w:rsidR="00284490">
        <w:rPr>
          <w:rFonts w:ascii="Times New Roman" w:eastAsiaTheme="minorEastAsia" w:hAnsi="Times New Roman"/>
          <w:sz w:val="22"/>
        </w:rPr>
        <w:t>uplink sub-band</w:t>
      </w:r>
      <w:r w:rsidR="0064001C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to reduce </w:t>
      </w:r>
      <w:r w:rsidR="0064001C">
        <w:rPr>
          <w:rFonts w:ascii="Times New Roman" w:eastAsiaTheme="minorEastAsia" w:hAnsi="Times New Roman"/>
          <w:sz w:val="22"/>
        </w:rPr>
        <w:t>DL/UL interference</w:t>
      </w:r>
      <w:r w:rsidR="00581CB9">
        <w:rPr>
          <w:rFonts w:ascii="Times New Roman" w:eastAsiaTheme="minorEastAsia" w:hAnsi="Times New Roman"/>
          <w:sz w:val="22"/>
        </w:rPr>
        <w:t>s</w:t>
      </w:r>
      <w:r w:rsidR="00284490">
        <w:rPr>
          <w:rFonts w:ascii="Times New Roman" w:eastAsiaTheme="minorEastAsia" w:hAnsi="Times New Roman"/>
          <w:sz w:val="22"/>
        </w:rPr>
        <w:t>.</w:t>
      </w:r>
      <w:r w:rsidR="00822DDD">
        <w:rPr>
          <w:rFonts w:ascii="Times New Roman" w:eastAsiaTheme="minorEastAsia" w:hAnsi="Times New Roman"/>
          <w:sz w:val="22"/>
        </w:rPr>
        <w:t xml:space="preserve"> For this,</w:t>
      </w:r>
      <w:r w:rsidR="00526171">
        <w:rPr>
          <w:rFonts w:ascii="Times New Roman" w:eastAsiaTheme="minorEastAsia" w:hAnsi="Times New Roman"/>
          <w:sz w:val="22"/>
        </w:rPr>
        <w:t xml:space="preserve"> it can be studied whether/how to support</w:t>
      </w:r>
      <w:r w:rsidR="00822DDD">
        <w:rPr>
          <w:rFonts w:ascii="Times New Roman" w:eastAsiaTheme="minorEastAsia" w:hAnsi="Times New Roman"/>
          <w:sz w:val="22"/>
        </w:rPr>
        <w:t xml:space="preserve"> </w:t>
      </w:r>
      <w:r w:rsidR="00C73978">
        <w:rPr>
          <w:rFonts w:ascii="Times New Roman" w:eastAsiaTheme="minorEastAsia" w:hAnsi="Times New Roman"/>
          <w:sz w:val="22"/>
        </w:rPr>
        <w:t>flexible sub-band</w:t>
      </w:r>
      <w:r w:rsidR="00822DDD">
        <w:rPr>
          <w:rFonts w:ascii="Times New Roman" w:eastAsiaTheme="minorEastAsia" w:hAnsi="Times New Roman"/>
          <w:sz w:val="22"/>
        </w:rPr>
        <w:t xml:space="preserve"> </w:t>
      </w:r>
      <w:r w:rsidR="00A32735">
        <w:rPr>
          <w:rFonts w:ascii="Times New Roman" w:eastAsiaTheme="minorEastAsia" w:hAnsi="Times New Roman"/>
          <w:sz w:val="22"/>
        </w:rPr>
        <w:t xml:space="preserve">which </w:t>
      </w:r>
      <w:r w:rsidR="00526171">
        <w:rPr>
          <w:rFonts w:ascii="Times New Roman" w:eastAsiaTheme="minorEastAsia" w:hAnsi="Times New Roman"/>
          <w:sz w:val="22"/>
        </w:rPr>
        <w:t>can</w:t>
      </w:r>
      <w:r w:rsidR="0078402D">
        <w:rPr>
          <w:rFonts w:ascii="Times New Roman" w:eastAsiaTheme="minorEastAsia" w:hAnsi="Times New Roman"/>
          <w:sz w:val="22"/>
        </w:rPr>
        <w:t xml:space="preserve"> be </w:t>
      </w:r>
      <w:r w:rsidR="00822DDD">
        <w:rPr>
          <w:rFonts w:ascii="Times New Roman" w:eastAsiaTheme="minorEastAsia" w:hAnsi="Times New Roman"/>
          <w:sz w:val="22"/>
        </w:rPr>
        <w:t xml:space="preserve">used as a guard band. It is worth noting that flexible sub-band also </w:t>
      </w:r>
      <w:r w:rsidR="00792BDE">
        <w:rPr>
          <w:rFonts w:ascii="Times New Roman" w:eastAsiaTheme="minorEastAsia" w:hAnsi="Times New Roman"/>
          <w:sz w:val="22"/>
        </w:rPr>
        <w:t xml:space="preserve">might </w:t>
      </w:r>
      <w:r w:rsidR="00822DDD">
        <w:rPr>
          <w:rFonts w:ascii="Times New Roman" w:eastAsiaTheme="minorEastAsia" w:hAnsi="Times New Roman"/>
          <w:sz w:val="22"/>
        </w:rPr>
        <w:t xml:space="preserve">be </w:t>
      </w:r>
      <w:r w:rsidR="00792BDE">
        <w:rPr>
          <w:rFonts w:ascii="Times New Roman" w:eastAsiaTheme="minorEastAsia" w:hAnsi="Times New Roman"/>
          <w:sz w:val="22"/>
        </w:rPr>
        <w:t xml:space="preserve">considered for the scenarios </w:t>
      </w:r>
      <w:r w:rsidR="003640C7">
        <w:rPr>
          <w:rFonts w:ascii="Times New Roman" w:eastAsiaTheme="minorEastAsia" w:hAnsi="Times New Roman"/>
          <w:sz w:val="22"/>
        </w:rPr>
        <w:t xml:space="preserve">to support </w:t>
      </w:r>
      <w:r w:rsidR="00822DDD">
        <w:rPr>
          <w:rFonts w:ascii="Times New Roman" w:eastAsiaTheme="minorEastAsia" w:hAnsi="Times New Roman"/>
          <w:sz w:val="22"/>
        </w:rPr>
        <w:t>flexible scheduling (i.e., downlink reception and uplink transmission).</w:t>
      </w:r>
    </w:p>
    <w:p w14:paraId="5AF483B8" w14:textId="513DA467" w:rsidR="00023E09" w:rsidRPr="00850155" w:rsidRDefault="00023E09" w:rsidP="00850155">
      <w:pPr>
        <w:pStyle w:val="a0"/>
        <w:numPr>
          <w:ilvl w:val="0"/>
          <w:numId w:val="3"/>
        </w:numPr>
        <w:spacing w:before="120" w:after="0" w:line="276" w:lineRule="auto"/>
        <w:ind w:left="431" w:hanging="403"/>
        <w:jc w:val="both"/>
        <w:rPr>
          <w:b/>
          <w:sz w:val="28"/>
        </w:rPr>
      </w:pPr>
      <w:bookmarkStart w:id="3" w:name="_Hlk102165735"/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 1:</w:t>
      </w:r>
      <w:r w:rsidR="0090632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023C92">
        <w:rPr>
          <w:rFonts w:eastAsiaTheme="minorEastAsia"/>
          <w:b/>
          <w:bCs/>
          <w:i/>
          <w:iCs/>
          <w:sz w:val="22"/>
          <w:szCs w:val="22"/>
          <w:lang w:eastAsia="ko-KR"/>
        </w:rPr>
        <w:t>RAN1 to study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906326">
        <w:rPr>
          <w:rFonts w:eastAsiaTheme="minorEastAsia"/>
          <w:b/>
          <w:bCs/>
          <w:i/>
          <w:iCs/>
          <w:sz w:val="22"/>
          <w:szCs w:val="22"/>
          <w:lang w:eastAsia="ko-KR"/>
        </w:rPr>
        <w:t>f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lexible</w:t>
      </w:r>
      <w:r w:rsidR="0090632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slots or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symbols by TDD-UL-DL-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ConfigCommon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5C520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as time domain resources </w:t>
      </w:r>
      <w:r w:rsidR="00906326">
        <w:rPr>
          <w:rFonts w:eastAsiaTheme="minorEastAsia"/>
          <w:b/>
          <w:bCs/>
          <w:i/>
          <w:iCs/>
          <w:sz w:val="22"/>
          <w:szCs w:val="22"/>
          <w:lang w:eastAsia="ko-KR"/>
        </w:rPr>
        <w:t>for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3F4CDC">
        <w:rPr>
          <w:rFonts w:eastAsiaTheme="minorEastAsia"/>
          <w:b/>
          <w:bCs/>
          <w:i/>
          <w:iCs/>
          <w:sz w:val="22"/>
          <w:szCs w:val="22"/>
          <w:lang w:eastAsia="ko-KR"/>
        </w:rPr>
        <w:t>sub-band non overlapping full duplex</w:t>
      </w:r>
      <w:r w:rsidR="00850155"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090AD05A" w14:textId="44D8D683" w:rsidR="00850155" w:rsidRPr="00F167F6" w:rsidRDefault="00023C92" w:rsidP="00850155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b/>
          <w:sz w:val="28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RAN1 to study</w:t>
      </w:r>
      <w:r w:rsidR="003F4CDC" w:rsidRPr="003F4CD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flexible sub-band</w:t>
      </w:r>
      <w:r w:rsidR="00A32735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which can be used as a guard band</w:t>
      </w:r>
      <w:r w:rsidR="003F4CDC" w:rsidRPr="003F4CD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850155">
        <w:rPr>
          <w:rFonts w:eastAsiaTheme="minorEastAsia"/>
          <w:b/>
          <w:bCs/>
          <w:i/>
          <w:iCs/>
          <w:sz w:val="22"/>
          <w:szCs w:val="22"/>
          <w:lang w:eastAsia="ko-KR"/>
        </w:rPr>
        <w:t>between downlink sub-band and uplink sub-band.</w:t>
      </w:r>
    </w:p>
    <w:bookmarkEnd w:id="3"/>
    <w:p w14:paraId="0B07D3D9" w14:textId="77777777" w:rsidR="006406A0" w:rsidRDefault="006406A0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5C61A436" w14:textId="67D6EBA3" w:rsidR="00071921" w:rsidRDefault="00005758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For the </w:t>
      </w:r>
      <w:r w:rsidR="00385506">
        <w:rPr>
          <w:rFonts w:ascii="Times New Roman" w:eastAsiaTheme="minorEastAsia" w:hAnsi="Times New Roman"/>
          <w:sz w:val="22"/>
        </w:rPr>
        <w:t>issue on</w:t>
      </w:r>
      <w:r w:rsidR="00846FA5">
        <w:rPr>
          <w:rFonts w:ascii="Times New Roman" w:eastAsiaTheme="minorEastAsia" w:hAnsi="Times New Roman"/>
          <w:sz w:val="22"/>
        </w:rPr>
        <w:t xml:space="preserve"> </w:t>
      </w:r>
      <w:r w:rsidR="002D497F">
        <w:rPr>
          <w:rFonts w:ascii="Times New Roman" w:eastAsiaTheme="minorEastAsia" w:hAnsi="Times New Roman"/>
          <w:sz w:val="22"/>
        </w:rPr>
        <w:t xml:space="preserve">how </w:t>
      </w:r>
      <w:r w:rsidR="00023C92">
        <w:rPr>
          <w:rFonts w:ascii="Times New Roman" w:eastAsiaTheme="minorEastAsia" w:hAnsi="Times New Roman"/>
          <w:sz w:val="22"/>
        </w:rPr>
        <w:t xml:space="preserve">to </w:t>
      </w:r>
      <w:r w:rsidR="00D23D54">
        <w:rPr>
          <w:rFonts w:ascii="Times New Roman" w:eastAsiaTheme="minorEastAsia" w:hAnsi="Times New Roman"/>
          <w:sz w:val="22"/>
        </w:rPr>
        <w:t>flexibly</w:t>
      </w:r>
      <w:r w:rsidR="002D497F">
        <w:rPr>
          <w:rFonts w:ascii="Times New Roman" w:eastAsiaTheme="minorEastAsia" w:hAnsi="Times New Roman"/>
          <w:sz w:val="22"/>
        </w:rPr>
        <w:t xml:space="preserve"> </w:t>
      </w:r>
      <w:r w:rsidR="00D23D54">
        <w:rPr>
          <w:rFonts w:ascii="Times New Roman" w:eastAsiaTheme="minorEastAsia" w:hAnsi="Times New Roman"/>
          <w:sz w:val="22"/>
        </w:rPr>
        <w:t>partition</w:t>
      </w:r>
      <w:r w:rsidR="002D497F">
        <w:rPr>
          <w:rFonts w:ascii="Times New Roman" w:eastAsiaTheme="minorEastAsia" w:hAnsi="Times New Roman"/>
          <w:sz w:val="22"/>
        </w:rPr>
        <w:t xml:space="preserve"> a single TDD </w:t>
      </w:r>
      <w:r w:rsidR="00D23D54">
        <w:rPr>
          <w:rFonts w:ascii="Times New Roman" w:eastAsiaTheme="minorEastAsia" w:hAnsi="Times New Roman"/>
          <w:sz w:val="22"/>
        </w:rPr>
        <w:t>spectrum</w:t>
      </w:r>
      <w:r w:rsidR="00F54D45">
        <w:rPr>
          <w:rFonts w:ascii="Times New Roman" w:eastAsiaTheme="minorEastAsia" w:hAnsi="Times New Roman"/>
          <w:sz w:val="22"/>
        </w:rPr>
        <w:t>, there are two</w:t>
      </w:r>
      <w:r w:rsidR="00BC0D25">
        <w:rPr>
          <w:rFonts w:ascii="Times New Roman" w:eastAsiaTheme="minorEastAsia" w:hAnsi="Times New Roman"/>
          <w:sz w:val="22"/>
        </w:rPr>
        <w:t xml:space="preserve"> potential</w:t>
      </w:r>
      <w:r w:rsidR="00F54D45">
        <w:rPr>
          <w:rFonts w:ascii="Times New Roman" w:eastAsiaTheme="minorEastAsia" w:hAnsi="Times New Roman"/>
          <w:sz w:val="22"/>
        </w:rPr>
        <w:t xml:space="preserve"> options for spectrum partitioning for sub-band non overlapping full duplex operation.</w:t>
      </w:r>
    </w:p>
    <w:p w14:paraId="68549E40" w14:textId="77777777" w:rsidR="00E60BC3" w:rsidRPr="00BC0D25" w:rsidRDefault="00E60BC3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</w:p>
    <w:p w14:paraId="58F15BBA" w14:textId="443C571E" w:rsidR="00F54D45" w:rsidRPr="00FF54C3" w:rsidRDefault="00F54D45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 w:rsidRPr="00FF54C3">
        <w:rPr>
          <w:rFonts w:ascii="Times New Roman" w:eastAsiaTheme="minorEastAsia" w:hAnsi="Times New Roman" w:hint="eastAsia"/>
          <w:i/>
          <w:iCs/>
          <w:sz w:val="22"/>
          <w:u w:val="single"/>
        </w:rPr>
        <w:t>O</w:t>
      </w:r>
      <w:r w:rsidRPr="00FF54C3">
        <w:rPr>
          <w:rFonts w:ascii="Times New Roman" w:eastAsiaTheme="minorEastAsia" w:hAnsi="Times New Roman"/>
          <w:i/>
          <w:iCs/>
          <w:sz w:val="22"/>
          <w:u w:val="single"/>
        </w:rPr>
        <w:t xml:space="preserve">ption 1: </w:t>
      </w:r>
      <w:r w:rsidR="00FF54C3" w:rsidRPr="00FF54C3">
        <w:rPr>
          <w:rFonts w:ascii="Times New Roman" w:eastAsiaTheme="minorEastAsia" w:hAnsi="Times New Roman"/>
          <w:i/>
          <w:iCs/>
          <w:sz w:val="22"/>
          <w:u w:val="single"/>
        </w:rPr>
        <w:t>Single sub-band per downlink/uplink sub-band</w:t>
      </w:r>
    </w:p>
    <w:p w14:paraId="184E26D3" w14:textId="0E66D122" w:rsidR="0013638E" w:rsidRDefault="00E60BC3" w:rsidP="0013638E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A TDD spectrum can be partitioned with </w:t>
      </w:r>
      <w:r w:rsidR="001D643A">
        <w:rPr>
          <w:rFonts w:ascii="Times New Roman" w:eastAsiaTheme="minorEastAsia" w:hAnsi="Times New Roman"/>
          <w:sz w:val="22"/>
        </w:rPr>
        <w:t xml:space="preserve">single </w:t>
      </w:r>
      <w:r>
        <w:rPr>
          <w:rFonts w:ascii="Times New Roman" w:eastAsiaTheme="minorEastAsia" w:hAnsi="Times New Roman"/>
          <w:sz w:val="22"/>
        </w:rPr>
        <w:t xml:space="preserve">sub-band per </w:t>
      </w:r>
      <w:r w:rsidR="001D643A">
        <w:rPr>
          <w:rFonts w:ascii="Times New Roman" w:eastAsiaTheme="minorEastAsia" w:hAnsi="Times New Roman"/>
          <w:sz w:val="22"/>
        </w:rPr>
        <w:t xml:space="preserve">each </w:t>
      </w:r>
      <w:r>
        <w:rPr>
          <w:rFonts w:ascii="Times New Roman" w:eastAsiaTheme="minorEastAsia" w:hAnsi="Times New Roman"/>
          <w:sz w:val="22"/>
        </w:rPr>
        <w:t>downlink</w:t>
      </w:r>
      <w:r w:rsidR="00BC5942">
        <w:rPr>
          <w:rFonts w:ascii="Times New Roman" w:eastAsiaTheme="minorEastAsia" w:hAnsi="Times New Roman"/>
          <w:sz w:val="22"/>
        </w:rPr>
        <w:t xml:space="preserve"> and </w:t>
      </w:r>
      <w:r>
        <w:rPr>
          <w:rFonts w:ascii="Times New Roman" w:eastAsiaTheme="minorEastAsia" w:hAnsi="Times New Roman"/>
          <w:sz w:val="22"/>
        </w:rPr>
        <w:t>uplink sub-band.</w:t>
      </w:r>
      <w:r w:rsidR="002942B2">
        <w:rPr>
          <w:rFonts w:ascii="Times New Roman" w:eastAsiaTheme="minorEastAsia" w:hAnsi="Times New Roman"/>
          <w:sz w:val="22"/>
        </w:rPr>
        <w:t xml:space="preserve"> </w:t>
      </w:r>
      <w:r w:rsidR="00036BE7">
        <w:rPr>
          <w:rFonts w:ascii="Times New Roman" w:eastAsiaTheme="minorEastAsia" w:hAnsi="Times New Roman"/>
          <w:sz w:val="22"/>
        </w:rPr>
        <w:t>In other words, up to one sub-band can be allocated for downlink</w:t>
      </w:r>
      <w:r w:rsidR="00BC5942">
        <w:rPr>
          <w:rFonts w:ascii="Times New Roman" w:eastAsiaTheme="minorEastAsia" w:hAnsi="Times New Roman"/>
          <w:sz w:val="22"/>
        </w:rPr>
        <w:t xml:space="preserve"> and</w:t>
      </w:r>
      <w:r w:rsidR="00036BE7">
        <w:rPr>
          <w:rFonts w:ascii="Times New Roman" w:eastAsiaTheme="minorEastAsia" w:hAnsi="Times New Roman"/>
          <w:sz w:val="22"/>
        </w:rPr>
        <w:t xml:space="preserve"> uplink, respectively</w:t>
      </w:r>
      <w:r w:rsidR="0098260D">
        <w:rPr>
          <w:rFonts w:ascii="Times New Roman" w:eastAsiaTheme="minorEastAsia" w:hAnsi="Times New Roman"/>
          <w:sz w:val="22"/>
        </w:rPr>
        <w:t xml:space="preserve"> as shown in Figure </w:t>
      </w:r>
      <w:r w:rsidR="0098260D" w:rsidRPr="0098260D">
        <w:rPr>
          <w:rFonts w:ascii="Times New Roman" w:hAnsi="Times New Roman"/>
          <w:b/>
          <w:bCs/>
          <w:sz w:val="22"/>
        </w:rPr>
        <w:fldChar w:fldCharType="begin"/>
      </w:r>
      <w:r w:rsidR="0098260D" w:rsidRPr="0098260D">
        <w:rPr>
          <w:rFonts w:ascii="Times New Roman" w:hAnsi="Times New Roman"/>
          <w:sz w:val="22"/>
        </w:rPr>
        <w:instrText xml:space="preserve"> SEQ Figure \* ARABIC </w:instrText>
      </w:r>
      <w:r w:rsidR="0098260D" w:rsidRPr="0098260D">
        <w:rPr>
          <w:rFonts w:ascii="Times New Roman" w:hAnsi="Times New Roman"/>
          <w:b/>
          <w:bCs/>
          <w:sz w:val="22"/>
        </w:rPr>
        <w:fldChar w:fldCharType="separate"/>
      </w:r>
      <w:r w:rsidR="0098260D" w:rsidRPr="0098260D">
        <w:rPr>
          <w:rFonts w:ascii="Times New Roman" w:hAnsi="Times New Roman"/>
          <w:sz w:val="22"/>
        </w:rPr>
        <w:t>1</w:t>
      </w:r>
      <w:r w:rsidR="0098260D" w:rsidRPr="0098260D">
        <w:rPr>
          <w:rFonts w:ascii="Times New Roman" w:hAnsi="Times New Roman"/>
          <w:b/>
          <w:bCs/>
          <w:sz w:val="22"/>
        </w:rPr>
        <w:fldChar w:fldCharType="end"/>
      </w:r>
      <w:r w:rsidR="0098260D">
        <w:rPr>
          <w:sz w:val="22"/>
        </w:rPr>
        <w:t xml:space="preserve"> </w:t>
      </w:r>
      <w:r w:rsidR="0098260D">
        <w:rPr>
          <w:rFonts w:ascii="Times New Roman" w:eastAsiaTheme="minorEastAsia" w:hAnsi="Times New Roman"/>
          <w:sz w:val="22"/>
        </w:rPr>
        <w:t>(a)</w:t>
      </w:r>
      <w:r w:rsidR="00036BE7">
        <w:rPr>
          <w:rFonts w:ascii="Times New Roman" w:eastAsiaTheme="minorEastAsia" w:hAnsi="Times New Roman"/>
          <w:sz w:val="22"/>
        </w:rPr>
        <w:t>.</w:t>
      </w:r>
      <w:r w:rsidR="00C65F1F">
        <w:rPr>
          <w:rFonts w:ascii="Times New Roman" w:eastAsiaTheme="minorEastAsia" w:hAnsi="Times New Roman"/>
          <w:sz w:val="22"/>
        </w:rPr>
        <w:t xml:space="preserve"> </w:t>
      </w:r>
      <w:r w:rsidR="003F6774">
        <w:rPr>
          <w:rFonts w:ascii="Times New Roman" w:eastAsiaTheme="minorEastAsia" w:hAnsi="Times New Roman"/>
          <w:sz w:val="22"/>
        </w:rPr>
        <w:t>R</w:t>
      </w:r>
      <w:r w:rsidR="00E95A48">
        <w:rPr>
          <w:rFonts w:ascii="Times New Roman" w:eastAsiaTheme="minorEastAsia" w:hAnsi="Times New Roman"/>
          <w:sz w:val="22"/>
        </w:rPr>
        <w:t>egarding that</w:t>
      </w:r>
      <w:r w:rsidR="00C65F1F">
        <w:rPr>
          <w:rFonts w:ascii="Times New Roman" w:eastAsiaTheme="minorEastAsia" w:hAnsi="Times New Roman"/>
          <w:sz w:val="22"/>
        </w:rPr>
        <w:t xml:space="preserve"> a guard band is required to minimize the DL/UL interference between the downlink sub-band and the uplink sub-band</w:t>
      </w:r>
      <w:r w:rsidR="00E95A48">
        <w:rPr>
          <w:rFonts w:ascii="Times New Roman" w:eastAsiaTheme="minorEastAsia" w:hAnsi="Times New Roman"/>
          <w:sz w:val="22"/>
        </w:rPr>
        <w:t xml:space="preserve">, </w:t>
      </w:r>
      <w:r w:rsidR="009E5AC3">
        <w:rPr>
          <w:rFonts w:ascii="Times New Roman" w:eastAsiaTheme="minorEastAsia" w:hAnsi="Times New Roman"/>
          <w:sz w:val="22"/>
        </w:rPr>
        <w:t xml:space="preserve">Option 1 requires </w:t>
      </w:r>
      <w:r w:rsidR="007600D4">
        <w:rPr>
          <w:rFonts w:ascii="Times New Roman" w:eastAsiaTheme="minorEastAsia" w:hAnsi="Times New Roman"/>
          <w:sz w:val="22"/>
        </w:rPr>
        <w:t>at least</w:t>
      </w:r>
      <w:r w:rsidR="009E5AC3">
        <w:rPr>
          <w:rFonts w:ascii="Times New Roman" w:eastAsiaTheme="minorEastAsia" w:hAnsi="Times New Roman"/>
          <w:sz w:val="22"/>
        </w:rPr>
        <w:t xml:space="preserve"> one guard band</w:t>
      </w:r>
      <w:r w:rsidR="007600D4">
        <w:rPr>
          <w:rFonts w:ascii="Times New Roman" w:eastAsiaTheme="minorEastAsia" w:hAnsi="Times New Roman"/>
          <w:sz w:val="22"/>
        </w:rPr>
        <w:t xml:space="preserve"> between DL/UL</w:t>
      </w:r>
      <w:r w:rsidR="009E5AC3">
        <w:rPr>
          <w:rFonts w:ascii="Times New Roman" w:eastAsiaTheme="minorEastAsia" w:hAnsi="Times New Roman"/>
          <w:sz w:val="22"/>
        </w:rPr>
        <w:t>.</w:t>
      </w:r>
      <w:r w:rsidR="0013638E">
        <w:rPr>
          <w:rFonts w:ascii="Times New Roman" w:eastAsiaTheme="minorEastAsia" w:hAnsi="Times New Roman"/>
          <w:sz w:val="22"/>
        </w:rPr>
        <w:t xml:space="preserve"> With Option 1, efficient</w:t>
      </w:r>
      <w:r w:rsidR="0013638E" w:rsidRPr="006D2E77">
        <w:rPr>
          <w:rFonts w:ascii="Times New Roman" w:eastAsiaTheme="minorEastAsia" w:hAnsi="Times New Roman"/>
          <w:sz w:val="22"/>
        </w:rPr>
        <w:t xml:space="preserve"> frequency resource</w:t>
      </w:r>
      <w:r w:rsidR="0013638E">
        <w:rPr>
          <w:rFonts w:ascii="Times New Roman" w:eastAsiaTheme="minorEastAsia" w:hAnsi="Times New Roman"/>
          <w:sz w:val="22"/>
        </w:rPr>
        <w:t xml:space="preserve"> utilization can be achieved.</w:t>
      </w:r>
      <w:r w:rsidR="0013638E" w:rsidRPr="006D2E77">
        <w:rPr>
          <w:rFonts w:ascii="Times New Roman" w:eastAsiaTheme="minorEastAsia" w:hAnsi="Times New Roman"/>
          <w:sz w:val="22"/>
        </w:rPr>
        <w:t xml:space="preserve"> </w:t>
      </w:r>
      <w:r w:rsidR="0013638E">
        <w:rPr>
          <w:rFonts w:ascii="Times New Roman" w:eastAsiaTheme="minorEastAsia" w:hAnsi="Times New Roman"/>
          <w:sz w:val="22"/>
        </w:rPr>
        <w:t>T</w:t>
      </w:r>
      <w:r w:rsidR="0013638E" w:rsidRPr="006D2E77">
        <w:rPr>
          <w:rFonts w:ascii="Times New Roman" w:eastAsiaTheme="minorEastAsia" w:hAnsi="Times New Roman"/>
          <w:sz w:val="22"/>
        </w:rPr>
        <w:t xml:space="preserve">here </w:t>
      </w:r>
      <w:r w:rsidR="0013638E">
        <w:rPr>
          <w:rFonts w:ascii="Times New Roman" w:eastAsiaTheme="minorEastAsia" w:hAnsi="Times New Roman"/>
          <w:sz w:val="22"/>
        </w:rPr>
        <w:t>are</w:t>
      </w:r>
      <w:r w:rsidR="0013638E" w:rsidRPr="006D2E77">
        <w:rPr>
          <w:rFonts w:ascii="Times New Roman" w:eastAsiaTheme="minorEastAsia" w:hAnsi="Times New Roman"/>
          <w:sz w:val="22"/>
        </w:rPr>
        <w:t xml:space="preserve"> more available resources for downlink reception and uplink transmission</w:t>
      </w:r>
      <w:r w:rsidR="0013638E">
        <w:rPr>
          <w:rFonts w:ascii="Times New Roman" w:eastAsiaTheme="minorEastAsia" w:hAnsi="Times New Roman"/>
          <w:sz w:val="22"/>
        </w:rPr>
        <w:t xml:space="preserve"> with Option 1</w:t>
      </w:r>
      <w:r w:rsidR="0013638E" w:rsidRPr="006D2E77">
        <w:rPr>
          <w:rFonts w:ascii="Times New Roman" w:eastAsiaTheme="minorEastAsia" w:hAnsi="Times New Roman"/>
          <w:sz w:val="22"/>
        </w:rPr>
        <w:t>.</w:t>
      </w:r>
      <w:r w:rsidR="0013638E">
        <w:rPr>
          <w:rFonts w:ascii="Times New Roman" w:eastAsiaTheme="minorEastAsia" w:hAnsi="Times New Roman"/>
          <w:sz w:val="22"/>
        </w:rPr>
        <w:t xml:space="preserve"> Also, s</w:t>
      </w:r>
      <w:r w:rsidR="0013638E" w:rsidRPr="006D2E77">
        <w:rPr>
          <w:rFonts w:ascii="Times New Roman" w:eastAsiaTheme="minorEastAsia" w:hAnsi="Times New Roman"/>
          <w:sz w:val="22"/>
        </w:rPr>
        <w:t xml:space="preserve">ince more frequency resources are available when the CORESET resource for PDCCH monitoring of the UE is </w:t>
      </w:r>
      <w:r w:rsidR="0013638E">
        <w:rPr>
          <w:rFonts w:ascii="Times New Roman" w:eastAsiaTheme="minorEastAsia" w:hAnsi="Times New Roman"/>
          <w:sz w:val="22"/>
        </w:rPr>
        <w:t>configured</w:t>
      </w:r>
      <w:r w:rsidR="0013638E" w:rsidRPr="006D2E77">
        <w:rPr>
          <w:rFonts w:ascii="Times New Roman" w:eastAsiaTheme="minorEastAsia" w:hAnsi="Times New Roman"/>
          <w:sz w:val="22"/>
        </w:rPr>
        <w:t xml:space="preserve">, CORESET can be flexibly configured in </w:t>
      </w:r>
      <w:r w:rsidR="001D643A">
        <w:rPr>
          <w:rFonts w:ascii="Times New Roman" w:eastAsiaTheme="minorEastAsia" w:hAnsi="Times New Roman"/>
          <w:sz w:val="22"/>
        </w:rPr>
        <w:t xml:space="preserve">the </w:t>
      </w:r>
      <w:r w:rsidR="0013638E" w:rsidRPr="006D2E77">
        <w:rPr>
          <w:rFonts w:ascii="Times New Roman" w:eastAsiaTheme="minorEastAsia" w:hAnsi="Times New Roman"/>
          <w:sz w:val="22"/>
        </w:rPr>
        <w:t>downlink sub</w:t>
      </w:r>
      <w:r w:rsidR="0013638E">
        <w:rPr>
          <w:rFonts w:ascii="Times New Roman" w:eastAsiaTheme="minorEastAsia" w:hAnsi="Times New Roman"/>
          <w:sz w:val="22"/>
        </w:rPr>
        <w:t>-</w:t>
      </w:r>
      <w:r w:rsidR="0013638E" w:rsidRPr="006D2E77">
        <w:rPr>
          <w:rFonts w:ascii="Times New Roman" w:eastAsiaTheme="minorEastAsia" w:hAnsi="Times New Roman"/>
          <w:sz w:val="22"/>
        </w:rPr>
        <w:t>band.</w:t>
      </w:r>
    </w:p>
    <w:p w14:paraId="6C2E83F2" w14:textId="77777777" w:rsidR="00293D72" w:rsidRDefault="00293D72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</w:p>
    <w:p w14:paraId="18F867F3" w14:textId="049FE56E" w:rsidR="00FF54C3" w:rsidRPr="00FF54C3" w:rsidRDefault="00FF54C3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i/>
          <w:iCs/>
          <w:sz w:val="22"/>
          <w:u w:val="single"/>
        </w:rPr>
      </w:pPr>
      <w:r w:rsidRPr="00FF54C3">
        <w:rPr>
          <w:rFonts w:ascii="Times New Roman" w:eastAsiaTheme="minorEastAsia" w:hAnsi="Times New Roman" w:hint="eastAsia"/>
          <w:i/>
          <w:iCs/>
          <w:sz w:val="22"/>
          <w:u w:val="single"/>
        </w:rPr>
        <w:t>O</w:t>
      </w:r>
      <w:r w:rsidRPr="00FF54C3">
        <w:rPr>
          <w:rFonts w:ascii="Times New Roman" w:eastAsiaTheme="minorEastAsia" w:hAnsi="Times New Roman"/>
          <w:i/>
          <w:iCs/>
          <w:sz w:val="22"/>
          <w:u w:val="single"/>
        </w:rPr>
        <w:t>ption 2: Multiple sub-bands per downlink/uplink sub-band</w:t>
      </w:r>
    </w:p>
    <w:p w14:paraId="57809EF9" w14:textId="1971AB1E" w:rsidR="002D497F" w:rsidRDefault="00D82FEA" w:rsidP="009C1216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A</w:t>
      </w:r>
      <w:r>
        <w:rPr>
          <w:rFonts w:ascii="Times New Roman" w:eastAsiaTheme="minorEastAsia" w:hAnsi="Times New Roman"/>
          <w:sz w:val="22"/>
        </w:rPr>
        <w:t xml:space="preserve"> TDD spectrum can be partitioned with multiple sub-bands per </w:t>
      </w:r>
      <w:r w:rsidR="001D643A">
        <w:rPr>
          <w:rFonts w:ascii="Times New Roman" w:eastAsiaTheme="minorEastAsia" w:hAnsi="Times New Roman"/>
          <w:sz w:val="22"/>
        </w:rPr>
        <w:t xml:space="preserve">each </w:t>
      </w:r>
      <w:r>
        <w:rPr>
          <w:rFonts w:ascii="Times New Roman" w:eastAsiaTheme="minorEastAsia" w:hAnsi="Times New Roman"/>
          <w:sz w:val="22"/>
        </w:rPr>
        <w:t>downlink</w:t>
      </w:r>
      <w:r w:rsidR="00BC5942">
        <w:rPr>
          <w:rFonts w:ascii="Times New Roman" w:eastAsiaTheme="minorEastAsia" w:hAnsi="Times New Roman"/>
          <w:sz w:val="22"/>
        </w:rPr>
        <w:t xml:space="preserve"> and </w:t>
      </w:r>
      <w:r>
        <w:rPr>
          <w:rFonts w:ascii="Times New Roman" w:eastAsiaTheme="minorEastAsia" w:hAnsi="Times New Roman"/>
          <w:sz w:val="22"/>
        </w:rPr>
        <w:t>uplink sub-band.</w:t>
      </w:r>
      <w:r w:rsidR="00032966">
        <w:rPr>
          <w:rFonts w:ascii="Times New Roman" w:eastAsiaTheme="minorEastAsia" w:hAnsi="Times New Roman"/>
          <w:sz w:val="22"/>
        </w:rPr>
        <w:t xml:space="preserve"> Thus, more than one </w:t>
      </w:r>
      <w:r w:rsidR="000848F9">
        <w:rPr>
          <w:rFonts w:ascii="Times New Roman" w:eastAsiaTheme="minorEastAsia" w:hAnsi="Times New Roman"/>
          <w:sz w:val="22"/>
        </w:rPr>
        <w:t>sub-band can be allocated for downlink</w:t>
      </w:r>
      <w:r w:rsidR="00BC5942">
        <w:rPr>
          <w:rFonts w:ascii="Times New Roman" w:eastAsiaTheme="minorEastAsia" w:hAnsi="Times New Roman"/>
          <w:sz w:val="22"/>
        </w:rPr>
        <w:t xml:space="preserve"> and</w:t>
      </w:r>
      <w:r w:rsidR="000848F9">
        <w:rPr>
          <w:rFonts w:ascii="Times New Roman" w:eastAsiaTheme="minorEastAsia" w:hAnsi="Times New Roman"/>
          <w:sz w:val="22"/>
        </w:rPr>
        <w:t xml:space="preserve"> uplink, respectively</w:t>
      </w:r>
      <w:r w:rsidR="00562DB3" w:rsidRPr="00562DB3">
        <w:rPr>
          <w:rFonts w:ascii="Times New Roman" w:eastAsiaTheme="minorEastAsia" w:hAnsi="Times New Roman"/>
          <w:sz w:val="22"/>
        </w:rPr>
        <w:t xml:space="preserve"> </w:t>
      </w:r>
      <w:r w:rsidR="00562DB3">
        <w:rPr>
          <w:rFonts w:ascii="Times New Roman" w:eastAsiaTheme="minorEastAsia" w:hAnsi="Times New Roman"/>
          <w:sz w:val="22"/>
        </w:rPr>
        <w:t xml:space="preserve">as shown in Figure </w:t>
      </w:r>
      <w:r w:rsidR="00562DB3" w:rsidRPr="0098260D">
        <w:rPr>
          <w:rFonts w:ascii="Times New Roman" w:hAnsi="Times New Roman"/>
          <w:b/>
          <w:bCs/>
          <w:sz w:val="22"/>
        </w:rPr>
        <w:fldChar w:fldCharType="begin"/>
      </w:r>
      <w:r w:rsidR="00562DB3" w:rsidRPr="0098260D">
        <w:rPr>
          <w:rFonts w:ascii="Times New Roman" w:hAnsi="Times New Roman"/>
          <w:sz w:val="22"/>
        </w:rPr>
        <w:instrText xml:space="preserve"> SEQ Figure \* ARABIC </w:instrText>
      </w:r>
      <w:r w:rsidR="00562DB3" w:rsidRPr="0098260D">
        <w:rPr>
          <w:rFonts w:ascii="Times New Roman" w:hAnsi="Times New Roman"/>
          <w:b/>
          <w:bCs/>
          <w:sz w:val="22"/>
        </w:rPr>
        <w:fldChar w:fldCharType="separate"/>
      </w:r>
      <w:r w:rsidR="00562DB3" w:rsidRPr="0098260D">
        <w:rPr>
          <w:rFonts w:ascii="Times New Roman" w:hAnsi="Times New Roman"/>
          <w:sz w:val="22"/>
        </w:rPr>
        <w:t>1</w:t>
      </w:r>
      <w:r w:rsidR="00562DB3" w:rsidRPr="0098260D">
        <w:rPr>
          <w:rFonts w:ascii="Times New Roman" w:hAnsi="Times New Roman"/>
          <w:b/>
          <w:bCs/>
          <w:sz w:val="22"/>
        </w:rPr>
        <w:fldChar w:fldCharType="end"/>
      </w:r>
      <w:r w:rsidR="00562DB3">
        <w:rPr>
          <w:sz w:val="22"/>
        </w:rPr>
        <w:t xml:space="preserve"> </w:t>
      </w:r>
      <w:r w:rsidR="00562DB3">
        <w:rPr>
          <w:rFonts w:ascii="Times New Roman" w:eastAsiaTheme="minorEastAsia" w:hAnsi="Times New Roman"/>
          <w:sz w:val="22"/>
        </w:rPr>
        <w:t>(b)</w:t>
      </w:r>
      <w:r w:rsidR="000848F9">
        <w:rPr>
          <w:rFonts w:ascii="Times New Roman" w:eastAsiaTheme="minorEastAsia" w:hAnsi="Times New Roman"/>
          <w:sz w:val="22"/>
        </w:rPr>
        <w:t xml:space="preserve">. </w:t>
      </w:r>
      <w:r w:rsidR="002F3D72">
        <w:rPr>
          <w:rFonts w:ascii="Times New Roman" w:eastAsiaTheme="minorEastAsia" w:hAnsi="Times New Roman"/>
          <w:sz w:val="22"/>
        </w:rPr>
        <w:t>As discussed in Option 1, a guard is required between the downlink sub-band and the</w:t>
      </w:r>
      <w:r w:rsidR="00CB23A3">
        <w:rPr>
          <w:rFonts w:ascii="Times New Roman" w:eastAsiaTheme="minorEastAsia" w:hAnsi="Times New Roman"/>
          <w:sz w:val="22"/>
        </w:rPr>
        <w:t xml:space="preserve"> uplink sub-band</w:t>
      </w:r>
      <w:r w:rsidR="00BA758D">
        <w:rPr>
          <w:rFonts w:ascii="Times New Roman" w:eastAsiaTheme="minorEastAsia" w:hAnsi="Times New Roman"/>
          <w:sz w:val="22"/>
        </w:rPr>
        <w:t>, thus</w:t>
      </w:r>
      <w:r w:rsidR="0098260D">
        <w:rPr>
          <w:rFonts w:ascii="Times New Roman" w:eastAsiaTheme="minorEastAsia" w:hAnsi="Times New Roman"/>
          <w:sz w:val="22"/>
        </w:rPr>
        <w:t xml:space="preserve"> Option 2 </w:t>
      </w:r>
      <w:r w:rsidR="001D643A">
        <w:rPr>
          <w:rFonts w:ascii="Times New Roman" w:eastAsiaTheme="minorEastAsia" w:hAnsi="Times New Roman"/>
          <w:sz w:val="22"/>
        </w:rPr>
        <w:t>would</w:t>
      </w:r>
      <w:r w:rsidR="00BC5942">
        <w:rPr>
          <w:rFonts w:ascii="Times New Roman" w:eastAsiaTheme="minorEastAsia" w:hAnsi="Times New Roman"/>
          <w:sz w:val="22"/>
        </w:rPr>
        <w:t xml:space="preserve"> </w:t>
      </w:r>
      <w:r w:rsidR="0098260D">
        <w:rPr>
          <w:rFonts w:ascii="Times New Roman" w:eastAsiaTheme="minorEastAsia" w:hAnsi="Times New Roman"/>
          <w:sz w:val="22"/>
        </w:rPr>
        <w:t xml:space="preserve">require </w:t>
      </w:r>
      <w:r w:rsidR="00BC5942">
        <w:rPr>
          <w:rFonts w:ascii="Times New Roman" w:eastAsiaTheme="minorEastAsia" w:hAnsi="Times New Roman"/>
          <w:sz w:val="22"/>
        </w:rPr>
        <w:t>multiple</w:t>
      </w:r>
      <w:r w:rsidR="0098260D">
        <w:rPr>
          <w:rFonts w:ascii="Times New Roman" w:eastAsiaTheme="minorEastAsia" w:hAnsi="Times New Roman"/>
          <w:sz w:val="22"/>
        </w:rPr>
        <w:t xml:space="preserve"> </w:t>
      </w:r>
      <w:r w:rsidR="00D65F05">
        <w:rPr>
          <w:rFonts w:ascii="Times New Roman" w:eastAsiaTheme="minorEastAsia" w:hAnsi="Times New Roman"/>
          <w:sz w:val="22"/>
        </w:rPr>
        <w:t>guard bands</w:t>
      </w:r>
      <w:r w:rsidR="00BA758D">
        <w:rPr>
          <w:rFonts w:ascii="Times New Roman" w:eastAsiaTheme="minorEastAsia" w:hAnsi="Times New Roman"/>
          <w:sz w:val="22"/>
        </w:rPr>
        <w:t xml:space="preserve">. </w:t>
      </w:r>
      <w:r w:rsidR="0013638E">
        <w:rPr>
          <w:rFonts w:ascii="Times New Roman" w:eastAsiaTheme="minorEastAsia" w:hAnsi="Times New Roman"/>
          <w:sz w:val="22"/>
        </w:rPr>
        <w:t xml:space="preserve">However, Option 2 can achieve flexible sub-band allocation by </w:t>
      </w:r>
      <w:r w:rsidR="00BC5942">
        <w:rPr>
          <w:rFonts w:ascii="Times New Roman" w:eastAsiaTheme="minorEastAsia" w:hAnsi="Times New Roman"/>
          <w:sz w:val="22"/>
        </w:rPr>
        <w:t>considering</w:t>
      </w:r>
      <w:r w:rsidR="0013638E">
        <w:rPr>
          <w:rFonts w:ascii="Times New Roman" w:eastAsiaTheme="minorEastAsia" w:hAnsi="Times New Roman"/>
          <w:sz w:val="22"/>
        </w:rPr>
        <w:t xml:space="preserve"> multiple sub-bands allocation.</w:t>
      </w:r>
    </w:p>
    <w:p w14:paraId="26AEBC56" w14:textId="61E89B10" w:rsidR="000E1CD4" w:rsidRDefault="00B14B9D" w:rsidP="000E1CD4">
      <w:pPr>
        <w:keepNext/>
        <w:spacing w:line="276" w:lineRule="auto"/>
        <w:ind w:firstLineChars="64" w:firstLine="128"/>
        <w:jc w:val="center"/>
      </w:pPr>
      <w:r>
        <w:rPr>
          <w:noProof/>
        </w:rPr>
        <w:lastRenderedPageBreak/>
        <w:drawing>
          <wp:inline distT="0" distB="0" distL="0" distR="0" wp14:anchorId="2C24EBF0" wp14:editId="7EF36B0D">
            <wp:extent cx="5038599" cy="1484922"/>
            <wp:effectExtent l="0" t="0" r="0" b="127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809" cy="1494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0C5AAE" w14:textId="102EB1EC" w:rsidR="000E1CD4" w:rsidRDefault="000E1CD4" w:rsidP="000E1CD4">
      <w:pPr>
        <w:pStyle w:val="a0"/>
        <w:spacing w:before="120" w:line="276" w:lineRule="auto"/>
        <w:ind w:firstLineChars="64" w:firstLine="141"/>
        <w:jc w:val="center"/>
        <w:rPr>
          <w:rFonts w:eastAsiaTheme="minorEastAsia"/>
          <w:sz w:val="22"/>
          <w:szCs w:val="22"/>
          <w:lang w:eastAsia="ko-KR"/>
        </w:rPr>
      </w:pPr>
      <w:r w:rsidRPr="003B4FA4">
        <w:rPr>
          <w:sz w:val="22"/>
          <w:szCs w:val="22"/>
        </w:rPr>
        <w:t xml:space="preserve">Figure </w:t>
      </w:r>
      <w:r w:rsidRPr="003B4FA4">
        <w:rPr>
          <w:b/>
          <w:bCs/>
          <w:sz w:val="22"/>
          <w:szCs w:val="22"/>
        </w:rPr>
        <w:fldChar w:fldCharType="begin"/>
      </w:r>
      <w:r w:rsidRPr="003B4FA4">
        <w:rPr>
          <w:sz w:val="22"/>
          <w:szCs w:val="22"/>
        </w:rPr>
        <w:instrText xml:space="preserve"> SEQ Figure \* ARABIC </w:instrText>
      </w:r>
      <w:r w:rsidRPr="003B4FA4">
        <w:rPr>
          <w:b/>
          <w:bCs/>
          <w:sz w:val="22"/>
          <w:szCs w:val="22"/>
        </w:rPr>
        <w:fldChar w:fldCharType="separate"/>
      </w:r>
      <w:r w:rsidRPr="003B4FA4">
        <w:rPr>
          <w:sz w:val="22"/>
          <w:szCs w:val="22"/>
        </w:rPr>
        <w:t>1</w:t>
      </w:r>
      <w:r w:rsidRPr="003B4FA4">
        <w:rPr>
          <w:b/>
          <w:bCs/>
          <w:sz w:val="22"/>
          <w:szCs w:val="22"/>
        </w:rPr>
        <w:fldChar w:fldCharType="end"/>
      </w:r>
      <w:r w:rsidRPr="003B4FA4">
        <w:rPr>
          <w:sz w:val="22"/>
          <w:szCs w:val="22"/>
        </w:rPr>
        <w:t xml:space="preserve">. </w:t>
      </w:r>
      <w:r w:rsidR="00E66A37">
        <w:rPr>
          <w:sz w:val="22"/>
          <w:szCs w:val="22"/>
        </w:rPr>
        <w:t>Spectrum partitioning options for sub-band non overlapping full duplex operation</w:t>
      </w:r>
      <w:r>
        <w:rPr>
          <w:sz w:val="22"/>
          <w:szCs w:val="22"/>
        </w:rPr>
        <w:t>.</w:t>
      </w:r>
    </w:p>
    <w:p w14:paraId="34CDD457" w14:textId="09F1CD60" w:rsidR="0013638E" w:rsidRPr="00293D72" w:rsidRDefault="0061456C" w:rsidP="00C52BF2">
      <w:pPr>
        <w:spacing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Based on above discussion, i</w:t>
      </w:r>
      <w:r w:rsidR="0013638E">
        <w:rPr>
          <w:rFonts w:ascii="Times New Roman" w:eastAsiaTheme="minorEastAsia" w:hAnsi="Times New Roman"/>
          <w:sz w:val="22"/>
        </w:rPr>
        <w:t xml:space="preserve">t can be studied which option to support </w:t>
      </w:r>
      <w:r w:rsidR="0076160B">
        <w:rPr>
          <w:rFonts w:ascii="Times New Roman" w:eastAsiaTheme="minorEastAsia" w:hAnsi="Times New Roman"/>
          <w:sz w:val="22"/>
        </w:rPr>
        <w:t xml:space="preserve">for spectrum partitioning </w:t>
      </w:r>
      <w:r w:rsidR="0013638E">
        <w:rPr>
          <w:rFonts w:ascii="Times New Roman" w:eastAsiaTheme="minorEastAsia" w:hAnsi="Times New Roman"/>
          <w:sz w:val="22"/>
        </w:rPr>
        <w:t>for sub-band</w:t>
      </w:r>
      <w:r w:rsidR="003C1203">
        <w:rPr>
          <w:rFonts w:ascii="Times New Roman" w:eastAsiaTheme="minorEastAsia" w:hAnsi="Times New Roman"/>
          <w:sz w:val="22"/>
        </w:rPr>
        <w:t xml:space="preserve"> non overlapping</w:t>
      </w:r>
      <w:r w:rsidR="0013638E">
        <w:rPr>
          <w:rFonts w:ascii="Times New Roman" w:eastAsiaTheme="minorEastAsia" w:hAnsi="Times New Roman"/>
          <w:sz w:val="22"/>
        </w:rPr>
        <w:t xml:space="preserve"> </w:t>
      </w:r>
      <w:r w:rsidR="003C1203">
        <w:rPr>
          <w:rFonts w:ascii="Times New Roman" w:eastAsiaTheme="minorEastAsia" w:hAnsi="Times New Roman"/>
          <w:sz w:val="22"/>
        </w:rPr>
        <w:t>full duplex operation.</w:t>
      </w:r>
    </w:p>
    <w:p w14:paraId="4A44B7B8" w14:textId="38BE665B" w:rsidR="0013638E" w:rsidRPr="0013638E" w:rsidRDefault="00C52BF2" w:rsidP="00C52BF2">
      <w:pPr>
        <w:pStyle w:val="a0"/>
        <w:numPr>
          <w:ilvl w:val="0"/>
          <w:numId w:val="3"/>
        </w:numPr>
        <w:spacing w:before="120" w:after="0" w:line="276" w:lineRule="auto"/>
        <w:ind w:left="431" w:hanging="403"/>
        <w:jc w:val="both"/>
        <w:rPr>
          <w:b/>
          <w:sz w:val="28"/>
        </w:rPr>
      </w:pPr>
      <w:bookmarkStart w:id="4" w:name="_Hlk102166241"/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2: </w:t>
      </w:r>
      <w:bookmarkStart w:id="5" w:name="_Hlk102136976"/>
      <w:r w:rsidR="002D760D">
        <w:rPr>
          <w:rFonts w:eastAsiaTheme="minorEastAsia"/>
          <w:b/>
          <w:bCs/>
          <w:i/>
          <w:iCs/>
          <w:sz w:val="22"/>
          <w:szCs w:val="22"/>
          <w:lang w:eastAsia="ko-KR"/>
        </w:rPr>
        <w:t>RAN1 to s</w:t>
      </w:r>
      <w:r w:rsidR="0013638E">
        <w:rPr>
          <w:rFonts w:eastAsiaTheme="minorEastAsia"/>
          <w:b/>
          <w:bCs/>
          <w:i/>
          <w:iCs/>
          <w:sz w:val="22"/>
          <w:szCs w:val="22"/>
          <w:lang w:eastAsia="ko-KR"/>
        </w:rPr>
        <w:t>tudy following options</w:t>
      </w:r>
      <w:r w:rsidR="005E0DD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61456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</w:t>
      </w:r>
      <w:r w:rsidR="005E0DDC">
        <w:rPr>
          <w:rFonts w:eastAsiaTheme="minorEastAsia"/>
          <w:b/>
          <w:bCs/>
          <w:i/>
          <w:iCs/>
          <w:sz w:val="22"/>
          <w:szCs w:val="22"/>
          <w:lang w:eastAsia="ko-KR"/>
        </w:rPr>
        <w:t>spectrum partitioning</w:t>
      </w:r>
      <w:r w:rsidR="0013638E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for </w:t>
      </w:r>
      <w:r w:rsidR="005E0DD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sub-band non overlapping full duplex operation. </w:t>
      </w:r>
    </w:p>
    <w:p w14:paraId="4A0298E3" w14:textId="4F0F8B53" w:rsidR="00C52BF2" w:rsidRPr="005E0DDC" w:rsidRDefault="00F831C9" w:rsidP="005E0DDC">
      <w:pPr>
        <w:pStyle w:val="a0"/>
        <w:numPr>
          <w:ilvl w:val="1"/>
          <w:numId w:val="3"/>
        </w:numPr>
        <w:spacing w:before="120" w:after="0" w:line="276" w:lineRule="auto"/>
        <w:jc w:val="both"/>
        <w:rPr>
          <w:b/>
          <w:sz w:val="28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A single TDD spectrum can be divided into sub-bands</w:t>
      </w:r>
      <w:r w:rsidR="00D159C5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consisting of one downlink sub-band</w:t>
      </w:r>
      <w:r w:rsidR="0076160B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and</w:t>
      </w:r>
      <w:r w:rsidR="00D159C5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2D760D">
        <w:rPr>
          <w:rFonts w:eastAsiaTheme="minorEastAsia"/>
          <w:b/>
          <w:bCs/>
          <w:i/>
          <w:iCs/>
          <w:sz w:val="22"/>
          <w:szCs w:val="22"/>
          <w:lang w:eastAsia="ko-KR"/>
        </w:rPr>
        <w:t>one</w:t>
      </w:r>
      <w:r w:rsidR="00D159C5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uplink sub-band</w:t>
      </w:r>
      <w:bookmarkEnd w:id="5"/>
      <w:r w:rsidR="00C52BF2"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p w14:paraId="2E78E42A" w14:textId="71596C8D" w:rsidR="005E0DDC" w:rsidRPr="00850155" w:rsidRDefault="005E0DDC" w:rsidP="005E0DDC">
      <w:pPr>
        <w:pStyle w:val="a0"/>
        <w:numPr>
          <w:ilvl w:val="1"/>
          <w:numId w:val="3"/>
        </w:numPr>
        <w:spacing w:before="120" w:after="0" w:line="276" w:lineRule="auto"/>
        <w:jc w:val="both"/>
        <w:rPr>
          <w:b/>
          <w:sz w:val="28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 single TDD spectrum can be divided into sub-bands consisting of </w:t>
      </w:r>
      <w:r w:rsidR="0076160B">
        <w:rPr>
          <w:rFonts w:eastAsiaTheme="minorEastAsia"/>
          <w:b/>
          <w:bCs/>
          <w:i/>
          <w:iCs/>
          <w:sz w:val="22"/>
          <w:szCs w:val="22"/>
          <w:lang w:eastAsia="ko-KR"/>
        </w:rPr>
        <w:t>multiple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downlink sub-band</w:t>
      </w:r>
      <w:r w:rsidR="0076160B">
        <w:rPr>
          <w:rFonts w:eastAsiaTheme="minorEastAsia"/>
          <w:b/>
          <w:bCs/>
          <w:i/>
          <w:iCs/>
          <w:sz w:val="22"/>
          <w:szCs w:val="22"/>
          <w:lang w:eastAsia="ko-KR"/>
        </w:rPr>
        <w:t>s and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uplink sub-band</w:t>
      </w:r>
      <w:r w:rsidR="0076160B">
        <w:rPr>
          <w:rFonts w:eastAsiaTheme="minorEastAsia"/>
          <w:b/>
          <w:bCs/>
          <w:i/>
          <w:iCs/>
          <w:sz w:val="22"/>
          <w:szCs w:val="22"/>
          <w:lang w:eastAsia="ko-KR"/>
        </w:rPr>
        <w:t>s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.</w:t>
      </w:r>
    </w:p>
    <w:bookmarkEnd w:id="4"/>
    <w:p w14:paraId="22C45C00" w14:textId="69756055" w:rsidR="001D1C45" w:rsidRDefault="001D1C45" w:rsidP="001D1C45">
      <w:pPr>
        <w:pStyle w:val="a0"/>
        <w:spacing w:line="276" w:lineRule="auto"/>
        <w:ind w:firstLineChars="64" w:firstLine="128"/>
        <w:jc w:val="both"/>
        <w:rPr>
          <w:rFonts w:eastAsiaTheme="minorEastAsia"/>
          <w:b/>
          <w:bCs/>
          <w:u w:val="single"/>
          <w:lang w:eastAsia="ko-KR"/>
        </w:rPr>
      </w:pPr>
    </w:p>
    <w:p w14:paraId="2955DA6E" w14:textId="77777777" w:rsidR="00473A70" w:rsidRPr="00E45180" w:rsidRDefault="00473A70" w:rsidP="00273052">
      <w:pPr>
        <w:pStyle w:val="1"/>
        <w:spacing w:before="0"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t>Conclusion</w:t>
      </w:r>
    </w:p>
    <w:p w14:paraId="5DA97E5C" w14:textId="682A7BF0" w:rsidR="00473A70" w:rsidRPr="008B6F35" w:rsidRDefault="00473A70" w:rsidP="00473A70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</w:t>
      </w:r>
      <w:r w:rsidR="001117F3">
        <w:rPr>
          <w:rFonts w:ascii="Times New Roman" w:hAnsi="Times New Roman"/>
          <w:kern w:val="0"/>
          <w:sz w:val="22"/>
        </w:rPr>
        <w:t xml:space="preserve">discussed </w:t>
      </w:r>
      <w:r w:rsidR="00F167F6">
        <w:rPr>
          <w:rFonts w:ascii="Times New Roman" w:hAnsi="Times New Roman"/>
          <w:kern w:val="0"/>
          <w:sz w:val="22"/>
        </w:rPr>
        <w:t>sub-band non overlapping full duplex</w:t>
      </w:r>
      <w:r w:rsidR="001117F3">
        <w:rPr>
          <w:rFonts w:ascii="Times New Roman" w:hAnsi="Times New Roman"/>
          <w:kern w:val="0"/>
          <w:sz w:val="22"/>
        </w:rPr>
        <w:t xml:space="preserve">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>the following</w:t>
      </w:r>
      <w:r w:rsidR="003A26A2">
        <w:rPr>
          <w:rFonts w:ascii="Times New Roman" w:hAnsi="Times New Roman"/>
          <w:kern w:val="0"/>
          <w:sz w:val="22"/>
        </w:rPr>
        <w:t>s</w:t>
      </w:r>
      <w:r w:rsidRPr="008B6F35">
        <w:rPr>
          <w:rFonts w:ascii="Times New Roman" w:hAnsi="Times New Roman"/>
          <w:kern w:val="0"/>
          <w:sz w:val="22"/>
        </w:rPr>
        <w:t>:</w:t>
      </w:r>
    </w:p>
    <w:p w14:paraId="2B949CCE" w14:textId="41657612" w:rsidR="0061456C" w:rsidRPr="00850155" w:rsidRDefault="0061456C" w:rsidP="0061456C">
      <w:pPr>
        <w:pStyle w:val="a0"/>
        <w:numPr>
          <w:ilvl w:val="0"/>
          <w:numId w:val="3"/>
        </w:numPr>
        <w:spacing w:before="120" w:after="0" w:line="276" w:lineRule="auto"/>
        <w:ind w:left="431" w:hanging="403"/>
        <w:jc w:val="both"/>
        <w:rPr>
          <w:b/>
          <w:sz w:val="28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1: </w:t>
      </w:r>
      <w:r w:rsidR="002D760D">
        <w:rPr>
          <w:rFonts w:eastAsiaTheme="minorEastAsia"/>
          <w:b/>
          <w:bCs/>
          <w:i/>
          <w:iCs/>
          <w:sz w:val="22"/>
          <w:szCs w:val="22"/>
          <w:lang w:eastAsia="ko-KR"/>
        </w:rPr>
        <w:t>RAN1 to s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tudy flexible slots or symbols by TDD-UL-DL-</w:t>
      </w:r>
      <w:proofErr w:type="spellStart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ConfigCommon</w:t>
      </w:r>
      <w:proofErr w:type="spellEnd"/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345ED3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as time domain resources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for sub-band non overlapping full duplex.</w:t>
      </w:r>
    </w:p>
    <w:p w14:paraId="7F505CBB" w14:textId="6C6F7444" w:rsidR="0061456C" w:rsidRPr="0061456C" w:rsidRDefault="002D760D" w:rsidP="0061456C">
      <w:pPr>
        <w:pStyle w:val="a0"/>
        <w:numPr>
          <w:ilvl w:val="1"/>
          <w:numId w:val="3"/>
        </w:numPr>
        <w:spacing w:before="120" w:line="276" w:lineRule="auto"/>
        <w:ind w:left="1344" w:hanging="403"/>
        <w:jc w:val="both"/>
        <w:rPr>
          <w:b/>
          <w:sz w:val="28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RAN1 to s</w:t>
      </w:r>
      <w:r w:rsidR="0061456C">
        <w:rPr>
          <w:rFonts w:eastAsiaTheme="minorEastAsia"/>
          <w:b/>
          <w:bCs/>
          <w:i/>
          <w:iCs/>
          <w:sz w:val="22"/>
          <w:szCs w:val="22"/>
          <w:lang w:eastAsia="ko-KR"/>
        </w:rPr>
        <w:t>tudy</w:t>
      </w:r>
      <w:r w:rsidR="0061456C" w:rsidRPr="003F4CD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flexible sub-band</w:t>
      </w:r>
      <w:r w:rsidR="0061456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which can be used as a guard band</w:t>
      </w:r>
      <w:r w:rsidR="0061456C" w:rsidRPr="003F4CDC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61456C">
        <w:rPr>
          <w:rFonts w:eastAsiaTheme="minorEastAsia"/>
          <w:b/>
          <w:bCs/>
          <w:i/>
          <w:iCs/>
          <w:sz w:val="22"/>
          <w:szCs w:val="22"/>
          <w:lang w:eastAsia="ko-KR"/>
        </w:rPr>
        <w:t>between downlink sub-band and uplink sub-band.</w:t>
      </w:r>
    </w:p>
    <w:p w14:paraId="4B7E1B6F" w14:textId="0ACC4BD8" w:rsidR="0061456C" w:rsidRPr="0013638E" w:rsidRDefault="0061456C" w:rsidP="0061456C">
      <w:pPr>
        <w:pStyle w:val="a0"/>
        <w:numPr>
          <w:ilvl w:val="0"/>
          <w:numId w:val="3"/>
        </w:numPr>
        <w:spacing w:before="120" w:after="0" w:line="276" w:lineRule="auto"/>
        <w:ind w:left="431" w:hanging="403"/>
        <w:jc w:val="both"/>
        <w:rPr>
          <w:b/>
          <w:sz w:val="28"/>
        </w:rPr>
      </w:pPr>
      <w:r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2: </w:t>
      </w:r>
      <w:r w:rsidR="002D760D">
        <w:rPr>
          <w:rFonts w:eastAsiaTheme="minorEastAsia"/>
          <w:b/>
          <w:bCs/>
          <w:i/>
          <w:iCs/>
          <w:sz w:val="22"/>
          <w:szCs w:val="22"/>
          <w:lang w:eastAsia="ko-KR"/>
        </w:rPr>
        <w:t>RAN1 to s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tudy following options for spectrum partitioning for sub-band non overlapping full duplex operation. </w:t>
      </w:r>
    </w:p>
    <w:p w14:paraId="3FEF5F9E" w14:textId="6CC83200" w:rsidR="0061456C" w:rsidRPr="005E0DDC" w:rsidRDefault="0061456C" w:rsidP="0061456C">
      <w:pPr>
        <w:pStyle w:val="a0"/>
        <w:numPr>
          <w:ilvl w:val="1"/>
          <w:numId w:val="3"/>
        </w:numPr>
        <w:spacing w:before="120" w:after="0" w:line="276" w:lineRule="auto"/>
        <w:jc w:val="both"/>
        <w:rPr>
          <w:b/>
          <w:sz w:val="28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 single TDD spectrum can be divided into sub-bands consisting of one downlink sub-band and </w:t>
      </w:r>
      <w:r w:rsidR="002D760D">
        <w:rPr>
          <w:rFonts w:eastAsiaTheme="minorEastAsia"/>
          <w:b/>
          <w:bCs/>
          <w:i/>
          <w:iCs/>
          <w:sz w:val="22"/>
          <w:szCs w:val="22"/>
          <w:lang w:eastAsia="ko-KR"/>
        </w:rPr>
        <w:t>one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uplink sub-band.</w:t>
      </w:r>
    </w:p>
    <w:p w14:paraId="0F043122" w14:textId="0ED87A0C" w:rsidR="0061456C" w:rsidRPr="0061456C" w:rsidRDefault="0061456C" w:rsidP="0061456C">
      <w:pPr>
        <w:pStyle w:val="a0"/>
        <w:numPr>
          <w:ilvl w:val="1"/>
          <w:numId w:val="3"/>
        </w:numPr>
        <w:spacing w:before="120" w:after="0" w:line="276" w:lineRule="auto"/>
        <w:jc w:val="both"/>
        <w:rPr>
          <w:b/>
          <w:sz w:val="28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A single TDD spectrum can be divided into sub-bands consisting of multiple downlink sub-bands and uplink sub-bands.</w:t>
      </w:r>
    </w:p>
    <w:p w14:paraId="784AB3E5" w14:textId="77777777" w:rsidR="0038645C" w:rsidRPr="0061456C" w:rsidRDefault="0038645C" w:rsidP="0038645C">
      <w:pPr>
        <w:widowControl/>
        <w:wordWrap/>
        <w:autoSpaceDE/>
        <w:autoSpaceDN/>
        <w:spacing w:line="276" w:lineRule="auto"/>
        <w:rPr>
          <w:rFonts w:ascii="Times New Roman" w:hAnsi="Times New Roman"/>
          <w:b/>
          <w:kern w:val="0"/>
          <w:sz w:val="22"/>
          <w:szCs w:val="16"/>
          <w:lang w:val="en-GB"/>
        </w:rPr>
      </w:pPr>
    </w:p>
    <w:p w14:paraId="157D679C" w14:textId="7728EE4B" w:rsidR="00473A70" w:rsidRPr="008B6F35" w:rsidRDefault="00473A70" w:rsidP="00CD20A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A97343D" w14:textId="12759648" w:rsidR="00C41043" w:rsidRDefault="00680481" w:rsidP="008011FF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RP-2</w:t>
      </w:r>
      <w:r w:rsidR="0094239F">
        <w:rPr>
          <w:rFonts w:ascii="Times New Roman" w:hAnsi="Times New Roman" w:cs="Times New Roman"/>
          <w:color w:val="auto"/>
          <w:sz w:val="22"/>
          <w:szCs w:val="22"/>
          <w:lang w:eastAsia="ko-KR"/>
        </w:rPr>
        <w:t>20633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, “</w:t>
      </w:r>
      <w:r w:rsidR="007E2F06" w:rsidRPr="007E2F06">
        <w:rPr>
          <w:rFonts w:ascii="Times New Roman" w:hAnsi="Times New Roman" w:cs="Times New Roman"/>
          <w:color w:val="auto"/>
          <w:sz w:val="22"/>
          <w:szCs w:val="22"/>
          <w:lang w:eastAsia="ko-KR"/>
        </w:rPr>
        <w:t>Revised SID: Study on evolution of NR duplex operation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,” </w:t>
      </w:r>
      <w:r w:rsidR="00831E12">
        <w:rPr>
          <w:rFonts w:ascii="Times New Roman" w:hAnsi="Times New Roman" w:cs="Times New Roman"/>
          <w:color w:val="auto"/>
          <w:sz w:val="22"/>
          <w:szCs w:val="22"/>
          <w:lang w:eastAsia="ko-KR"/>
        </w:rPr>
        <w:t>CMCC, RAN#95-e</w:t>
      </w:r>
    </w:p>
    <w:sectPr w:rsidR="00C41043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5E122" w14:textId="77777777" w:rsidR="00B371EC" w:rsidRDefault="00B371EC">
      <w:r>
        <w:separator/>
      </w:r>
    </w:p>
  </w:endnote>
  <w:endnote w:type="continuationSeparator" w:id="0">
    <w:p w14:paraId="65E70627" w14:textId="77777777" w:rsidR="00B371EC" w:rsidRDefault="00B37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4C6C35" w:rsidRDefault="00B371EC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191AF" w14:textId="77777777" w:rsidR="00B371EC" w:rsidRDefault="00B371EC">
      <w:r>
        <w:separator/>
      </w:r>
    </w:p>
  </w:footnote>
  <w:footnote w:type="continuationSeparator" w:id="0">
    <w:p w14:paraId="483C67C4" w14:textId="77777777" w:rsidR="00B371EC" w:rsidRDefault="00B37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4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EA7556"/>
    <w:multiLevelType w:val="hybridMultilevel"/>
    <w:tmpl w:val="1068C85C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2BF81F30">
      <w:start w:val="1"/>
      <w:numFmt w:val="bullet"/>
      <w:lvlText w:val="‐"/>
      <w:lvlJc w:val="left"/>
      <w:pPr>
        <w:ind w:left="1341" w:hanging="400"/>
      </w:pPr>
      <w:rPr>
        <w:rFonts w:ascii="SimSun" w:eastAsia="SimSun" w:hAnsi="SimSun" w:hint="eastAsia"/>
        <w:lang w:val="en-GB"/>
      </w:rPr>
    </w:lvl>
    <w:lvl w:ilvl="2" w:tplc="04090005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6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19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20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152649">
    <w:abstractNumId w:val="12"/>
  </w:num>
  <w:num w:numId="2" w16cid:durableId="1958098037">
    <w:abstractNumId w:val="5"/>
  </w:num>
  <w:num w:numId="3" w16cid:durableId="1753965024">
    <w:abstractNumId w:val="14"/>
  </w:num>
  <w:num w:numId="4" w16cid:durableId="2091271924">
    <w:abstractNumId w:val="1"/>
  </w:num>
  <w:num w:numId="5" w16cid:durableId="1956015375">
    <w:abstractNumId w:val="19"/>
  </w:num>
  <w:num w:numId="6" w16cid:durableId="213394916">
    <w:abstractNumId w:val="12"/>
  </w:num>
  <w:num w:numId="7" w16cid:durableId="1573268683">
    <w:abstractNumId w:val="21"/>
  </w:num>
  <w:num w:numId="8" w16cid:durableId="976879894">
    <w:abstractNumId w:val="11"/>
  </w:num>
  <w:num w:numId="9" w16cid:durableId="1210729712">
    <w:abstractNumId w:val="13"/>
  </w:num>
  <w:num w:numId="10" w16cid:durableId="476453561">
    <w:abstractNumId w:val="8"/>
  </w:num>
  <w:num w:numId="11" w16cid:durableId="1143351714">
    <w:abstractNumId w:val="13"/>
  </w:num>
  <w:num w:numId="12" w16cid:durableId="474370847">
    <w:abstractNumId w:val="3"/>
  </w:num>
  <w:num w:numId="13" w16cid:durableId="2016492400">
    <w:abstractNumId w:val="20"/>
  </w:num>
  <w:num w:numId="14" w16cid:durableId="867718731">
    <w:abstractNumId w:val="16"/>
  </w:num>
  <w:num w:numId="15" w16cid:durableId="76371246">
    <w:abstractNumId w:val="6"/>
  </w:num>
  <w:num w:numId="16" w16cid:durableId="852496210">
    <w:abstractNumId w:val="17"/>
  </w:num>
  <w:num w:numId="17" w16cid:durableId="798064079">
    <w:abstractNumId w:val="9"/>
  </w:num>
  <w:num w:numId="18" w16cid:durableId="1869641118">
    <w:abstractNumId w:val="18"/>
  </w:num>
  <w:num w:numId="19" w16cid:durableId="1501655462">
    <w:abstractNumId w:val="2"/>
  </w:num>
  <w:num w:numId="20" w16cid:durableId="755129925">
    <w:abstractNumId w:val="4"/>
  </w:num>
  <w:num w:numId="21" w16cid:durableId="1076049397">
    <w:abstractNumId w:val="0"/>
  </w:num>
  <w:num w:numId="22" w16cid:durableId="961233508">
    <w:abstractNumId w:val="7"/>
  </w:num>
  <w:num w:numId="23" w16cid:durableId="987169448">
    <w:abstractNumId w:val="10"/>
  </w:num>
  <w:num w:numId="24" w16cid:durableId="6438951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5758"/>
    <w:rsid w:val="000114C8"/>
    <w:rsid w:val="00013E08"/>
    <w:rsid w:val="00014605"/>
    <w:rsid w:val="00023C92"/>
    <w:rsid w:val="00023E09"/>
    <w:rsid w:val="000261BA"/>
    <w:rsid w:val="00031DAC"/>
    <w:rsid w:val="00032966"/>
    <w:rsid w:val="00036903"/>
    <w:rsid w:val="00036BE7"/>
    <w:rsid w:val="00042A39"/>
    <w:rsid w:val="00056A30"/>
    <w:rsid w:val="000610EB"/>
    <w:rsid w:val="000644F0"/>
    <w:rsid w:val="000645C0"/>
    <w:rsid w:val="000649AD"/>
    <w:rsid w:val="000659C2"/>
    <w:rsid w:val="00071921"/>
    <w:rsid w:val="000837D3"/>
    <w:rsid w:val="000848F9"/>
    <w:rsid w:val="000B14C0"/>
    <w:rsid w:val="000B2FC4"/>
    <w:rsid w:val="000C02DD"/>
    <w:rsid w:val="000C4979"/>
    <w:rsid w:val="000C7E1C"/>
    <w:rsid w:val="000D61C5"/>
    <w:rsid w:val="000E1CD4"/>
    <w:rsid w:val="000F5155"/>
    <w:rsid w:val="000F5567"/>
    <w:rsid w:val="00100BEE"/>
    <w:rsid w:val="001029A8"/>
    <w:rsid w:val="00107658"/>
    <w:rsid w:val="001117F3"/>
    <w:rsid w:val="00113BD0"/>
    <w:rsid w:val="00115835"/>
    <w:rsid w:val="00115E26"/>
    <w:rsid w:val="00117989"/>
    <w:rsid w:val="0012244B"/>
    <w:rsid w:val="00123B4A"/>
    <w:rsid w:val="00125928"/>
    <w:rsid w:val="00132E1D"/>
    <w:rsid w:val="00134AB6"/>
    <w:rsid w:val="00135236"/>
    <w:rsid w:val="00135AE1"/>
    <w:rsid w:val="0013638E"/>
    <w:rsid w:val="001373FE"/>
    <w:rsid w:val="001465E2"/>
    <w:rsid w:val="00147727"/>
    <w:rsid w:val="0015782F"/>
    <w:rsid w:val="001707D2"/>
    <w:rsid w:val="0017500A"/>
    <w:rsid w:val="00190382"/>
    <w:rsid w:val="001915DD"/>
    <w:rsid w:val="00192FC4"/>
    <w:rsid w:val="0019350E"/>
    <w:rsid w:val="001A10D7"/>
    <w:rsid w:val="001A5A28"/>
    <w:rsid w:val="001A6C11"/>
    <w:rsid w:val="001A7A6A"/>
    <w:rsid w:val="001A7C69"/>
    <w:rsid w:val="001B770B"/>
    <w:rsid w:val="001C181B"/>
    <w:rsid w:val="001C3E61"/>
    <w:rsid w:val="001D02DD"/>
    <w:rsid w:val="001D0F11"/>
    <w:rsid w:val="001D1C45"/>
    <w:rsid w:val="001D2265"/>
    <w:rsid w:val="001D643A"/>
    <w:rsid w:val="001F507A"/>
    <w:rsid w:val="002032F8"/>
    <w:rsid w:val="00203D88"/>
    <w:rsid w:val="0021468C"/>
    <w:rsid w:val="00215488"/>
    <w:rsid w:val="00226E0D"/>
    <w:rsid w:val="002273ED"/>
    <w:rsid w:val="00234D96"/>
    <w:rsid w:val="00240E30"/>
    <w:rsid w:val="00241211"/>
    <w:rsid w:val="00241F61"/>
    <w:rsid w:val="002468CD"/>
    <w:rsid w:val="002475AA"/>
    <w:rsid w:val="00250CB2"/>
    <w:rsid w:val="00254416"/>
    <w:rsid w:val="00257CDD"/>
    <w:rsid w:val="002650BA"/>
    <w:rsid w:val="0026561F"/>
    <w:rsid w:val="00266AE9"/>
    <w:rsid w:val="0026722A"/>
    <w:rsid w:val="00273052"/>
    <w:rsid w:val="002731A8"/>
    <w:rsid w:val="00275511"/>
    <w:rsid w:val="00284490"/>
    <w:rsid w:val="002876AE"/>
    <w:rsid w:val="00293D72"/>
    <w:rsid w:val="002942B2"/>
    <w:rsid w:val="002A0F9A"/>
    <w:rsid w:val="002A3321"/>
    <w:rsid w:val="002A3D04"/>
    <w:rsid w:val="002A3FDA"/>
    <w:rsid w:val="002A6EC3"/>
    <w:rsid w:val="002B6D62"/>
    <w:rsid w:val="002C414B"/>
    <w:rsid w:val="002D4594"/>
    <w:rsid w:val="002D497F"/>
    <w:rsid w:val="002D760D"/>
    <w:rsid w:val="002D7FF9"/>
    <w:rsid w:val="002E0B63"/>
    <w:rsid w:val="002E17C2"/>
    <w:rsid w:val="002E3389"/>
    <w:rsid w:val="002E347C"/>
    <w:rsid w:val="002E3999"/>
    <w:rsid w:val="002F0006"/>
    <w:rsid w:val="002F0472"/>
    <w:rsid w:val="002F280E"/>
    <w:rsid w:val="002F3D72"/>
    <w:rsid w:val="00302418"/>
    <w:rsid w:val="00303B2C"/>
    <w:rsid w:val="003139E9"/>
    <w:rsid w:val="00317D0E"/>
    <w:rsid w:val="003218AF"/>
    <w:rsid w:val="00322A2D"/>
    <w:rsid w:val="00332104"/>
    <w:rsid w:val="00336599"/>
    <w:rsid w:val="00345ED3"/>
    <w:rsid w:val="00347163"/>
    <w:rsid w:val="00347BBE"/>
    <w:rsid w:val="00350971"/>
    <w:rsid w:val="0036224D"/>
    <w:rsid w:val="003640C7"/>
    <w:rsid w:val="00377746"/>
    <w:rsid w:val="00385506"/>
    <w:rsid w:val="00385F9C"/>
    <w:rsid w:val="0038645C"/>
    <w:rsid w:val="003918AB"/>
    <w:rsid w:val="00391B35"/>
    <w:rsid w:val="00395A4B"/>
    <w:rsid w:val="003A0DA1"/>
    <w:rsid w:val="003A1EED"/>
    <w:rsid w:val="003A26A2"/>
    <w:rsid w:val="003A3D67"/>
    <w:rsid w:val="003A454F"/>
    <w:rsid w:val="003A732A"/>
    <w:rsid w:val="003A76B1"/>
    <w:rsid w:val="003B61CC"/>
    <w:rsid w:val="003C1203"/>
    <w:rsid w:val="003C2785"/>
    <w:rsid w:val="003C419C"/>
    <w:rsid w:val="003C5E8F"/>
    <w:rsid w:val="003C65FE"/>
    <w:rsid w:val="003D2C35"/>
    <w:rsid w:val="003D79B9"/>
    <w:rsid w:val="003E6F87"/>
    <w:rsid w:val="003E764C"/>
    <w:rsid w:val="003E76D0"/>
    <w:rsid w:val="003F1931"/>
    <w:rsid w:val="003F400E"/>
    <w:rsid w:val="003F4CDC"/>
    <w:rsid w:val="003F596A"/>
    <w:rsid w:val="003F6774"/>
    <w:rsid w:val="00400ACD"/>
    <w:rsid w:val="00401903"/>
    <w:rsid w:val="00403A2B"/>
    <w:rsid w:val="00406FF7"/>
    <w:rsid w:val="004130FC"/>
    <w:rsid w:val="00413220"/>
    <w:rsid w:val="00416CFC"/>
    <w:rsid w:val="00421A42"/>
    <w:rsid w:val="00423FC8"/>
    <w:rsid w:val="00426800"/>
    <w:rsid w:val="0043062D"/>
    <w:rsid w:val="00431E13"/>
    <w:rsid w:val="00432820"/>
    <w:rsid w:val="00436153"/>
    <w:rsid w:val="00437675"/>
    <w:rsid w:val="00442E56"/>
    <w:rsid w:val="00445EC2"/>
    <w:rsid w:val="00463A18"/>
    <w:rsid w:val="00463CD8"/>
    <w:rsid w:val="00467383"/>
    <w:rsid w:val="00473A70"/>
    <w:rsid w:val="004812A9"/>
    <w:rsid w:val="004832E9"/>
    <w:rsid w:val="00487748"/>
    <w:rsid w:val="004930CB"/>
    <w:rsid w:val="00496B62"/>
    <w:rsid w:val="004A09D4"/>
    <w:rsid w:val="004B73EC"/>
    <w:rsid w:val="004B7E4C"/>
    <w:rsid w:val="004C3570"/>
    <w:rsid w:val="004D356D"/>
    <w:rsid w:val="004D4273"/>
    <w:rsid w:val="004E13F8"/>
    <w:rsid w:val="004E3508"/>
    <w:rsid w:val="004E4550"/>
    <w:rsid w:val="004E50E9"/>
    <w:rsid w:val="004E6AA7"/>
    <w:rsid w:val="004F5A69"/>
    <w:rsid w:val="004F6AC5"/>
    <w:rsid w:val="004F7113"/>
    <w:rsid w:val="005008C1"/>
    <w:rsid w:val="00503C99"/>
    <w:rsid w:val="0051047F"/>
    <w:rsid w:val="00511423"/>
    <w:rsid w:val="00516FA2"/>
    <w:rsid w:val="00526171"/>
    <w:rsid w:val="005336FF"/>
    <w:rsid w:val="00535093"/>
    <w:rsid w:val="00535D77"/>
    <w:rsid w:val="00536AAD"/>
    <w:rsid w:val="00536F4C"/>
    <w:rsid w:val="00540635"/>
    <w:rsid w:val="005408C4"/>
    <w:rsid w:val="00541F3F"/>
    <w:rsid w:val="005431F5"/>
    <w:rsid w:val="00543D99"/>
    <w:rsid w:val="005469ED"/>
    <w:rsid w:val="00551E04"/>
    <w:rsid w:val="00553A22"/>
    <w:rsid w:val="00554A98"/>
    <w:rsid w:val="00560053"/>
    <w:rsid w:val="005605AF"/>
    <w:rsid w:val="00561ABC"/>
    <w:rsid w:val="00562DB3"/>
    <w:rsid w:val="00564495"/>
    <w:rsid w:val="00566D07"/>
    <w:rsid w:val="00571294"/>
    <w:rsid w:val="00571FD4"/>
    <w:rsid w:val="00572830"/>
    <w:rsid w:val="005756CE"/>
    <w:rsid w:val="0057776F"/>
    <w:rsid w:val="00577B30"/>
    <w:rsid w:val="00581CB9"/>
    <w:rsid w:val="005837FB"/>
    <w:rsid w:val="005900D8"/>
    <w:rsid w:val="005939D6"/>
    <w:rsid w:val="00594145"/>
    <w:rsid w:val="00595804"/>
    <w:rsid w:val="005967F7"/>
    <w:rsid w:val="005A014D"/>
    <w:rsid w:val="005A4C38"/>
    <w:rsid w:val="005A6D57"/>
    <w:rsid w:val="005A7B08"/>
    <w:rsid w:val="005B154B"/>
    <w:rsid w:val="005B4EA2"/>
    <w:rsid w:val="005C1225"/>
    <w:rsid w:val="005C520C"/>
    <w:rsid w:val="005C5B63"/>
    <w:rsid w:val="005D4D70"/>
    <w:rsid w:val="005D5F96"/>
    <w:rsid w:val="005E0DDC"/>
    <w:rsid w:val="005E4AF7"/>
    <w:rsid w:val="005E5489"/>
    <w:rsid w:val="005F5F8B"/>
    <w:rsid w:val="005F77BF"/>
    <w:rsid w:val="00602A62"/>
    <w:rsid w:val="006057F1"/>
    <w:rsid w:val="00607074"/>
    <w:rsid w:val="006136CC"/>
    <w:rsid w:val="0061456C"/>
    <w:rsid w:val="00614FF1"/>
    <w:rsid w:val="00617BC2"/>
    <w:rsid w:val="00626DA7"/>
    <w:rsid w:val="006338F0"/>
    <w:rsid w:val="006347BA"/>
    <w:rsid w:val="00635747"/>
    <w:rsid w:val="00637CA1"/>
    <w:rsid w:val="0064001C"/>
    <w:rsid w:val="006406A0"/>
    <w:rsid w:val="006437F8"/>
    <w:rsid w:val="00670E0F"/>
    <w:rsid w:val="006756E8"/>
    <w:rsid w:val="0067612A"/>
    <w:rsid w:val="00677B6F"/>
    <w:rsid w:val="00677CB1"/>
    <w:rsid w:val="00677E44"/>
    <w:rsid w:val="00680481"/>
    <w:rsid w:val="0068090D"/>
    <w:rsid w:val="0068511A"/>
    <w:rsid w:val="00690411"/>
    <w:rsid w:val="00693D45"/>
    <w:rsid w:val="00693DA3"/>
    <w:rsid w:val="006941D8"/>
    <w:rsid w:val="00696B5D"/>
    <w:rsid w:val="00697D62"/>
    <w:rsid w:val="006A016C"/>
    <w:rsid w:val="006A2A57"/>
    <w:rsid w:val="006A32E2"/>
    <w:rsid w:val="006A7007"/>
    <w:rsid w:val="006C2DF8"/>
    <w:rsid w:val="006C31B0"/>
    <w:rsid w:val="006D283B"/>
    <w:rsid w:val="006D2E77"/>
    <w:rsid w:val="006E0B51"/>
    <w:rsid w:val="006F5368"/>
    <w:rsid w:val="006F68FF"/>
    <w:rsid w:val="00705F6C"/>
    <w:rsid w:val="007113EA"/>
    <w:rsid w:val="007158D1"/>
    <w:rsid w:val="0072564A"/>
    <w:rsid w:val="007276A2"/>
    <w:rsid w:val="00732B6C"/>
    <w:rsid w:val="00743A9C"/>
    <w:rsid w:val="0075060C"/>
    <w:rsid w:val="007600D4"/>
    <w:rsid w:val="0076160B"/>
    <w:rsid w:val="007649E6"/>
    <w:rsid w:val="00775C2D"/>
    <w:rsid w:val="00775DCD"/>
    <w:rsid w:val="007766C2"/>
    <w:rsid w:val="00782A1E"/>
    <w:rsid w:val="0078402D"/>
    <w:rsid w:val="0078484D"/>
    <w:rsid w:val="00785914"/>
    <w:rsid w:val="00786F88"/>
    <w:rsid w:val="00787A1B"/>
    <w:rsid w:val="00792BDE"/>
    <w:rsid w:val="007947CE"/>
    <w:rsid w:val="00794CD4"/>
    <w:rsid w:val="0079693C"/>
    <w:rsid w:val="007979CA"/>
    <w:rsid w:val="007A1F99"/>
    <w:rsid w:val="007A38FC"/>
    <w:rsid w:val="007B2180"/>
    <w:rsid w:val="007B273D"/>
    <w:rsid w:val="007B2854"/>
    <w:rsid w:val="007B715B"/>
    <w:rsid w:val="007B7B06"/>
    <w:rsid w:val="007D6DF7"/>
    <w:rsid w:val="007E2F06"/>
    <w:rsid w:val="007E40EE"/>
    <w:rsid w:val="007E4B4A"/>
    <w:rsid w:val="007F2192"/>
    <w:rsid w:val="007F4DBD"/>
    <w:rsid w:val="007F4FD5"/>
    <w:rsid w:val="007F7B04"/>
    <w:rsid w:val="00800EA9"/>
    <w:rsid w:val="00804457"/>
    <w:rsid w:val="00811E75"/>
    <w:rsid w:val="00816610"/>
    <w:rsid w:val="00822DDD"/>
    <w:rsid w:val="00826113"/>
    <w:rsid w:val="00827E35"/>
    <w:rsid w:val="00831E12"/>
    <w:rsid w:val="00836622"/>
    <w:rsid w:val="00844A5B"/>
    <w:rsid w:val="00845019"/>
    <w:rsid w:val="00846FA5"/>
    <w:rsid w:val="00850155"/>
    <w:rsid w:val="00854933"/>
    <w:rsid w:val="00855EE6"/>
    <w:rsid w:val="00857FA3"/>
    <w:rsid w:val="00866056"/>
    <w:rsid w:val="008715F9"/>
    <w:rsid w:val="008766B1"/>
    <w:rsid w:val="008867DB"/>
    <w:rsid w:val="00887345"/>
    <w:rsid w:val="00891D3F"/>
    <w:rsid w:val="008925D0"/>
    <w:rsid w:val="00893887"/>
    <w:rsid w:val="008952E9"/>
    <w:rsid w:val="008A116A"/>
    <w:rsid w:val="008A3286"/>
    <w:rsid w:val="008C2DA5"/>
    <w:rsid w:val="008C3A3F"/>
    <w:rsid w:val="008C4433"/>
    <w:rsid w:val="008D0305"/>
    <w:rsid w:val="008E6CBD"/>
    <w:rsid w:val="00906326"/>
    <w:rsid w:val="00922456"/>
    <w:rsid w:val="00934793"/>
    <w:rsid w:val="0094239F"/>
    <w:rsid w:val="0094253A"/>
    <w:rsid w:val="00943743"/>
    <w:rsid w:val="00950546"/>
    <w:rsid w:val="0095548D"/>
    <w:rsid w:val="00957AD5"/>
    <w:rsid w:val="00960EA4"/>
    <w:rsid w:val="00970C8E"/>
    <w:rsid w:val="00972D6E"/>
    <w:rsid w:val="00974F1E"/>
    <w:rsid w:val="0097525E"/>
    <w:rsid w:val="00981003"/>
    <w:rsid w:val="0098260D"/>
    <w:rsid w:val="009846A0"/>
    <w:rsid w:val="00997338"/>
    <w:rsid w:val="00997EE8"/>
    <w:rsid w:val="009A1283"/>
    <w:rsid w:val="009A32AB"/>
    <w:rsid w:val="009A671E"/>
    <w:rsid w:val="009B6043"/>
    <w:rsid w:val="009C1216"/>
    <w:rsid w:val="009D22D4"/>
    <w:rsid w:val="009D4FF3"/>
    <w:rsid w:val="009D57FD"/>
    <w:rsid w:val="009D6A14"/>
    <w:rsid w:val="009D7430"/>
    <w:rsid w:val="009E5AC3"/>
    <w:rsid w:val="009F1E03"/>
    <w:rsid w:val="009F392D"/>
    <w:rsid w:val="009F4647"/>
    <w:rsid w:val="009F57F8"/>
    <w:rsid w:val="00A06948"/>
    <w:rsid w:val="00A13413"/>
    <w:rsid w:val="00A14598"/>
    <w:rsid w:val="00A17DF6"/>
    <w:rsid w:val="00A17E85"/>
    <w:rsid w:val="00A20A9E"/>
    <w:rsid w:val="00A22345"/>
    <w:rsid w:val="00A32735"/>
    <w:rsid w:val="00A33A76"/>
    <w:rsid w:val="00A37F5D"/>
    <w:rsid w:val="00A40DD4"/>
    <w:rsid w:val="00A4363D"/>
    <w:rsid w:val="00A50DF4"/>
    <w:rsid w:val="00A51401"/>
    <w:rsid w:val="00A54BA0"/>
    <w:rsid w:val="00A65157"/>
    <w:rsid w:val="00A70788"/>
    <w:rsid w:val="00A7197F"/>
    <w:rsid w:val="00A72A18"/>
    <w:rsid w:val="00A75898"/>
    <w:rsid w:val="00A75B10"/>
    <w:rsid w:val="00A81E65"/>
    <w:rsid w:val="00A82550"/>
    <w:rsid w:val="00AC7926"/>
    <w:rsid w:val="00AD0170"/>
    <w:rsid w:val="00AD4D96"/>
    <w:rsid w:val="00AD5F05"/>
    <w:rsid w:val="00AD76FE"/>
    <w:rsid w:val="00B00FB3"/>
    <w:rsid w:val="00B02A98"/>
    <w:rsid w:val="00B07281"/>
    <w:rsid w:val="00B14B9D"/>
    <w:rsid w:val="00B15E75"/>
    <w:rsid w:val="00B22862"/>
    <w:rsid w:val="00B2590B"/>
    <w:rsid w:val="00B26309"/>
    <w:rsid w:val="00B3209C"/>
    <w:rsid w:val="00B332BE"/>
    <w:rsid w:val="00B33530"/>
    <w:rsid w:val="00B371EC"/>
    <w:rsid w:val="00B409D6"/>
    <w:rsid w:val="00B409DF"/>
    <w:rsid w:val="00B6585E"/>
    <w:rsid w:val="00B73002"/>
    <w:rsid w:val="00B836F1"/>
    <w:rsid w:val="00B83F0D"/>
    <w:rsid w:val="00B86D80"/>
    <w:rsid w:val="00B922D2"/>
    <w:rsid w:val="00BA2712"/>
    <w:rsid w:val="00BA5798"/>
    <w:rsid w:val="00BA758D"/>
    <w:rsid w:val="00BB4B5E"/>
    <w:rsid w:val="00BB5801"/>
    <w:rsid w:val="00BB58E0"/>
    <w:rsid w:val="00BB6940"/>
    <w:rsid w:val="00BC0D25"/>
    <w:rsid w:val="00BC15D4"/>
    <w:rsid w:val="00BC5942"/>
    <w:rsid w:val="00BD2428"/>
    <w:rsid w:val="00BD468E"/>
    <w:rsid w:val="00BE4C52"/>
    <w:rsid w:val="00BE71F3"/>
    <w:rsid w:val="00BF46F1"/>
    <w:rsid w:val="00C0225F"/>
    <w:rsid w:val="00C02914"/>
    <w:rsid w:val="00C05B76"/>
    <w:rsid w:val="00C17597"/>
    <w:rsid w:val="00C2103E"/>
    <w:rsid w:val="00C2535B"/>
    <w:rsid w:val="00C3257C"/>
    <w:rsid w:val="00C35E20"/>
    <w:rsid w:val="00C376A1"/>
    <w:rsid w:val="00C41043"/>
    <w:rsid w:val="00C52BF2"/>
    <w:rsid w:val="00C62FB7"/>
    <w:rsid w:val="00C63316"/>
    <w:rsid w:val="00C65B4E"/>
    <w:rsid w:val="00C65F1F"/>
    <w:rsid w:val="00C71B3C"/>
    <w:rsid w:val="00C73978"/>
    <w:rsid w:val="00C76DAA"/>
    <w:rsid w:val="00C80A58"/>
    <w:rsid w:val="00C82762"/>
    <w:rsid w:val="00C95622"/>
    <w:rsid w:val="00C97206"/>
    <w:rsid w:val="00C97CBA"/>
    <w:rsid w:val="00CA40DC"/>
    <w:rsid w:val="00CA4D98"/>
    <w:rsid w:val="00CB23A3"/>
    <w:rsid w:val="00CC0AEB"/>
    <w:rsid w:val="00CC2383"/>
    <w:rsid w:val="00CD1351"/>
    <w:rsid w:val="00CD20A5"/>
    <w:rsid w:val="00CD7481"/>
    <w:rsid w:val="00CE051D"/>
    <w:rsid w:val="00CE3315"/>
    <w:rsid w:val="00D00964"/>
    <w:rsid w:val="00D05BAB"/>
    <w:rsid w:val="00D159C5"/>
    <w:rsid w:val="00D15ED8"/>
    <w:rsid w:val="00D17DEF"/>
    <w:rsid w:val="00D17EA5"/>
    <w:rsid w:val="00D21CE1"/>
    <w:rsid w:val="00D224C5"/>
    <w:rsid w:val="00D23D54"/>
    <w:rsid w:val="00D2539D"/>
    <w:rsid w:val="00D26AC8"/>
    <w:rsid w:val="00D30568"/>
    <w:rsid w:val="00D319B1"/>
    <w:rsid w:val="00D34C26"/>
    <w:rsid w:val="00D35B44"/>
    <w:rsid w:val="00D37DCC"/>
    <w:rsid w:val="00D427B8"/>
    <w:rsid w:val="00D51B5E"/>
    <w:rsid w:val="00D65F05"/>
    <w:rsid w:val="00D66597"/>
    <w:rsid w:val="00D717C1"/>
    <w:rsid w:val="00D72F15"/>
    <w:rsid w:val="00D82FEA"/>
    <w:rsid w:val="00D8409D"/>
    <w:rsid w:val="00D92BDD"/>
    <w:rsid w:val="00D936C3"/>
    <w:rsid w:val="00D95C74"/>
    <w:rsid w:val="00DA0ACA"/>
    <w:rsid w:val="00DA295E"/>
    <w:rsid w:val="00DB1030"/>
    <w:rsid w:val="00DB57CA"/>
    <w:rsid w:val="00DB75C5"/>
    <w:rsid w:val="00DC22D3"/>
    <w:rsid w:val="00DC610A"/>
    <w:rsid w:val="00DE3888"/>
    <w:rsid w:val="00DE5716"/>
    <w:rsid w:val="00DE708F"/>
    <w:rsid w:val="00DF3E81"/>
    <w:rsid w:val="00DF4435"/>
    <w:rsid w:val="00E00486"/>
    <w:rsid w:val="00E00AB1"/>
    <w:rsid w:val="00E00D56"/>
    <w:rsid w:val="00E0687D"/>
    <w:rsid w:val="00E070AF"/>
    <w:rsid w:val="00E14562"/>
    <w:rsid w:val="00E17DAC"/>
    <w:rsid w:val="00E22A43"/>
    <w:rsid w:val="00E308FF"/>
    <w:rsid w:val="00E361D1"/>
    <w:rsid w:val="00E375C7"/>
    <w:rsid w:val="00E45180"/>
    <w:rsid w:val="00E4693B"/>
    <w:rsid w:val="00E479B2"/>
    <w:rsid w:val="00E51AE9"/>
    <w:rsid w:val="00E52361"/>
    <w:rsid w:val="00E542D0"/>
    <w:rsid w:val="00E548D5"/>
    <w:rsid w:val="00E56FDA"/>
    <w:rsid w:val="00E60BC3"/>
    <w:rsid w:val="00E6261A"/>
    <w:rsid w:val="00E632EE"/>
    <w:rsid w:val="00E65401"/>
    <w:rsid w:val="00E66A37"/>
    <w:rsid w:val="00E67A4C"/>
    <w:rsid w:val="00E67CB2"/>
    <w:rsid w:val="00E74CDC"/>
    <w:rsid w:val="00E75071"/>
    <w:rsid w:val="00E75FEE"/>
    <w:rsid w:val="00E804D4"/>
    <w:rsid w:val="00E86960"/>
    <w:rsid w:val="00E91CFC"/>
    <w:rsid w:val="00E9312C"/>
    <w:rsid w:val="00E95A48"/>
    <w:rsid w:val="00E9600B"/>
    <w:rsid w:val="00E96760"/>
    <w:rsid w:val="00E9776E"/>
    <w:rsid w:val="00E97DEF"/>
    <w:rsid w:val="00EA0EBD"/>
    <w:rsid w:val="00EA1AD1"/>
    <w:rsid w:val="00EB07A8"/>
    <w:rsid w:val="00EB5A0E"/>
    <w:rsid w:val="00EB62A3"/>
    <w:rsid w:val="00EC1676"/>
    <w:rsid w:val="00EC7D46"/>
    <w:rsid w:val="00ED1E40"/>
    <w:rsid w:val="00ED715C"/>
    <w:rsid w:val="00ED7ECD"/>
    <w:rsid w:val="00EF06DA"/>
    <w:rsid w:val="00EF3D75"/>
    <w:rsid w:val="00EF6FA4"/>
    <w:rsid w:val="00F02107"/>
    <w:rsid w:val="00F06328"/>
    <w:rsid w:val="00F134D2"/>
    <w:rsid w:val="00F144FD"/>
    <w:rsid w:val="00F167F6"/>
    <w:rsid w:val="00F16DD8"/>
    <w:rsid w:val="00F30C87"/>
    <w:rsid w:val="00F34515"/>
    <w:rsid w:val="00F350F0"/>
    <w:rsid w:val="00F36E01"/>
    <w:rsid w:val="00F3761E"/>
    <w:rsid w:val="00F478BF"/>
    <w:rsid w:val="00F514DC"/>
    <w:rsid w:val="00F54D45"/>
    <w:rsid w:val="00F60EDA"/>
    <w:rsid w:val="00F63C0B"/>
    <w:rsid w:val="00F67B1C"/>
    <w:rsid w:val="00F81E0B"/>
    <w:rsid w:val="00F831C9"/>
    <w:rsid w:val="00F85CEC"/>
    <w:rsid w:val="00F85DF3"/>
    <w:rsid w:val="00FA0E8C"/>
    <w:rsid w:val="00FA4AEE"/>
    <w:rsid w:val="00FB2A7B"/>
    <w:rsid w:val="00FC0D0B"/>
    <w:rsid w:val="00FC34AF"/>
    <w:rsid w:val="00FD76A8"/>
    <w:rsid w:val="00FD76AD"/>
    <w:rsid w:val="00FE1419"/>
    <w:rsid w:val="00FE37F2"/>
    <w:rsid w:val="00FF3898"/>
    <w:rsid w:val="00FF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semiHidden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0E1CD4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</cp:lastModifiedBy>
  <cp:revision>3</cp:revision>
  <dcterms:created xsi:type="dcterms:W3CDTF">2022-04-29T23:28:00Z</dcterms:created>
  <dcterms:modified xsi:type="dcterms:W3CDTF">2022-04-29T23:32:00Z</dcterms:modified>
</cp:coreProperties>
</file>