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5BEAD713" w:rsidR="005F15CC" w:rsidRPr="00BE7BD0" w:rsidRDefault="005F15CC" w:rsidP="005F15C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D46443">
        <w:rPr>
          <w:b/>
          <w:noProof/>
          <w:sz w:val="24"/>
        </w:rPr>
        <w:t>9</w:t>
      </w:r>
      <w:r>
        <w:rPr>
          <w:rFonts w:hint="eastAsia"/>
          <w:b/>
          <w:noProof/>
          <w:sz w:val="24"/>
          <w:lang w:eastAsia="zh-CN"/>
        </w:rPr>
        <w:t>-</w:t>
      </w:r>
      <w:r>
        <w:rPr>
          <w:b/>
          <w:noProof/>
          <w:sz w:val="24"/>
        </w:rPr>
        <w:t>e                                                  R</w:t>
      </w:r>
      <w:r w:rsidR="00BE7BD0">
        <w:rPr>
          <w:b/>
          <w:noProof/>
          <w:sz w:val="24"/>
        </w:rPr>
        <w:t>1</w:t>
      </w:r>
      <w:r w:rsidR="00BE7BD0" w:rsidRPr="00BE7BD0">
        <w:rPr>
          <w:b/>
          <w:noProof/>
          <w:sz w:val="24"/>
        </w:rPr>
        <w:t>-22</w:t>
      </w:r>
      <w:r w:rsidR="00B816BB">
        <w:rPr>
          <w:b/>
          <w:noProof/>
          <w:sz w:val="24"/>
        </w:rPr>
        <w:t>0424</w:t>
      </w:r>
      <w:r w:rsidR="00920D2A">
        <w:rPr>
          <w:b/>
          <w:noProof/>
          <w:sz w:val="24"/>
        </w:rPr>
        <w:t>5</w:t>
      </w:r>
      <w:r>
        <w:rPr>
          <w:b/>
          <w:i/>
          <w:noProof/>
          <w:sz w:val="28"/>
        </w:rPr>
        <w:tab/>
      </w:r>
    </w:p>
    <w:p w14:paraId="2316D562" w14:textId="4C3F9C28" w:rsidR="00AC23CB" w:rsidRPr="007F0E75" w:rsidRDefault="00AC23CB" w:rsidP="00AC23CB">
      <w:pPr>
        <w:tabs>
          <w:tab w:val="center" w:pos="4536"/>
          <w:tab w:val="right" w:pos="9072"/>
        </w:tabs>
        <w:rPr>
          <w:rFonts w:ascii="Arial" w:eastAsia="MS Mincho" w:hAnsi="Arial" w:cs="Arial"/>
          <w:b/>
          <w:bCs/>
          <w:szCs w:val="22"/>
        </w:rPr>
      </w:pPr>
      <w:r w:rsidRPr="007F0E75">
        <w:rPr>
          <w:rFonts w:ascii="Arial" w:eastAsia="MS Mincho" w:hAnsi="Arial" w:cs="Arial"/>
          <w:b/>
          <w:bCs/>
          <w:szCs w:val="22"/>
        </w:rPr>
        <w:t xml:space="preserve">e-Meeting, </w:t>
      </w:r>
      <w:r w:rsidR="00D46443" w:rsidRPr="00A100E4">
        <w:rPr>
          <w:rFonts w:ascii="Arial" w:eastAsia="MS Mincho" w:hAnsi="Arial" w:cs="Arial"/>
          <w:b/>
          <w:bCs/>
          <w:szCs w:val="22"/>
        </w:rPr>
        <w:t>May 9</w:t>
      </w:r>
      <w:r w:rsidR="00D46443" w:rsidRPr="00A100E4">
        <w:rPr>
          <w:rFonts w:ascii="Arial" w:eastAsia="MS Mincho" w:hAnsi="Arial" w:cs="Arial"/>
          <w:b/>
          <w:bCs/>
          <w:szCs w:val="22"/>
          <w:vertAlign w:val="superscript"/>
        </w:rPr>
        <w:t>th</w:t>
      </w:r>
      <w:r w:rsidR="00D46443" w:rsidRPr="00A100E4">
        <w:rPr>
          <w:rFonts w:ascii="Arial" w:eastAsia="MS Mincho" w:hAnsi="Arial" w:cs="Arial"/>
          <w:b/>
          <w:bCs/>
          <w:szCs w:val="22"/>
        </w:rPr>
        <w:t xml:space="preserve"> – 20</w:t>
      </w:r>
      <w:r w:rsidR="00D46443" w:rsidRPr="00A100E4">
        <w:rPr>
          <w:rFonts w:ascii="Arial" w:eastAsia="MS Mincho" w:hAnsi="Arial" w:cs="Arial"/>
          <w:b/>
          <w:bCs/>
          <w:szCs w:val="22"/>
          <w:vertAlign w:val="superscript"/>
        </w:rPr>
        <w:t>th</w:t>
      </w:r>
      <w:r w:rsidR="00D46443"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2639D46"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EF1791">
        <w:rPr>
          <w:sz w:val="22"/>
          <w:szCs w:val="22"/>
        </w:rPr>
        <w:t>3</w:t>
      </w:r>
      <w:r w:rsidR="007A41E3">
        <w:rPr>
          <w:sz w:val="22"/>
          <w:szCs w:val="22"/>
        </w:rPr>
        <w:t>.</w:t>
      </w:r>
      <w:r w:rsidR="00920D2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92FF5DD" w:rsidR="00B23EB7" w:rsidRDefault="00B23EB7" w:rsidP="00B23EB7">
      <w:pPr>
        <w:pStyle w:val="3GPPHeader"/>
        <w:rPr>
          <w:sz w:val="22"/>
          <w:szCs w:val="22"/>
        </w:rPr>
      </w:pPr>
      <w:r w:rsidRPr="00315C6E">
        <w:rPr>
          <w:sz w:val="22"/>
          <w:szCs w:val="22"/>
        </w:rPr>
        <w:t>Title:</w:t>
      </w:r>
      <w:r w:rsidRPr="00315C6E">
        <w:rPr>
          <w:sz w:val="22"/>
          <w:szCs w:val="22"/>
        </w:rPr>
        <w:tab/>
      </w:r>
      <w:r w:rsidR="00C45A30">
        <w:rPr>
          <w:sz w:val="22"/>
          <w:szCs w:val="22"/>
        </w:rPr>
        <w:t xml:space="preserve">Views on </w:t>
      </w:r>
      <w:proofErr w:type="spellStart"/>
      <w:r w:rsidR="00C45A30">
        <w:rPr>
          <w:sz w:val="22"/>
          <w:szCs w:val="22"/>
        </w:rPr>
        <w:t>subband</w:t>
      </w:r>
      <w:proofErr w:type="spellEnd"/>
      <w:r w:rsidR="00C45A30">
        <w:rPr>
          <w:sz w:val="22"/>
          <w:szCs w:val="22"/>
        </w:rPr>
        <w:t xml:space="preserve"> non-overlapping full duplex</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0D5E0470" w:rsidR="00EF1791" w:rsidRDefault="009427D6" w:rsidP="00EF1791">
      <w:pPr>
        <w:tabs>
          <w:tab w:val="left" w:pos="640"/>
        </w:tabs>
        <w:jc w:val="both"/>
        <w:rPr>
          <w:sz w:val="20"/>
          <w:szCs w:val="20"/>
        </w:rPr>
      </w:pPr>
      <w:r w:rsidRPr="00500DE7">
        <w:rPr>
          <w:sz w:val="20"/>
          <w:szCs w:val="20"/>
        </w:rPr>
        <w:t xml:space="preserve">In </w:t>
      </w:r>
      <w:r w:rsidR="00EF1791" w:rsidRPr="00EF1791">
        <w:rPr>
          <w:sz w:val="20"/>
          <w:szCs w:val="20"/>
        </w:rPr>
        <w:t>In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6C843988" w14:textId="77777777" w:rsidR="00C45A30" w:rsidRPr="00C45A30" w:rsidRDefault="00C45A30" w:rsidP="00C45A30">
      <w:pPr>
        <w:numPr>
          <w:ilvl w:val="0"/>
          <w:numId w:val="23"/>
        </w:numPr>
        <w:tabs>
          <w:tab w:val="left" w:pos="640"/>
        </w:tabs>
        <w:jc w:val="both"/>
        <w:rPr>
          <w:rFonts w:ascii="Times" w:eastAsia="Batang" w:hAnsi="Times"/>
          <w:sz w:val="20"/>
          <w:szCs w:val="20"/>
          <w:lang w:eastAsia="x-none"/>
        </w:rPr>
      </w:pPr>
      <w:r w:rsidRPr="00C45A30">
        <w:rPr>
          <w:rFonts w:ascii="Times" w:eastAsia="Batang" w:hAnsi="Times" w:hint="eastAsia"/>
          <w:sz w:val="20"/>
          <w:szCs w:val="20"/>
          <w:lang w:eastAsia="x-none"/>
        </w:rPr>
        <w:t xml:space="preserve">Study </w:t>
      </w:r>
      <w:r w:rsidRPr="00C45A30">
        <w:rPr>
          <w:rFonts w:ascii="Times" w:eastAsia="Batang" w:hAnsi="Times"/>
          <w:sz w:val="20"/>
          <w:szCs w:val="20"/>
          <w:lang w:eastAsia="x-none"/>
        </w:rPr>
        <w:t xml:space="preserve">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 and </w:t>
      </w:r>
      <w:bookmarkStart w:id="0" w:name="_Hlk89796625"/>
      <w:r w:rsidRPr="00C45A30">
        <w:rPr>
          <w:rFonts w:ascii="Times" w:eastAsia="Batang" w:hAnsi="Times"/>
          <w:sz w:val="20"/>
          <w:szCs w:val="20"/>
          <w:lang w:eastAsia="x-none"/>
        </w:rPr>
        <w:t xml:space="preserve">potential enhancements on </w:t>
      </w:r>
      <w:r w:rsidRPr="00C45A30">
        <w:rPr>
          <w:rFonts w:ascii="Times" w:eastAsia="Batang" w:hAnsi="Times"/>
          <w:bCs/>
          <w:sz w:val="20"/>
          <w:szCs w:val="20"/>
          <w:lang w:val="en-GB" w:eastAsia="x-none"/>
        </w:rPr>
        <w:t>dynamic/flexible TDD</w:t>
      </w:r>
      <w:bookmarkEnd w:id="0"/>
      <w:r w:rsidRPr="00C45A30">
        <w:rPr>
          <w:rFonts w:ascii="Times" w:eastAsia="Batang" w:hAnsi="Times"/>
          <w:bCs/>
          <w:sz w:val="20"/>
          <w:szCs w:val="20"/>
          <w:lang w:val="en-GB" w:eastAsia="x-none"/>
        </w:rPr>
        <w:t xml:space="preserve"> (RAN1, RAN4).</w:t>
      </w:r>
    </w:p>
    <w:p w14:paraId="27A00D18"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Identify possible schemes and evaluate their feasibility and performances (RAN1).</w:t>
      </w:r>
    </w:p>
    <w:p w14:paraId="422320C5"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inter-</w:t>
      </w:r>
      <w:proofErr w:type="spellStart"/>
      <w:r w:rsidRPr="00C45A30">
        <w:rPr>
          <w:rFonts w:ascii="Times" w:eastAsia="Batang" w:hAnsi="Times"/>
          <w:bCs/>
          <w:sz w:val="20"/>
          <w:szCs w:val="20"/>
          <w:lang w:val="en-GB" w:eastAsia="x-none"/>
        </w:rPr>
        <w:t>gNB</w:t>
      </w:r>
      <w:proofErr w:type="spellEnd"/>
      <w:r w:rsidRPr="00C45A30">
        <w:rPr>
          <w:rFonts w:ascii="Times" w:eastAsia="Batang" w:hAnsi="Times"/>
          <w:bCs/>
          <w:sz w:val="20"/>
          <w:szCs w:val="20"/>
          <w:lang w:val="en-GB" w:eastAsia="x-none"/>
        </w:rPr>
        <w:t xml:space="preserve"> and inter-UE CLI handling and identify solutions to manage them (RAN1). </w:t>
      </w:r>
    </w:p>
    <w:p w14:paraId="58ACF13E" w14:textId="77777777" w:rsidR="00C45A30" w:rsidRPr="00C45A30" w:rsidRDefault="00C45A30" w:rsidP="00C45A30">
      <w:pPr>
        <w:numPr>
          <w:ilvl w:val="1"/>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Consider intra-</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and inter-</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in case of 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w:t>
      </w:r>
      <w:r w:rsidRPr="00C45A30">
        <w:rPr>
          <w:rFonts w:ascii="Times" w:eastAsia="Batang" w:hAnsi="Times"/>
          <w:bCs/>
          <w:sz w:val="20"/>
          <w:szCs w:val="20"/>
          <w:lang w:val="en-GB" w:eastAsia="x-none"/>
        </w:rPr>
        <w:t>.</w:t>
      </w:r>
    </w:p>
    <w:p w14:paraId="7DAFC2E4"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the performance of the identified schemes as well as the impact on legacy operation assuming their co-existence in co-channel and adjacent channels (RAN1).</w:t>
      </w:r>
    </w:p>
    <w:p w14:paraId="4F9526C1" w14:textId="77777777" w:rsidR="00DE5C43" w:rsidRDefault="00DE5C43" w:rsidP="00EF1791">
      <w:pPr>
        <w:tabs>
          <w:tab w:val="left" w:pos="640"/>
        </w:tabs>
        <w:jc w:val="both"/>
        <w:rPr>
          <w:sz w:val="20"/>
          <w:szCs w:val="20"/>
        </w:rPr>
      </w:pPr>
    </w:p>
    <w:p w14:paraId="7EAE4861" w14:textId="1A19A637" w:rsidR="00EF1791" w:rsidRDefault="00EF1791" w:rsidP="00EF1791">
      <w:pPr>
        <w:tabs>
          <w:tab w:val="left" w:pos="640"/>
        </w:tabs>
        <w:jc w:val="both"/>
        <w:rPr>
          <w:sz w:val="20"/>
          <w:szCs w:val="20"/>
        </w:rPr>
      </w:pPr>
      <w:r w:rsidRPr="00EF1791">
        <w:rPr>
          <w:sz w:val="20"/>
          <w:szCs w:val="20"/>
        </w:rPr>
        <w:t xml:space="preserve">In </w:t>
      </w:r>
      <w:r>
        <w:rPr>
          <w:sz w:val="20"/>
          <w:szCs w:val="20"/>
        </w:rPr>
        <w:t xml:space="preserve">this contribution, we share our </w:t>
      </w:r>
      <w:r w:rsidR="00C45A30">
        <w:rPr>
          <w:sz w:val="20"/>
          <w:szCs w:val="20"/>
        </w:rPr>
        <w:t>views</w:t>
      </w:r>
      <w:r w:rsidR="00DE5C43">
        <w:rPr>
          <w:sz w:val="20"/>
          <w:szCs w:val="20"/>
        </w:rPr>
        <w:t xml:space="preserve"> on </w:t>
      </w:r>
      <w:r w:rsidR="00DE5C43" w:rsidRPr="00EF1791">
        <w:rPr>
          <w:sz w:val="20"/>
          <w:szCs w:val="20"/>
          <w:lang w:val="en-GB"/>
        </w:rPr>
        <w:t>duplex evolution for NR TDD</w:t>
      </w:r>
      <w:r w:rsidR="00DE5C43">
        <w:rPr>
          <w:sz w:val="20"/>
          <w:szCs w:val="20"/>
        </w:rPr>
        <w:t>.</w:t>
      </w:r>
    </w:p>
    <w:p w14:paraId="650A411A" w14:textId="77777777" w:rsidR="00D45853" w:rsidRPr="00EF1791" w:rsidRDefault="00D45853" w:rsidP="00EF1791">
      <w:pPr>
        <w:tabs>
          <w:tab w:val="left" w:pos="640"/>
        </w:tabs>
        <w:jc w:val="both"/>
        <w:rPr>
          <w:sz w:val="20"/>
          <w:szCs w:val="20"/>
        </w:rPr>
      </w:pPr>
    </w:p>
    <w:p w14:paraId="4E51CF29" w14:textId="58BE342C" w:rsidR="004E01AD" w:rsidRDefault="00B5429D" w:rsidP="00FA5BF8">
      <w:pPr>
        <w:pStyle w:val="Heading1"/>
      </w:pPr>
      <w:r>
        <w:t>Interference Management</w:t>
      </w:r>
    </w:p>
    <w:p w14:paraId="1CCBB786" w14:textId="2521300B" w:rsidR="00BC5A1B" w:rsidRDefault="00B5429D" w:rsidP="00B5429D">
      <w:pPr>
        <w:jc w:val="both"/>
        <w:rPr>
          <w:sz w:val="20"/>
          <w:szCs w:val="20"/>
        </w:rPr>
      </w:pPr>
      <w:r>
        <w:rPr>
          <w:sz w:val="20"/>
          <w:szCs w:val="20"/>
        </w:rPr>
        <w:t xml:space="preserve">In our view, a sub-band full-duplex operating </w:t>
      </w:r>
      <w:proofErr w:type="spellStart"/>
      <w:r>
        <w:rPr>
          <w:sz w:val="20"/>
          <w:szCs w:val="20"/>
        </w:rPr>
        <w:t>gNB</w:t>
      </w:r>
      <w:proofErr w:type="spellEnd"/>
      <w:r>
        <w:rPr>
          <w:sz w:val="20"/>
          <w:szCs w:val="20"/>
        </w:rPr>
        <w:t xml:space="preserve"> shall also serve legacy UEs</w:t>
      </w:r>
      <w:r w:rsidR="003B6A47">
        <w:rPr>
          <w:sz w:val="20"/>
          <w:szCs w:val="20"/>
        </w:rPr>
        <w:t xml:space="preserve"> which of course come</w:t>
      </w:r>
      <w:r>
        <w:rPr>
          <w:sz w:val="20"/>
          <w:szCs w:val="20"/>
        </w:rPr>
        <w:t xml:space="preserve"> without any enhanced signaling or new requirements</w:t>
      </w:r>
      <w:r w:rsidR="001C0CB6">
        <w:rPr>
          <w:sz w:val="20"/>
          <w:szCs w:val="20"/>
        </w:rPr>
        <w:t xml:space="preserve"> at the UE. In other words, it shall be transparent to (at least) a legacy UE whether the cell is doing full-duplex or legacy TDD operation</w:t>
      </w:r>
      <w:r>
        <w:rPr>
          <w:sz w:val="20"/>
          <w:szCs w:val="20"/>
        </w:rPr>
        <w:t xml:space="preserve">. </w:t>
      </w:r>
      <w:r w:rsidR="001C0CB6">
        <w:rPr>
          <w:sz w:val="20"/>
          <w:szCs w:val="20"/>
        </w:rPr>
        <w:t>This transparency to UE is achievable</w:t>
      </w:r>
      <w:r>
        <w:rPr>
          <w:sz w:val="20"/>
          <w:szCs w:val="20"/>
        </w:rPr>
        <w:t xml:space="preserve"> </w:t>
      </w:r>
      <w:r w:rsidR="001C0CB6">
        <w:rPr>
          <w:sz w:val="20"/>
          <w:szCs w:val="20"/>
        </w:rPr>
        <w:t>by</w:t>
      </w:r>
      <w:r w:rsidR="00BC5A1B">
        <w:rPr>
          <w:sz w:val="20"/>
          <w:szCs w:val="20"/>
        </w:rPr>
        <w:t xml:space="preserve"> scheduler, when:</w:t>
      </w:r>
    </w:p>
    <w:p w14:paraId="77FD1EA4" w14:textId="68824767" w:rsidR="00BC5A1B" w:rsidRDefault="00BC5A1B" w:rsidP="00BC5A1B">
      <w:pPr>
        <w:pStyle w:val="ListParagraph"/>
        <w:numPr>
          <w:ilvl w:val="0"/>
          <w:numId w:val="24"/>
        </w:numPr>
        <w:ind w:leftChars="0"/>
        <w:jc w:val="both"/>
        <w:rPr>
          <w:szCs w:val="20"/>
        </w:rPr>
      </w:pPr>
      <w:r>
        <w:rPr>
          <w:szCs w:val="20"/>
        </w:rPr>
        <w:t xml:space="preserve">There </w:t>
      </w:r>
      <w:r w:rsidRPr="00BC5A1B">
        <w:rPr>
          <w:szCs w:val="20"/>
        </w:rPr>
        <w:t xml:space="preserve">exists enough gap (which will be identified as part of this study) between allocated RBs to </w:t>
      </w:r>
      <w:r>
        <w:rPr>
          <w:szCs w:val="20"/>
        </w:rPr>
        <w:t>the v</w:t>
      </w:r>
      <w:r w:rsidRPr="00BC5A1B">
        <w:rPr>
          <w:szCs w:val="20"/>
        </w:rPr>
        <w:t xml:space="preserve">ictim UE, </w:t>
      </w:r>
      <w:proofErr w:type="spellStart"/>
      <w:r w:rsidRPr="00BC5A1B">
        <w:rPr>
          <w:szCs w:val="20"/>
        </w:rPr>
        <w:t>UE</w:t>
      </w:r>
      <w:r w:rsidRPr="00BC5A1B">
        <w:rPr>
          <w:szCs w:val="20"/>
          <w:vertAlign w:val="subscript"/>
        </w:rPr>
        <w:t>v</w:t>
      </w:r>
      <w:proofErr w:type="spellEnd"/>
      <w:r w:rsidRPr="00BC5A1B">
        <w:rPr>
          <w:szCs w:val="20"/>
        </w:rPr>
        <w:t>, and aggressor UE, UE</w:t>
      </w:r>
      <w:r w:rsidRPr="00BC5A1B">
        <w:rPr>
          <w:szCs w:val="20"/>
          <w:vertAlign w:val="subscript"/>
        </w:rPr>
        <w:t>A</w:t>
      </w:r>
      <w:r>
        <w:rPr>
          <w:szCs w:val="20"/>
        </w:rPr>
        <w:t>, and/or</w:t>
      </w:r>
    </w:p>
    <w:p w14:paraId="4F4450E7" w14:textId="64BB3C5E" w:rsidR="001C0CB6" w:rsidRPr="002F33E1" w:rsidRDefault="00BC5A1B" w:rsidP="002F33E1">
      <w:pPr>
        <w:pStyle w:val="ListParagraph"/>
        <w:numPr>
          <w:ilvl w:val="0"/>
          <w:numId w:val="24"/>
        </w:numPr>
        <w:ind w:leftChars="0"/>
        <w:jc w:val="both"/>
        <w:rPr>
          <w:szCs w:val="20"/>
        </w:rPr>
      </w:pPr>
      <w:r>
        <w:rPr>
          <w:szCs w:val="20"/>
        </w:rPr>
        <w:t>UE</w:t>
      </w:r>
      <w:r>
        <w:rPr>
          <w:szCs w:val="20"/>
          <w:vertAlign w:val="subscript"/>
        </w:rPr>
        <w:t>V</w:t>
      </w:r>
      <w:r>
        <w:rPr>
          <w:szCs w:val="20"/>
        </w:rPr>
        <w:t xml:space="preserve"> and UE</w:t>
      </w:r>
      <w:r>
        <w:rPr>
          <w:szCs w:val="20"/>
          <w:vertAlign w:val="subscript"/>
        </w:rPr>
        <w:t>A</w:t>
      </w:r>
      <w:r>
        <w:rPr>
          <w:szCs w:val="20"/>
        </w:rPr>
        <w:t xml:space="preserve"> are </w:t>
      </w:r>
      <w:r w:rsidR="001C0CB6" w:rsidRPr="00BC5A1B">
        <w:rPr>
          <w:szCs w:val="20"/>
        </w:rPr>
        <w:t>spatially uncorrelated</w:t>
      </w:r>
      <w:r>
        <w:rPr>
          <w:szCs w:val="20"/>
        </w:rPr>
        <w:t xml:space="preserve">. This itself is already </w:t>
      </w:r>
      <w:r w:rsidR="003B6A47">
        <w:rPr>
          <w:szCs w:val="20"/>
        </w:rPr>
        <w:t>known by the</w:t>
      </w:r>
      <w:r>
        <w:rPr>
          <w:szCs w:val="20"/>
        </w:rPr>
        <w:t xml:space="preserve"> network</w:t>
      </w:r>
      <w:r w:rsidR="003B6A47">
        <w:rPr>
          <w:szCs w:val="20"/>
        </w:rPr>
        <w:t>, given that network</w:t>
      </w:r>
      <w:r>
        <w:rPr>
          <w:szCs w:val="20"/>
        </w:rPr>
        <w:t xml:space="preserve"> should know (</w:t>
      </w:r>
      <w:proofErr w:type="gramStart"/>
      <w:r>
        <w:rPr>
          <w:szCs w:val="20"/>
        </w:rPr>
        <w:t>e.g.</w:t>
      </w:r>
      <w:proofErr w:type="gramEnd"/>
      <w:r>
        <w:rPr>
          <w:szCs w:val="20"/>
        </w:rPr>
        <w:t xml:space="preserve"> through some basic positioning techniques) which UEs are close-by</w:t>
      </w:r>
      <w:r w:rsidR="003B6A47">
        <w:rPr>
          <w:szCs w:val="20"/>
        </w:rPr>
        <w:t xml:space="preserve"> UEs</w:t>
      </w:r>
      <w:r w:rsidR="002F33E1">
        <w:rPr>
          <w:szCs w:val="20"/>
        </w:rPr>
        <w:t>.</w:t>
      </w:r>
    </w:p>
    <w:p w14:paraId="665DB461" w14:textId="7E07D0D0" w:rsidR="00FB414C" w:rsidRDefault="00FB414C" w:rsidP="00FB414C">
      <w:pPr>
        <w:jc w:val="both"/>
        <w:rPr>
          <w:sz w:val="20"/>
          <w:szCs w:val="20"/>
        </w:rPr>
      </w:pPr>
    </w:p>
    <w:p w14:paraId="0CE2C6A2" w14:textId="274101B5" w:rsidR="003B6A47" w:rsidRDefault="003B6A47" w:rsidP="00FB414C">
      <w:pPr>
        <w:jc w:val="both"/>
        <w:rPr>
          <w:sz w:val="20"/>
          <w:szCs w:val="20"/>
        </w:rPr>
      </w:pPr>
      <w:r>
        <w:rPr>
          <w:sz w:val="20"/>
          <w:szCs w:val="20"/>
        </w:rPr>
        <w:t xml:space="preserve">Thus, unless for some </w:t>
      </w:r>
      <w:r w:rsidR="004A69A3">
        <w:rPr>
          <w:sz w:val="20"/>
          <w:szCs w:val="20"/>
        </w:rPr>
        <w:t>special</w:t>
      </w:r>
      <w:r>
        <w:rPr>
          <w:sz w:val="20"/>
          <w:szCs w:val="20"/>
        </w:rPr>
        <w:t xml:space="preserve"> mission critical services, where there is no room for </w:t>
      </w:r>
      <w:r w:rsidRPr="003B6A47">
        <w:rPr>
          <w:sz w:val="20"/>
          <w:szCs w:val="20"/>
        </w:rPr>
        <w:t>UE</w:t>
      </w:r>
      <w:r w:rsidRPr="003B6A47">
        <w:rPr>
          <w:sz w:val="20"/>
          <w:szCs w:val="20"/>
          <w:vertAlign w:val="subscript"/>
        </w:rPr>
        <w:t>V</w:t>
      </w:r>
      <w:r w:rsidRPr="003B6A47">
        <w:rPr>
          <w:sz w:val="20"/>
          <w:szCs w:val="20"/>
        </w:rPr>
        <w:t xml:space="preserve"> </w:t>
      </w:r>
      <w:r w:rsidR="0074708B">
        <w:rPr>
          <w:sz w:val="20"/>
          <w:szCs w:val="20"/>
        </w:rPr>
        <w:t>or</w:t>
      </w:r>
      <w:r w:rsidRPr="003B6A47">
        <w:rPr>
          <w:sz w:val="20"/>
          <w:szCs w:val="20"/>
        </w:rPr>
        <w:t xml:space="preserve"> UE</w:t>
      </w:r>
      <w:r w:rsidRPr="003B6A47">
        <w:rPr>
          <w:sz w:val="20"/>
          <w:szCs w:val="20"/>
          <w:vertAlign w:val="subscript"/>
        </w:rPr>
        <w:t>A</w:t>
      </w:r>
      <w:r w:rsidRPr="003B6A47">
        <w:rPr>
          <w:sz w:val="20"/>
          <w:szCs w:val="20"/>
        </w:rPr>
        <w:t xml:space="preserve"> </w:t>
      </w:r>
      <w:r>
        <w:rPr>
          <w:sz w:val="20"/>
          <w:szCs w:val="20"/>
        </w:rPr>
        <w:t xml:space="preserve">to be scheduled </w:t>
      </w:r>
      <w:r w:rsidR="0074708B">
        <w:rPr>
          <w:sz w:val="20"/>
          <w:szCs w:val="20"/>
        </w:rPr>
        <w:t xml:space="preserve">in </w:t>
      </w:r>
      <w:r>
        <w:rPr>
          <w:sz w:val="20"/>
          <w:szCs w:val="20"/>
        </w:rPr>
        <w:t>another time or frequency</w:t>
      </w:r>
      <w:r w:rsidR="0074708B">
        <w:rPr>
          <w:sz w:val="20"/>
          <w:szCs w:val="20"/>
        </w:rPr>
        <w:t xml:space="preserve"> resources</w:t>
      </w:r>
      <w:r>
        <w:rPr>
          <w:sz w:val="20"/>
          <w:szCs w:val="20"/>
        </w:rPr>
        <w:t xml:space="preserve">, UE-to-UE CLI is not excepted for regular scenarios, where naturally scheduler is able to avoid CLI. </w:t>
      </w:r>
    </w:p>
    <w:p w14:paraId="08E823DE" w14:textId="77777777" w:rsidR="003B6A47" w:rsidRDefault="003B6A47" w:rsidP="00FB414C">
      <w:pPr>
        <w:jc w:val="both"/>
        <w:rPr>
          <w:sz w:val="20"/>
          <w:szCs w:val="20"/>
        </w:rPr>
      </w:pPr>
    </w:p>
    <w:p w14:paraId="6B72B83C" w14:textId="2DA5200B" w:rsidR="00FB414C" w:rsidRPr="00FB414C" w:rsidRDefault="00FB414C" w:rsidP="00FB414C">
      <w:pPr>
        <w:jc w:val="both"/>
        <w:rPr>
          <w:rFonts w:cs="Batang"/>
          <w:b/>
          <w:bCs/>
          <w:i/>
          <w:iCs/>
          <w:sz w:val="20"/>
          <w:szCs w:val="20"/>
        </w:rPr>
      </w:pPr>
      <w:r w:rsidRPr="00FB414C">
        <w:rPr>
          <w:rFonts w:cs="Batang"/>
          <w:b/>
          <w:bCs/>
          <w:i/>
          <w:iCs/>
          <w:sz w:val="20"/>
          <w:szCs w:val="20"/>
        </w:rPr>
        <w:t xml:space="preserve">Proposal </w:t>
      </w:r>
      <w:r>
        <w:rPr>
          <w:rFonts w:cs="Batang"/>
          <w:b/>
          <w:bCs/>
          <w:i/>
          <w:iCs/>
          <w:sz w:val="20"/>
          <w:szCs w:val="20"/>
        </w:rPr>
        <w:t>1</w:t>
      </w:r>
      <w:r w:rsidRPr="00FB414C">
        <w:rPr>
          <w:rFonts w:cs="Batang"/>
          <w:b/>
          <w:bCs/>
          <w:i/>
          <w:iCs/>
          <w:sz w:val="20"/>
          <w:szCs w:val="20"/>
        </w:rPr>
        <w:t xml:space="preserve">: </w:t>
      </w:r>
      <w:r>
        <w:rPr>
          <w:rFonts w:cs="Batang"/>
          <w:b/>
          <w:bCs/>
          <w:i/>
          <w:iCs/>
          <w:sz w:val="20"/>
          <w:szCs w:val="20"/>
        </w:rPr>
        <w:t>S</w:t>
      </w:r>
      <w:r w:rsidRPr="00FB414C">
        <w:rPr>
          <w:rFonts w:cs="Batang"/>
          <w:b/>
          <w:bCs/>
          <w:i/>
          <w:iCs/>
          <w:sz w:val="20"/>
          <w:szCs w:val="20"/>
        </w:rPr>
        <w:t xml:space="preserve">cheduler </w:t>
      </w:r>
      <w:r>
        <w:rPr>
          <w:rFonts w:cs="Batang"/>
          <w:b/>
          <w:bCs/>
          <w:i/>
          <w:iCs/>
          <w:sz w:val="20"/>
          <w:szCs w:val="20"/>
        </w:rPr>
        <w:t xml:space="preserve">shall </w:t>
      </w:r>
      <w:r w:rsidR="0074708B">
        <w:rPr>
          <w:rFonts w:cs="Batang"/>
          <w:b/>
          <w:bCs/>
          <w:i/>
          <w:iCs/>
          <w:sz w:val="20"/>
          <w:szCs w:val="20"/>
        </w:rPr>
        <w:t xml:space="preserve">strive to </w:t>
      </w:r>
      <w:r w:rsidRPr="00FB414C">
        <w:rPr>
          <w:rFonts w:cs="Batang"/>
          <w:b/>
          <w:bCs/>
          <w:i/>
          <w:iCs/>
          <w:sz w:val="20"/>
          <w:szCs w:val="20"/>
        </w:rPr>
        <w:t>avoid</w:t>
      </w:r>
      <w:r>
        <w:rPr>
          <w:rFonts w:cs="Batang"/>
          <w:b/>
          <w:bCs/>
          <w:i/>
          <w:iCs/>
          <w:sz w:val="20"/>
          <w:szCs w:val="20"/>
        </w:rPr>
        <w:t xml:space="preserve"> UE-to-UE</w:t>
      </w:r>
      <w:r w:rsidRPr="00FB414C">
        <w:rPr>
          <w:rFonts w:cs="Batang"/>
          <w:b/>
          <w:bCs/>
          <w:i/>
          <w:iCs/>
          <w:sz w:val="20"/>
          <w:szCs w:val="20"/>
        </w:rPr>
        <w:t xml:space="preserve"> CLI, e.g., by </w:t>
      </w:r>
      <w:r>
        <w:rPr>
          <w:rFonts w:cs="Batang"/>
          <w:b/>
          <w:bCs/>
          <w:i/>
          <w:iCs/>
          <w:sz w:val="20"/>
          <w:szCs w:val="20"/>
        </w:rPr>
        <w:t xml:space="preserve">ensuring </w:t>
      </w:r>
      <w:r w:rsidRPr="00FB414C">
        <w:rPr>
          <w:rFonts w:cs="Batang"/>
          <w:b/>
          <w:bCs/>
          <w:i/>
          <w:iCs/>
          <w:sz w:val="20"/>
          <w:szCs w:val="20"/>
        </w:rPr>
        <w:t>separation of aggressor/victim UEs in frequency and/or space</w:t>
      </w:r>
      <w:r>
        <w:rPr>
          <w:rFonts w:cs="Batang"/>
          <w:b/>
          <w:bCs/>
          <w:i/>
          <w:iCs/>
          <w:sz w:val="20"/>
          <w:szCs w:val="20"/>
        </w:rPr>
        <w:t>, based on existing signaling.</w:t>
      </w:r>
    </w:p>
    <w:p w14:paraId="7AF34AD9" w14:textId="75F2BE1F" w:rsidR="00B750B7" w:rsidRDefault="00B750B7" w:rsidP="00B5429D">
      <w:pPr>
        <w:jc w:val="both"/>
        <w:rPr>
          <w:sz w:val="20"/>
          <w:szCs w:val="20"/>
        </w:rPr>
      </w:pPr>
    </w:p>
    <w:p w14:paraId="4C55BD49" w14:textId="5D72882A" w:rsidR="003B6A47" w:rsidRPr="00B750B7" w:rsidRDefault="002D2BEB" w:rsidP="00B750B7">
      <w:pPr>
        <w:pStyle w:val="Heading2"/>
      </w:pPr>
      <w:r>
        <w:t>Identifying victim</w:t>
      </w:r>
      <w:r w:rsidR="00B750B7">
        <w:t xml:space="preserve"> and aggressor</w:t>
      </w:r>
      <w:r>
        <w:t xml:space="preserve"> UEs</w:t>
      </w:r>
    </w:p>
    <w:p w14:paraId="6240117A" w14:textId="1C9245A6" w:rsidR="0060618C" w:rsidRDefault="00B5429D" w:rsidP="00B5429D">
      <w:pPr>
        <w:jc w:val="both"/>
        <w:rPr>
          <w:sz w:val="20"/>
          <w:szCs w:val="20"/>
        </w:rPr>
      </w:pPr>
      <w:r w:rsidRPr="00B5429D">
        <w:rPr>
          <w:sz w:val="20"/>
          <w:szCs w:val="20"/>
        </w:rPr>
        <w:t xml:space="preserve">If </w:t>
      </w:r>
      <w:r w:rsidR="00B67045">
        <w:rPr>
          <w:sz w:val="20"/>
          <w:szCs w:val="20"/>
        </w:rPr>
        <w:t xml:space="preserve">there is no mechanism to identify </w:t>
      </w:r>
      <w:r w:rsidR="00DB652D">
        <w:rPr>
          <w:sz w:val="20"/>
          <w:szCs w:val="20"/>
        </w:rPr>
        <w:t xml:space="preserve">potential </w:t>
      </w:r>
      <w:r w:rsidRPr="00B5429D">
        <w:rPr>
          <w:sz w:val="20"/>
          <w:szCs w:val="20"/>
        </w:rPr>
        <w:t>victim UE</w:t>
      </w:r>
      <w:r w:rsidR="00B67045">
        <w:rPr>
          <w:sz w:val="20"/>
          <w:szCs w:val="20"/>
        </w:rPr>
        <w:t>s</w:t>
      </w:r>
      <w:r w:rsidRPr="00B5429D">
        <w:rPr>
          <w:sz w:val="20"/>
          <w:szCs w:val="20"/>
        </w:rPr>
        <w:t xml:space="preserve">, </w:t>
      </w:r>
      <w:r w:rsidR="00B67045">
        <w:rPr>
          <w:sz w:val="20"/>
          <w:szCs w:val="20"/>
        </w:rPr>
        <w:t xml:space="preserve">an unprotected transmission by the aggressor UE may severely impact a nearby victim UE. On the other hand, blindly </w:t>
      </w:r>
      <w:r w:rsidRPr="00B5429D">
        <w:rPr>
          <w:sz w:val="20"/>
          <w:szCs w:val="20"/>
        </w:rPr>
        <w:t xml:space="preserve">applying </w:t>
      </w:r>
      <w:r w:rsidR="00B67045">
        <w:rPr>
          <w:sz w:val="20"/>
          <w:szCs w:val="20"/>
        </w:rPr>
        <w:t xml:space="preserve">restrictions </w:t>
      </w:r>
      <w:r w:rsidRPr="00B5429D">
        <w:rPr>
          <w:sz w:val="20"/>
          <w:szCs w:val="20"/>
        </w:rPr>
        <w:t xml:space="preserve">to </w:t>
      </w:r>
      <w:r w:rsidR="008F533C">
        <w:rPr>
          <w:sz w:val="20"/>
          <w:szCs w:val="20"/>
        </w:rPr>
        <w:t>a</w:t>
      </w:r>
      <w:r w:rsidRPr="00B5429D">
        <w:rPr>
          <w:sz w:val="20"/>
          <w:szCs w:val="20"/>
        </w:rPr>
        <w:t xml:space="preserve"> UE</w:t>
      </w:r>
      <w:r w:rsidR="008F533C">
        <w:rPr>
          <w:sz w:val="20"/>
          <w:szCs w:val="20"/>
        </w:rPr>
        <w:t xml:space="preserve"> in uplink transmission</w:t>
      </w:r>
      <w:r w:rsidRPr="00B5429D">
        <w:rPr>
          <w:sz w:val="20"/>
          <w:szCs w:val="20"/>
        </w:rPr>
        <w:t xml:space="preserve"> </w:t>
      </w:r>
      <w:r w:rsidR="00B67045">
        <w:rPr>
          <w:sz w:val="20"/>
          <w:szCs w:val="20"/>
        </w:rPr>
        <w:t xml:space="preserve">(like reducing </w:t>
      </w:r>
      <w:r w:rsidR="008F533C">
        <w:rPr>
          <w:sz w:val="20"/>
          <w:szCs w:val="20"/>
        </w:rPr>
        <w:t xml:space="preserve">uplink </w:t>
      </w:r>
      <w:r w:rsidR="00B67045">
        <w:rPr>
          <w:sz w:val="20"/>
          <w:szCs w:val="20"/>
        </w:rPr>
        <w:t>transmit</w:t>
      </w:r>
      <w:r w:rsidR="00B67045" w:rsidRPr="00B5429D">
        <w:rPr>
          <w:sz w:val="20"/>
          <w:szCs w:val="20"/>
        </w:rPr>
        <w:t xml:space="preserve"> power</w:t>
      </w:r>
      <w:r w:rsidR="00B67045">
        <w:rPr>
          <w:sz w:val="20"/>
          <w:szCs w:val="20"/>
        </w:rPr>
        <w:t>)</w:t>
      </w:r>
      <w:r w:rsidR="008F533C">
        <w:rPr>
          <w:sz w:val="20"/>
          <w:szCs w:val="20"/>
        </w:rPr>
        <w:t xml:space="preserve"> can also unnecessarily impact the performance of the UE in uplink transmission, when there has been no nearby victim UE. </w:t>
      </w:r>
      <w:r w:rsidR="00DB652D">
        <w:rPr>
          <w:sz w:val="20"/>
          <w:szCs w:val="20"/>
        </w:rPr>
        <w:t>So,</w:t>
      </w:r>
      <w:r w:rsidR="008F533C">
        <w:rPr>
          <w:sz w:val="20"/>
          <w:szCs w:val="20"/>
        </w:rPr>
        <w:t xml:space="preserve"> it is crucial to have a mechanism based on which </w:t>
      </w:r>
      <w:r w:rsidR="008F533C" w:rsidRPr="008F533C">
        <w:rPr>
          <w:sz w:val="20"/>
          <w:szCs w:val="20"/>
        </w:rPr>
        <w:t>UE</w:t>
      </w:r>
      <w:r w:rsidR="008F533C" w:rsidRPr="008F533C">
        <w:rPr>
          <w:sz w:val="20"/>
          <w:szCs w:val="20"/>
          <w:vertAlign w:val="subscript"/>
        </w:rPr>
        <w:t>V</w:t>
      </w:r>
      <w:r w:rsidR="008F533C" w:rsidRPr="008F533C">
        <w:rPr>
          <w:sz w:val="20"/>
          <w:szCs w:val="20"/>
        </w:rPr>
        <w:t xml:space="preserve"> and UE</w:t>
      </w:r>
      <w:r w:rsidR="008F533C" w:rsidRPr="008F533C">
        <w:rPr>
          <w:sz w:val="20"/>
          <w:szCs w:val="20"/>
          <w:vertAlign w:val="subscript"/>
        </w:rPr>
        <w:t>A</w:t>
      </w:r>
      <w:r w:rsidR="008F533C" w:rsidRPr="008F533C">
        <w:rPr>
          <w:sz w:val="20"/>
          <w:szCs w:val="20"/>
        </w:rPr>
        <w:t xml:space="preserve"> are</w:t>
      </w:r>
      <w:r w:rsidR="008F533C">
        <w:rPr>
          <w:sz w:val="20"/>
          <w:szCs w:val="20"/>
        </w:rPr>
        <w:t xml:space="preserve"> identified. </w:t>
      </w:r>
      <w:r w:rsidR="00DB652D">
        <w:rPr>
          <w:sz w:val="20"/>
          <w:szCs w:val="20"/>
        </w:rPr>
        <w:t xml:space="preserve">It is also important that such a procedure identifies legacy victim UEs, for which no additional enhancement is envisioned. To achieve this goal, network can repurpose some of the existing signaling. For example, potential victim UE can be indicated to transmit SRS (e.g., before PDSCH reception), </w:t>
      </w:r>
      <w:r w:rsidR="00DB652D">
        <w:rPr>
          <w:sz w:val="20"/>
          <w:szCs w:val="20"/>
        </w:rPr>
        <w:lastRenderedPageBreak/>
        <w:t>where SRS indication in DL DCI is already specified</w:t>
      </w:r>
      <w:r w:rsidR="00F60A71">
        <w:rPr>
          <w:sz w:val="20"/>
          <w:szCs w:val="20"/>
        </w:rPr>
        <w:t xml:space="preserve">, so the purpose of this SRS transmission is transparent to the potential </w:t>
      </w:r>
      <w:r w:rsidR="00F60A71" w:rsidRPr="008F533C">
        <w:rPr>
          <w:sz w:val="20"/>
          <w:szCs w:val="20"/>
        </w:rPr>
        <w:t>UE</w:t>
      </w:r>
      <w:r w:rsidR="00F60A71" w:rsidRPr="008F533C">
        <w:rPr>
          <w:sz w:val="20"/>
          <w:szCs w:val="20"/>
          <w:vertAlign w:val="subscript"/>
        </w:rPr>
        <w:t>V</w:t>
      </w:r>
      <w:r w:rsidR="00DB652D">
        <w:rPr>
          <w:sz w:val="20"/>
          <w:szCs w:val="20"/>
        </w:rPr>
        <w:t xml:space="preserve">. </w:t>
      </w:r>
      <w:r w:rsidR="00F60A71">
        <w:rPr>
          <w:sz w:val="20"/>
          <w:szCs w:val="20"/>
        </w:rPr>
        <w:t>In addition, SRS measurement (</w:t>
      </w:r>
      <w:r w:rsidR="00B12A9A">
        <w:rPr>
          <w:sz w:val="20"/>
          <w:szCs w:val="20"/>
        </w:rPr>
        <w:t>e.g.,</w:t>
      </w:r>
      <w:r w:rsidR="00F60A71">
        <w:rPr>
          <w:sz w:val="20"/>
          <w:szCs w:val="20"/>
        </w:rPr>
        <w:t xml:space="preserve"> SRS_RSRP) is already specified in Rel-16 for a victim UE, a similar mechanism can be considered for this study, although here it will be the aggressor UE which is asked to measure SRS_RSRP over SRS transmitted by victim UE, and possibly refrain from uplink transmission if that SRS-RSRP is more than a configured threshold.</w:t>
      </w:r>
      <w:r w:rsidR="00DB652D">
        <w:rPr>
          <w:sz w:val="20"/>
          <w:szCs w:val="20"/>
        </w:rPr>
        <w:t xml:space="preserve">  </w:t>
      </w:r>
      <w:r w:rsidR="0060618C">
        <w:rPr>
          <w:sz w:val="20"/>
          <w:szCs w:val="20"/>
        </w:rPr>
        <w:t xml:space="preserve">Figure 1 gives an example of the procedure. </w:t>
      </w:r>
    </w:p>
    <w:p w14:paraId="1B147912" w14:textId="4038EA59" w:rsidR="00A87388" w:rsidRDefault="00A87388" w:rsidP="00B5429D">
      <w:pPr>
        <w:jc w:val="both"/>
        <w:rPr>
          <w:sz w:val="20"/>
          <w:szCs w:val="20"/>
        </w:rPr>
      </w:pPr>
    </w:p>
    <w:p w14:paraId="62831F83" w14:textId="5B5DA546" w:rsidR="00A87388" w:rsidRDefault="00A87388" w:rsidP="00A87388">
      <w:pPr>
        <w:jc w:val="center"/>
        <w:rPr>
          <w:sz w:val="20"/>
          <w:szCs w:val="20"/>
        </w:rPr>
      </w:pPr>
      <w:r w:rsidRPr="00A87388">
        <w:rPr>
          <w:noProof/>
          <w:sz w:val="20"/>
          <w:szCs w:val="20"/>
        </w:rPr>
        <w:drawing>
          <wp:inline distT="0" distB="0" distL="0" distR="0" wp14:anchorId="7B0D962A" wp14:editId="6B78F346">
            <wp:extent cx="2791079" cy="1335819"/>
            <wp:effectExtent l="0" t="0" r="317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5"/>
                    <a:stretch>
                      <a:fillRect/>
                    </a:stretch>
                  </pic:blipFill>
                  <pic:spPr>
                    <a:xfrm>
                      <a:off x="0" y="0"/>
                      <a:ext cx="2817514" cy="1348471"/>
                    </a:xfrm>
                    <a:prstGeom prst="rect">
                      <a:avLst/>
                    </a:prstGeom>
                  </pic:spPr>
                </pic:pic>
              </a:graphicData>
            </a:graphic>
          </wp:inline>
        </w:drawing>
      </w:r>
    </w:p>
    <w:p w14:paraId="6593BC90" w14:textId="7F070D9D" w:rsidR="00A87388" w:rsidRDefault="00A87388" w:rsidP="00A87388">
      <w:pPr>
        <w:pStyle w:val="TH"/>
        <w:rPr>
          <w:lang w:val="en-US"/>
        </w:rPr>
      </w:pPr>
      <w:r>
        <w:rPr>
          <w:rFonts w:eastAsia="SimSun"/>
          <w:kern w:val="24"/>
          <w:lang w:val="en-GB" w:eastAsia="ja-JP"/>
        </w:rPr>
        <w:t>Figure 1</w:t>
      </w:r>
      <w:r>
        <w:rPr>
          <w:lang w:val="en-US"/>
        </w:rPr>
        <w:t>: SRS transmission and measurement to identify UE</w:t>
      </w:r>
      <w:r>
        <w:rPr>
          <w:vertAlign w:val="subscript"/>
          <w:lang w:val="en-US"/>
        </w:rPr>
        <w:t>V</w:t>
      </w:r>
      <w:r>
        <w:rPr>
          <w:lang w:val="en-US"/>
        </w:rPr>
        <w:t xml:space="preserve"> and UE</w:t>
      </w:r>
      <w:r>
        <w:rPr>
          <w:vertAlign w:val="subscript"/>
          <w:lang w:val="en-US"/>
        </w:rPr>
        <w:t>A</w:t>
      </w:r>
      <w:r>
        <w:rPr>
          <w:lang w:val="en-US"/>
        </w:rPr>
        <w:t xml:space="preserve">. </w:t>
      </w:r>
    </w:p>
    <w:p w14:paraId="329A53F5" w14:textId="77777777" w:rsidR="00A87388" w:rsidRDefault="00A87388" w:rsidP="00A87388">
      <w:pPr>
        <w:jc w:val="center"/>
        <w:rPr>
          <w:sz w:val="20"/>
          <w:szCs w:val="20"/>
        </w:rPr>
      </w:pPr>
    </w:p>
    <w:p w14:paraId="4B238E38" w14:textId="77777777" w:rsidR="00A87388" w:rsidRDefault="00A87388" w:rsidP="00B5429D">
      <w:pPr>
        <w:jc w:val="both"/>
        <w:rPr>
          <w:sz w:val="20"/>
          <w:szCs w:val="20"/>
        </w:rPr>
      </w:pPr>
    </w:p>
    <w:p w14:paraId="40953BEB" w14:textId="5F51407B" w:rsidR="00B5429D" w:rsidRPr="00B5429D" w:rsidRDefault="0060618C" w:rsidP="00B5429D">
      <w:pPr>
        <w:jc w:val="both"/>
        <w:rPr>
          <w:sz w:val="20"/>
          <w:szCs w:val="20"/>
        </w:rPr>
      </w:pPr>
      <w:r>
        <w:rPr>
          <w:sz w:val="20"/>
          <w:szCs w:val="20"/>
        </w:rPr>
        <w:t>Based on what we discussed, the following is proposed.</w:t>
      </w:r>
    </w:p>
    <w:p w14:paraId="246E0631" w14:textId="5730973F" w:rsidR="006D4F66" w:rsidRPr="006D4F66" w:rsidRDefault="00A2619E" w:rsidP="005E5E14">
      <w:pPr>
        <w:jc w:val="both"/>
        <w:rPr>
          <w:sz w:val="20"/>
          <w:szCs w:val="20"/>
        </w:rPr>
      </w:pPr>
      <w:r>
        <w:rPr>
          <w:sz w:val="20"/>
          <w:szCs w:val="20"/>
          <w:lang w:val="en-GB"/>
        </w:rPr>
        <w:t xml:space="preserve"> </w:t>
      </w:r>
      <w:r w:rsidR="006D4F66" w:rsidRPr="006D4F66">
        <w:rPr>
          <w:sz w:val="20"/>
          <w:szCs w:val="20"/>
          <w:lang w:val="en-GB"/>
        </w:rPr>
        <w:t xml:space="preserve"> </w:t>
      </w:r>
    </w:p>
    <w:p w14:paraId="2DBF72EE" w14:textId="708F0D25" w:rsidR="0060618C" w:rsidRDefault="000115C8" w:rsidP="0060618C">
      <w:pPr>
        <w:pStyle w:val="0Maintext"/>
        <w:spacing w:after="120" w:afterAutospacing="0" w:line="240" w:lineRule="auto"/>
        <w:ind w:firstLine="0"/>
        <w:rPr>
          <w:b/>
          <w:bCs/>
          <w:i/>
          <w:iCs/>
        </w:rPr>
      </w:pPr>
      <w:r w:rsidRPr="00E96C6C">
        <w:rPr>
          <w:b/>
          <w:bCs/>
          <w:i/>
          <w:iCs/>
          <w:lang w:val="en-US" w:eastAsia="zh-CN"/>
        </w:rPr>
        <w:t>Proposa</w:t>
      </w:r>
      <w:r>
        <w:rPr>
          <w:b/>
          <w:bCs/>
          <w:i/>
          <w:iCs/>
          <w:lang w:val="en-US" w:eastAsia="zh-CN"/>
        </w:rPr>
        <w:t xml:space="preserve">l </w:t>
      </w:r>
      <w:r w:rsidR="00F60A71">
        <w:rPr>
          <w:b/>
          <w:bCs/>
          <w:i/>
          <w:iCs/>
          <w:lang w:val="en-US" w:eastAsia="zh-CN"/>
        </w:rPr>
        <w:t>2</w:t>
      </w:r>
      <w:r w:rsidRPr="00E96C6C">
        <w:rPr>
          <w:b/>
          <w:bCs/>
          <w:i/>
          <w:iCs/>
          <w:lang w:val="en-US" w:eastAsia="zh-CN"/>
        </w:rPr>
        <w:t>:</w:t>
      </w:r>
      <w:r w:rsidR="0060618C">
        <w:rPr>
          <w:b/>
          <w:bCs/>
          <w:i/>
          <w:iCs/>
          <w:lang w:val="en-US" w:eastAsia="zh-CN"/>
        </w:rPr>
        <w:t xml:space="preserve"> </w:t>
      </w:r>
      <w:r w:rsidR="00F60A71" w:rsidRPr="00F60A71">
        <w:rPr>
          <w:b/>
          <w:bCs/>
          <w:i/>
          <w:iCs/>
        </w:rPr>
        <w:t>Potential aggressor UE, UE</w:t>
      </w:r>
      <w:r w:rsidR="00F60A71" w:rsidRPr="00F60A71">
        <w:rPr>
          <w:b/>
          <w:bCs/>
          <w:i/>
          <w:iCs/>
          <w:vertAlign w:val="subscript"/>
        </w:rPr>
        <w:t>A</w:t>
      </w:r>
      <w:r w:rsidR="00F60A71" w:rsidRPr="00F60A71">
        <w:rPr>
          <w:b/>
          <w:bCs/>
          <w:i/>
          <w:iCs/>
        </w:rPr>
        <w:t>, is indicated to measure SRS</w:t>
      </w:r>
      <w:r w:rsidR="0060618C">
        <w:rPr>
          <w:b/>
          <w:bCs/>
          <w:i/>
          <w:iCs/>
        </w:rPr>
        <w:t xml:space="preserve"> (transmitted by potential victim UE)</w:t>
      </w:r>
      <w:r w:rsidR="00F60A71" w:rsidRPr="00F60A71">
        <w:rPr>
          <w:b/>
          <w:bCs/>
          <w:i/>
          <w:iCs/>
        </w:rPr>
        <w:t xml:space="preserve"> before PUSCH transmission</w:t>
      </w:r>
      <w:r w:rsidR="0060618C">
        <w:rPr>
          <w:b/>
          <w:bCs/>
          <w:i/>
          <w:iCs/>
        </w:rPr>
        <w:t xml:space="preserve">. </w:t>
      </w:r>
      <w:r w:rsidR="00F60A71" w:rsidRPr="00F60A71">
        <w:rPr>
          <w:b/>
          <w:bCs/>
          <w:i/>
          <w:iCs/>
        </w:rPr>
        <w:t>The indication can be through DCI scheduling the PUSCH for aggressor UE</w:t>
      </w:r>
      <w:r w:rsidR="0060618C">
        <w:rPr>
          <w:b/>
          <w:bCs/>
          <w:i/>
          <w:iCs/>
        </w:rPr>
        <w:t>.</w:t>
      </w:r>
    </w:p>
    <w:p w14:paraId="00F4DF56" w14:textId="77777777" w:rsidR="0060618C" w:rsidRDefault="0060618C" w:rsidP="0060618C">
      <w:pPr>
        <w:pStyle w:val="0Maintext"/>
        <w:numPr>
          <w:ilvl w:val="0"/>
          <w:numId w:val="25"/>
        </w:numPr>
        <w:spacing w:after="120" w:afterAutospacing="0" w:line="240" w:lineRule="auto"/>
        <w:rPr>
          <w:b/>
          <w:bCs/>
          <w:i/>
          <w:iCs/>
        </w:rPr>
      </w:pPr>
      <w:r>
        <w:rPr>
          <w:b/>
          <w:bCs/>
          <w:i/>
          <w:iCs/>
        </w:rPr>
        <w:t>One</w:t>
      </w:r>
      <w:r w:rsidR="00F60A71" w:rsidRPr="00F60A71">
        <w:rPr>
          <w:b/>
          <w:bCs/>
          <w:i/>
          <w:iCs/>
        </w:rPr>
        <w:t xml:space="preserve"> (or more) aperiodic SRS resource sets are tagged with a RRC parameter indicating CTS purpose</w:t>
      </w:r>
    </w:p>
    <w:p w14:paraId="5C676282" w14:textId="6987140D" w:rsidR="00F60A71" w:rsidRDefault="00F60A71" w:rsidP="0060618C">
      <w:pPr>
        <w:pStyle w:val="0Maintext"/>
        <w:numPr>
          <w:ilvl w:val="0"/>
          <w:numId w:val="25"/>
        </w:numPr>
        <w:spacing w:after="120" w:afterAutospacing="0" w:line="240" w:lineRule="auto"/>
        <w:rPr>
          <w:b/>
          <w:bCs/>
          <w:i/>
          <w:iCs/>
        </w:rPr>
      </w:pPr>
      <w:r w:rsidRPr="00F60A71">
        <w:rPr>
          <w:b/>
          <w:bCs/>
          <w:i/>
          <w:iCs/>
        </w:rPr>
        <w:t>Once SRS request bit-field activates such SRS resource set, (potential) UE</w:t>
      </w:r>
      <w:r w:rsidR="0060618C">
        <w:rPr>
          <w:b/>
          <w:bCs/>
          <w:i/>
          <w:iCs/>
          <w:vertAlign w:val="subscript"/>
        </w:rPr>
        <w:t>A</w:t>
      </w:r>
      <w:r w:rsidRPr="00F60A71">
        <w:rPr>
          <w:b/>
          <w:bCs/>
          <w:i/>
          <w:iCs/>
        </w:rPr>
        <w:t xml:space="preserve"> performs SRS-RSRP and/or CLI-RSSI over the activated SRS resource(s) </w:t>
      </w:r>
    </w:p>
    <w:p w14:paraId="7E19235D" w14:textId="77777777" w:rsidR="003F2E4A" w:rsidRPr="0060618C" w:rsidRDefault="003F2E4A" w:rsidP="003F2E4A">
      <w:pPr>
        <w:pStyle w:val="0Maintext"/>
        <w:spacing w:after="120" w:afterAutospacing="0" w:line="240" w:lineRule="auto"/>
        <w:ind w:left="720" w:firstLine="0"/>
        <w:rPr>
          <w:b/>
          <w:bCs/>
          <w:i/>
          <w:iCs/>
        </w:rPr>
      </w:pPr>
    </w:p>
    <w:p w14:paraId="3DAB23BE" w14:textId="1F5A0DA1" w:rsidR="003F2E4A" w:rsidRPr="00B750B7" w:rsidRDefault="00BA34FC" w:rsidP="003F2E4A">
      <w:pPr>
        <w:pStyle w:val="Heading2"/>
      </w:pPr>
      <w:r>
        <w:t>Indication of</w:t>
      </w:r>
      <w:r w:rsidR="00AB03E8">
        <w:t xml:space="preserve"> cell duplex (or dynamic TDD) operation</w:t>
      </w:r>
      <w:r>
        <w:t xml:space="preserve"> mode </w:t>
      </w:r>
    </w:p>
    <w:p w14:paraId="598D58EB" w14:textId="149212AE" w:rsidR="00590E40" w:rsidRPr="00BE4C1E" w:rsidRDefault="00AB03E8" w:rsidP="00590E40">
      <w:pPr>
        <w:jc w:val="both"/>
        <w:rPr>
          <w:sz w:val="20"/>
          <w:szCs w:val="20"/>
        </w:rPr>
      </w:pPr>
      <w:r>
        <w:rPr>
          <w:sz w:val="20"/>
          <w:szCs w:val="20"/>
          <w:lang w:val="en-GB"/>
        </w:rPr>
        <w:t xml:space="preserve">As mentioned before, if </w:t>
      </w:r>
      <w:proofErr w:type="spellStart"/>
      <w:r>
        <w:rPr>
          <w:sz w:val="20"/>
          <w:szCs w:val="20"/>
          <w:lang w:val="en-GB"/>
        </w:rPr>
        <w:t>gNB</w:t>
      </w:r>
      <w:proofErr w:type="spellEnd"/>
      <w:r>
        <w:rPr>
          <w:sz w:val="20"/>
          <w:szCs w:val="20"/>
          <w:lang w:val="en-GB"/>
        </w:rPr>
        <w:t xml:space="preserve"> </w:t>
      </w:r>
      <w:proofErr w:type="gramStart"/>
      <w:r>
        <w:rPr>
          <w:sz w:val="20"/>
          <w:szCs w:val="20"/>
          <w:lang w:val="en-GB"/>
        </w:rPr>
        <w:t>is able to</w:t>
      </w:r>
      <w:proofErr w:type="gramEnd"/>
      <w:r>
        <w:rPr>
          <w:sz w:val="20"/>
          <w:szCs w:val="20"/>
          <w:lang w:val="en-GB"/>
        </w:rPr>
        <w:t xml:space="preserve"> perform full-duplex (or dynamic TDD) operation, this </w:t>
      </w:r>
      <w:r w:rsidR="00821959">
        <w:rPr>
          <w:sz w:val="20"/>
          <w:szCs w:val="20"/>
          <w:lang w:val="en-GB"/>
        </w:rPr>
        <w:t xml:space="preserve">operation </w:t>
      </w:r>
      <w:r>
        <w:rPr>
          <w:sz w:val="20"/>
          <w:szCs w:val="20"/>
          <w:lang w:val="en-GB"/>
        </w:rPr>
        <w:t>has to be transparent to</w:t>
      </w:r>
      <w:r w:rsidR="00821959">
        <w:rPr>
          <w:sz w:val="20"/>
          <w:szCs w:val="20"/>
          <w:lang w:val="en-GB"/>
        </w:rPr>
        <w:t xml:space="preserve"> </w:t>
      </w:r>
      <w:r>
        <w:rPr>
          <w:sz w:val="20"/>
          <w:szCs w:val="20"/>
          <w:lang w:val="en-GB"/>
        </w:rPr>
        <w:t xml:space="preserve">legacy UEs. On the other hand, for a future UE, it may be useful to know if a cell </w:t>
      </w:r>
      <w:r w:rsidR="00BE4C1E">
        <w:rPr>
          <w:sz w:val="20"/>
          <w:szCs w:val="20"/>
          <w:lang w:val="en-GB"/>
        </w:rPr>
        <w:t xml:space="preserve">that </w:t>
      </w:r>
      <w:r>
        <w:rPr>
          <w:sz w:val="20"/>
          <w:szCs w:val="20"/>
          <w:lang w:val="en-GB"/>
        </w:rPr>
        <w:t xml:space="preserve">it is camping </w:t>
      </w:r>
      <w:r w:rsidR="00821959">
        <w:rPr>
          <w:sz w:val="20"/>
          <w:szCs w:val="20"/>
          <w:lang w:val="en-GB"/>
        </w:rPr>
        <w:t>on</w:t>
      </w:r>
      <w:r>
        <w:rPr>
          <w:sz w:val="20"/>
          <w:szCs w:val="20"/>
          <w:lang w:val="en-GB"/>
        </w:rPr>
        <w:t xml:space="preserve"> will support duplex operation</w:t>
      </w:r>
      <w:r w:rsidR="00821959">
        <w:rPr>
          <w:sz w:val="20"/>
          <w:szCs w:val="20"/>
          <w:lang w:val="en-GB"/>
        </w:rPr>
        <w:t xml:space="preserve"> or not</w:t>
      </w:r>
      <w:r>
        <w:rPr>
          <w:sz w:val="20"/>
          <w:szCs w:val="20"/>
          <w:lang w:val="en-GB"/>
        </w:rPr>
        <w:t>. For example, if UE may require enhanced uplink coverage (potential UE</w:t>
      </w:r>
      <w:r>
        <w:rPr>
          <w:sz w:val="20"/>
          <w:szCs w:val="20"/>
          <w:vertAlign w:val="subscript"/>
          <w:lang w:val="en-GB"/>
        </w:rPr>
        <w:t>A</w:t>
      </w:r>
      <w:r>
        <w:rPr>
          <w:sz w:val="20"/>
          <w:szCs w:val="20"/>
          <w:lang w:val="en-GB"/>
        </w:rPr>
        <w:t>)</w:t>
      </w:r>
      <w:r w:rsidR="00821959">
        <w:rPr>
          <w:sz w:val="20"/>
          <w:szCs w:val="20"/>
          <w:lang w:val="en-GB"/>
        </w:rPr>
        <w:t>,</w:t>
      </w:r>
      <w:r>
        <w:rPr>
          <w:sz w:val="20"/>
          <w:szCs w:val="20"/>
          <w:lang w:val="en-GB"/>
        </w:rPr>
        <w:t xml:space="preserve"> it </w:t>
      </w:r>
      <w:r w:rsidR="00821959">
        <w:rPr>
          <w:sz w:val="20"/>
          <w:szCs w:val="20"/>
          <w:lang w:val="en-GB"/>
        </w:rPr>
        <w:t xml:space="preserve">may </w:t>
      </w:r>
      <w:r w:rsidR="00BA34FC">
        <w:rPr>
          <w:sz w:val="20"/>
          <w:szCs w:val="20"/>
          <w:lang w:val="en-GB"/>
        </w:rPr>
        <w:t>benefit</w:t>
      </w:r>
      <w:r w:rsidR="00821959">
        <w:rPr>
          <w:sz w:val="20"/>
          <w:szCs w:val="20"/>
          <w:lang w:val="en-GB"/>
        </w:rPr>
        <w:t xml:space="preserve"> </w:t>
      </w:r>
      <w:r>
        <w:rPr>
          <w:sz w:val="20"/>
          <w:szCs w:val="20"/>
          <w:lang w:val="en-GB"/>
        </w:rPr>
        <w:t xml:space="preserve">to camp on </w:t>
      </w:r>
      <w:r w:rsidR="00821959">
        <w:rPr>
          <w:sz w:val="20"/>
          <w:szCs w:val="20"/>
          <w:lang w:val="en-GB"/>
        </w:rPr>
        <w:t>a cell with full-duplex operation</w:t>
      </w:r>
      <w:r>
        <w:rPr>
          <w:sz w:val="20"/>
          <w:szCs w:val="20"/>
          <w:lang w:val="en-GB"/>
        </w:rPr>
        <w:t>. On the other hand</w:t>
      </w:r>
      <w:r w:rsidR="00821959">
        <w:rPr>
          <w:sz w:val="20"/>
          <w:szCs w:val="20"/>
          <w:lang w:val="en-GB"/>
        </w:rPr>
        <w:t>,</w:t>
      </w:r>
      <w:r>
        <w:rPr>
          <w:sz w:val="20"/>
          <w:szCs w:val="20"/>
          <w:lang w:val="en-GB"/>
        </w:rPr>
        <w:t xml:space="preserve"> if UE is potentially a victim UE, it may prefer to camp to a cell with legacy TDD operation, so UE is </w:t>
      </w:r>
      <w:r w:rsidR="00352D9C">
        <w:rPr>
          <w:sz w:val="20"/>
          <w:szCs w:val="20"/>
          <w:lang w:val="en-GB"/>
        </w:rPr>
        <w:t>more</w:t>
      </w:r>
      <w:r>
        <w:rPr>
          <w:sz w:val="20"/>
          <w:szCs w:val="20"/>
          <w:lang w:val="en-GB"/>
        </w:rPr>
        <w:t xml:space="preserve"> protected by UE-to-UE CLI. </w:t>
      </w:r>
      <w:r w:rsidR="00590E40">
        <w:rPr>
          <w:sz w:val="20"/>
          <w:szCs w:val="20"/>
          <w:lang w:val="en-GB"/>
        </w:rPr>
        <w:t>Therefore,</w:t>
      </w:r>
      <w:r w:rsidR="002302B1">
        <w:rPr>
          <w:sz w:val="20"/>
          <w:szCs w:val="20"/>
          <w:lang w:val="en-GB"/>
        </w:rPr>
        <w:t xml:space="preserve"> </w:t>
      </w:r>
      <w:r w:rsidR="00590E40">
        <w:rPr>
          <w:sz w:val="20"/>
          <w:szCs w:val="20"/>
          <w:lang w:val="en-GB"/>
        </w:rPr>
        <w:t xml:space="preserve">it may be desired by a future release UE a </w:t>
      </w:r>
      <w:r w:rsidR="002302B1" w:rsidRPr="002302B1">
        <w:rPr>
          <w:sz w:val="20"/>
          <w:szCs w:val="20"/>
        </w:rPr>
        <w:t xml:space="preserve">signaling and procedure to indicate UE(s) about </w:t>
      </w:r>
      <w:r w:rsidR="002302B1">
        <w:rPr>
          <w:sz w:val="20"/>
          <w:szCs w:val="20"/>
        </w:rPr>
        <w:t xml:space="preserve">duplex </w:t>
      </w:r>
      <w:r w:rsidR="002302B1" w:rsidRPr="002302B1">
        <w:rPr>
          <w:sz w:val="20"/>
          <w:szCs w:val="20"/>
        </w:rPr>
        <w:t xml:space="preserve">operation at a </w:t>
      </w:r>
      <w:r w:rsidR="002302B1" w:rsidRPr="00BE4C1E">
        <w:rPr>
          <w:sz w:val="20"/>
          <w:szCs w:val="20"/>
        </w:rPr>
        <w:t>cell before</w:t>
      </w:r>
      <w:r w:rsidR="00BA34FC" w:rsidRPr="00BE4C1E">
        <w:rPr>
          <w:sz w:val="20"/>
          <w:szCs w:val="20"/>
        </w:rPr>
        <w:t>/during</w:t>
      </w:r>
      <w:r w:rsidR="002302B1" w:rsidRPr="00BE4C1E">
        <w:rPr>
          <w:sz w:val="20"/>
          <w:szCs w:val="20"/>
        </w:rPr>
        <w:t xml:space="preserve"> cell acquisition</w:t>
      </w:r>
      <w:r w:rsidR="00590E40" w:rsidRPr="00BE4C1E">
        <w:rPr>
          <w:sz w:val="20"/>
          <w:szCs w:val="20"/>
        </w:rPr>
        <w:t>.</w:t>
      </w:r>
      <w:r w:rsidR="002302B1" w:rsidRPr="00BE4C1E">
        <w:rPr>
          <w:sz w:val="20"/>
          <w:szCs w:val="20"/>
        </w:rPr>
        <w:t xml:space="preserve">  </w:t>
      </w:r>
      <w:r w:rsidR="00590E40" w:rsidRPr="00BE4C1E">
        <w:rPr>
          <w:sz w:val="20"/>
          <w:szCs w:val="20"/>
        </w:rPr>
        <w:t>Of course,</w:t>
      </w:r>
      <w:r w:rsidR="002302B1" w:rsidRPr="00BE4C1E">
        <w:rPr>
          <w:sz w:val="20"/>
          <w:szCs w:val="20"/>
        </w:rPr>
        <w:t xml:space="preserve"> it will be up to UE whether to camp to this cell or perform cell re-selection</w:t>
      </w:r>
      <w:r w:rsidR="00590E40" w:rsidRPr="00BE4C1E">
        <w:rPr>
          <w:sz w:val="20"/>
          <w:szCs w:val="20"/>
        </w:rPr>
        <w:t>. Based on this discussion, we have the following proposal:</w:t>
      </w:r>
    </w:p>
    <w:p w14:paraId="064BBA6F" w14:textId="77777777" w:rsidR="00590E40" w:rsidRPr="00BE4C1E" w:rsidRDefault="00590E40" w:rsidP="00590E40">
      <w:pPr>
        <w:jc w:val="both"/>
        <w:rPr>
          <w:sz w:val="20"/>
          <w:szCs w:val="20"/>
        </w:rPr>
      </w:pPr>
    </w:p>
    <w:p w14:paraId="36300299" w14:textId="332AC810" w:rsidR="007E4A87" w:rsidRPr="00BE4C1E" w:rsidRDefault="00590E40" w:rsidP="00BE4C1E">
      <w:pPr>
        <w:pStyle w:val="0Maintext"/>
        <w:spacing w:after="120" w:afterAutospacing="0" w:line="240" w:lineRule="auto"/>
        <w:ind w:firstLine="0"/>
        <w:rPr>
          <w:b/>
          <w:bCs/>
          <w:i/>
          <w:iCs/>
          <w:lang w:val="en-US"/>
        </w:rPr>
      </w:pPr>
      <w:r w:rsidRPr="00BE4C1E">
        <w:rPr>
          <w:b/>
          <w:bCs/>
          <w:i/>
          <w:iCs/>
          <w:lang w:val="en-US" w:eastAsia="zh-CN"/>
        </w:rPr>
        <w:t>Proposal 3:</w:t>
      </w:r>
      <w:r w:rsidR="00BE4C1E" w:rsidRPr="00BE4C1E">
        <w:rPr>
          <w:b/>
          <w:bCs/>
          <w:i/>
          <w:iCs/>
          <w:lang w:val="en-US" w:eastAsia="zh-CN"/>
        </w:rPr>
        <w:t xml:space="preserve"> Study feasibility of a mechanism to indicate</w:t>
      </w:r>
      <w:r w:rsidRPr="00BE4C1E">
        <w:rPr>
          <w:b/>
          <w:bCs/>
          <w:i/>
          <w:iCs/>
          <w:lang w:val="en-US" w:eastAsia="zh-CN"/>
        </w:rPr>
        <w:t xml:space="preserve"> </w:t>
      </w:r>
      <w:r w:rsidR="00BE4C1E" w:rsidRPr="00BE4C1E">
        <w:rPr>
          <w:b/>
          <w:bCs/>
          <w:i/>
          <w:iCs/>
        </w:rPr>
        <w:t>f</w:t>
      </w:r>
      <w:r w:rsidRPr="00BE4C1E">
        <w:rPr>
          <w:b/>
          <w:bCs/>
          <w:i/>
          <w:iCs/>
        </w:rPr>
        <w:t xml:space="preserve">uture release </w:t>
      </w:r>
      <w:r w:rsidRPr="00BE4C1E">
        <w:rPr>
          <w:b/>
          <w:bCs/>
          <w:i/>
          <w:iCs/>
          <w:lang w:val="en-US"/>
        </w:rPr>
        <w:t>UE about cell duplex operation mode</w:t>
      </w:r>
      <w:r w:rsidR="00BE4C1E">
        <w:rPr>
          <w:b/>
          <w:bCs/>
          <w:i/>
          <w:iCs/>
          <w:lang w:val="en-US"/>
        </w:rPr>
        <w:t>.</w:t>
      </w:r>
      <w:r w:rsidR="00AB03E8">
        <w:t xml:space="preserve">  </w:t>
      </w:r>
    </w:p>
    <w:p w14:paraId="424B23AC" w14:textId="6944BA13" w:rsidR="002562BF" w:rsidRDefault="002562BF" w:rsidP="008236A0">
      <w:pPr>
        <w:rPr>
          <w:rFonts w:cs="Batang"/>
          <w:sz w:val="20"/>
          <w:szCs w:val="20"/>
          <w:lang w:val="en-GB" w:eastAsia="ja-JP"/>
        </w:rPr>
      </w:pPr>
    </w:p>
    <w:p w14:paraId="00346E19" w14:textId="77777777" w:rsidR="004A69A3" w:rsidRDefault="004A69A3" w:rsidP="004A69A3">
      <w:pPr>
        <w:pStyle w:val="Heading2"/>
      </w:pPr>
      <w:r>
        <w:lastRenderedPageBreak/>
        <w:t>Indication to UE</w:t>
      </w:r>
      <w:r>
        <w:rPr>
          <w:vertAlign w:val="subscript"/>
        </w:rPr>
        <w:t>V</w:t>
      </w:r>
      <w:r>
        <w:t xml:space="preserve"> on resources with CLI</w:t>
      </w:r>
    </w:p>
    <w:p w14:paraId="6A9AD1EB" w14:textId="7EB67F9A" w:rsidR="007D27B2" w:rsidRDefault="004A69A3" w:rsidP="008A6FAA">
      <w:pPr>
        <w:pStyle w:val="Heading2"/>
        <w:numPr>
          <w:ilvl w:val="0"/>
          <w:numId w:val="0"/>
        </w:numPr>
        <w:jc w:val="both"/>
        <w:rPr>
          <w:sz w:val="20"/>
          <w:szCs w:val="20"/>
        </w:rPr>
      </w:pPr>
      <w:r w:rsidRPr="004A69A3">
        <w:rPr>
          <w:sz w:val="20"/>
          <w:szCs w:val="20"/>
        </w:rPr>
        <w:t>Although it is expected that scheduler maintains enough separability between victim and aggressor UEs (e.g., in frequency and/or spatial domain), the</w:t>
      </w:r>
      <w:r w:rsidR="008A6FAA">
        <w:rPr>
          <w:sz w:val="20"/>
          <w:szCs w:val="20"/>
        </w:rPr>
        <w:t>re could be scenarios where</w:t>
      </w:r>
      <w:r w:rsidRPr="004A69A3">
        <w:rPr>
          <w:sz w:val="20"/>
          <w:szCs w:val="20"/>
        </w:rPr>
        <w:t xml:space="preserve"> UE-to-UE CLI is still inevitable. </w:t>
      </w:r>
      <w:r w:rsidR="008A6FAA">
        <w:rPr>
          <w:sz w:val="20"/>
          <w:szCs w:val="20"/>
        </w:rPr>
        <w:t>For example, i</w:t>
      </w:r>
      <w:r w:rsidRPr="004A69A3">
        <w:rPr>
          <w:sz w:val="20"/>
          <w:szCs w:val="20"/>
        </w:rPr>
        <w:t>magine the case that UL transmission on UE</w:t>
      </w:r>
      <w:r w:rsidRPr="004A69A3">
        <w:rPr>
          <w:sz w:val="20"/>
          <w:szCs w:val="20"/>
          <w:vertAlign w:val="subscript"/>
        </w:rPr>
        <w:t>A</w:t>
      </w:r>
      <w:r w:rsidRPr="004A69A3">
        <w:rPr>
          <w:sz w:val="20"/>
          <w:szCs w:val="20"/>
        </w:rPr>
        <w:t xml:space="preserve"> carries URLLC and thus cannot be cancelled. In this scenario, </w:t>
      </w:r>
      <w:proofErr w:type="spellStart"/>
      <w:r w:rsidRPr="004A69A3">
        <w:rPr>
          <w:sz w:val="20"/>
          <w:szCs w:val="20"/>
        </w:rPr>
        <w:t>gNB</w:t>
      </w:r>
      <w:proofErr w:type="spellEnd"/>
      <w:r w:rsidRPr="004A69A3">
        <w:rPr>
          <w:sz w:val="20"/>
          <w:szCs w:val="20"/>
        </w:rPr>
        <w:t xml:space="preserve"> should be able to indicate to the victim UE</w:t>
      </w:r>
      <w:r w:rsidR="008A6FAA">
        <w:rPr>
          <w:sz w:val="20"/>
          <w:szCs w:val="20"/>
          <w:vertAlign w:val="subscript"/>
        </w:rPr>
        <w:t>V</w:t>
      </w:r>
      <w:r w:rsidRPr="004A69A3">
        <w:rPr>
          <w:sz w:val="20"/>
          <w:szCs w:val="20"/>
        </w:rPr>
        <w:t xml:space="preserve">, </w:t>
      </w:r>
      <w:r w:rsidR="008A6FAA">
        <w:rPr>
          <w:sz w:val="20"/>
          <w:szCs w:val="20"/>
        </w:rPr>
        <w:t>which</w:t>
      </w:r>
      <w:r w:rsidRPr="004A69A3">
        <w:rPr>
          <w:sz w:val="20"/>
          <w:szCs w:val="20"/>
        </w:rPr>
        <w:t xml:space="preserve"> is receiving in DL, about the probable existence of CLI from aggressor UE(s)</w:t>
      </w:r>
      <w:r w:rsidR="008A6FAA">
        <w:rPr>
          <w:sz w:val="20"/>
          <w:szCs w:val="20"/>
        </w:rPr>
        <w:t xml:space="preserve"> on resources that overlap in time between </w:t>
      </w:r>
      <w:r w:rsidR="008A6FAA" w:rsidRPr="004A69A3">
        <w:rPr>
          <w:sz w:val="20"/>
          <w:szCs w:val="20"/>
        </w:rPr>
        <w:t>UE</w:t>
      </w:r>
      <w:r w:rsidR="008A6FAA">
        <w:rPr>
          <w:sz w:val="20"/>
          <w:szCs w:val="20"/>
          <w:vertAlign w:val="subscript"/>
        </w:rPr>
        <w:t>V</w:t>
      </w:r>
      <w:r w:rsidR="008A6FAA">
        <w:rPr>
          <w:sz w:val="20"/>
          <w:szCs w:val="20"/>
        </w:rPr>
        <w:t xml:space="preserve"> and </w:t>
      </w:r>
      <w:r w:rsidR="008A6FAA" w:rsidRPr="004A69A3">
        <w:rPr>
          <w:sz w:val="20"/>
          <w:szCs w:val="20"/>
        </w:rPr>
        <w:t>UE</w:t>
      </w:r>
      <w:r w:rsidR="008A6FAA">
        <w:rPr>
          <w:sz w:val="20"/>
          <w:szCs w:val="20"/>
          <w:vertAlign w:val="subscript"/>
        </w:rPr>
        <w:t>VA</w:t>
      </w:r>
      <w:r w:rsidRPr="004A69A3">
        <w:rPr>
          <w:sz w:val="20"/>
          <w:szCs w:val="20"/>
        </w:rPr>
        <w:t xml:space="preserve"> </w:t>
      </w:r>
      <w:r w:rsidR="008A6FAA">
        <w:rPr>
          <w:sz w:val="20"/>
          <w:szCs w:val="20"/>
        </w:rPr>
        <w:t xml:space="preserve">‘s allocations. Although this problem is not exactly same as DL preemption indication, which was specified in Rel-15 for URLLC, but there are strong similarities between the </w:t>
      </w:r>
      <w:r w:rsidR="007D27B2">
        <w:rPr>
          <w:sz w:val="20"/>
          <w:szCs w:val="20"/>
        </w:rPr>
        <w:t xml:space="preserve">two cases. In both cases, we have a UE in DL which its data reception has been impacted by another UE (a URLLC UE in DL in Rel-15 and a URLLC UE in UL in future releases). Given that no additional signaling to legacy UE is promoted unless its requirements </w:t>
      </w:r>
      <w:r w:rsidR="00115F3F">
        <w:rPr>
          <w:sz w:val="20"/>
          <w:szCs w:val="20"/>
        </w:rPr>
        <w:t>are</w:t>
      </w:r>
      <w:r w:rsidR="007D27B2">
        <w:rPr>
          <w:sz w:val="20"/>
          <w:szCs w:val="20"/>
        </w:rPr>
        <w:t xml:space="preserve"> highly justified, we propose the </w:t>
      </w:r>
      <w:r w:rsidR="00115F3F">
        <w:rPr>
          <w:sz w:val="20"/>
          <w:szCs w:val="20"/>
        </w:rPr>
        <w:t xml:space="preserve">interrupted transmission indication as specified in Rel-15 to be repurposed to indicate resources impacted by CLI. </w:t>
      </w:r>
      <w:proofErr w:type="gramStart"/>
      <w:r w:rsidR="00115F3F">
        <w:rPr>
          <w:sz w:val="20"/>
          <w:szCs w:val="20"/>
        </w:rPr>
        <w:t>Of course</w:t>
      </w:r>
      <w:proofErr w:type="gramEnd"/>
      <w:r w:rsidR="00115F3F">
        <w:rPr>
          <w:sz w:val="20"/>
          <w:szCs w:val="20"/>
        </w:rPr>
        <w:t xml:space="preserve"> the reason of preemption indication is transparent to victim UE, i.e. it does not matter to UE</w:t>
      </w:r>
      <w:r w:rsidR="00115F3F">
        <w:rPr>
          <w:sz w:val="20"/>
          <w:szCs w:val="20"/>
          <w:vertAlign w:val="subscript"/>
        </w:rPr>
        <w:t>V</w:t>
      </w:r>
      <w:r w:rsidR="00115F3F">
        <w:rPr>
          <w:sz w:val="20"/>
          <w:szCs w:val="20"/>
        </w:rPr>
        <w:t xml:space="preserve"> whether there exists a URLLC UE</w:t>
      </w:r>
      <w:r w:rsidR="007D27B2">
        <w:rPr>
          <w:sz w:val="20"/>
          <w:szCs w:val="20"/>
        </w:rPr>
        <w:t xml:space="preserve"> </w:t>
      </w:r>
      <w:r w:rsidR="00115F3F">
        <w:rPr>
          <w:sz w:val="20"/>
          <w:szCs w:val="20"/>
        </w:rPr>
        <w:t>in UL or DL transmission.</w:t>
      </w:r>
    </w:p>
    <w:p w14:paraId="719EDB84" w14:textId="1C2B539D" w:rsidR="004A69A3" w:rsidRDefault="00115F3F" w:rsidP="00214DB5">
      <w:pPr>
        <w:pStyle w:val="Heading2"/>
        <w:numPr>
          <w:ilvl w:val="0"/>
          <w:numId w:val="0"/>
        </w:numPr>
        <w:jc w:val="both"/>
        <w:rPr>
          <w:rFonts w:eastAsia="Times New Roman" w:cs="Batang"/>
          <w:b/>
          <w:bCs/>
          <w:i/>
          <w:iCs/>
          <w:sz w:val="20"/>
          <w:szCs w:val="20"/>
        </w:rPr>
      </w:pPr>
      <w:r w:rsidRPr="00115F3F">
        <w:rPr>
          <w:rFonts w:eastAsia="Times New Roman" w:cs="Batang"/>
          <w:b/>
          <w:bCs/>
          <w:i/>
          <w:iCs/>
          <w:sz w:val="20"/>
          <w:szCs w:val="20"/>
        </w:rPr>
        <w:t>Proposal</w:t>
      </w:r>
      <w:r w:rsidR="00CC0E8B">
        <w:rPr>
          <w:rFonts w:eastAsia="Times New Roman" w:cs="Batang"/>
          <w:b/>
          <w:bCs/>
          <w:i/>
          <w:iCs/>
          <w:sz w:val="20"/>
          <w:szCs w:val="20"/>
        </w:rPr>
        <w:t xml:space="preserve"> 4</w:t>
      </w:r>
      <w:r w:rsidRPr="00115F3F">
        <w:rPr>
          <w:rFonts w:eastAsia="Times New Roman" w:cs="Batang"/>
          <w:b/>
          <w:bCs/>
          <w:i/>
          <w:iCs/>
          <w:sz w:val="20"/>
          <w:szCs w:val="20"/>
        </w:rPr>
        <w:t>: DL</w:t>
      </w:r>
      <w:r>
        <w:rPr>
          <w:rFonts w:eastAsia="Times New Roman" w:cs="Batang"/>
          <w:b/>
          <w:bCs/>
          <w:i/>
          <w:iCs/>
          <w:sz w:val="20"/>
          <w:szCs w:val="20"/>
        </w:rPr>
        <w:t xml:space="preserve"> CLI indication</w:t>
      </w:r>
      <w:r w:rsidRPr="00115F3F">
        <w:rPr>
          <w:rFonts w:eastAsia="Times New Roman" w:cs="Batang"/>
          <w:b/>
          <w:bCs/>
          <w:i/>
          <w:iCs/>
          <w:sz w:val="20"/>
          <w:szCs w:val="20"/>
        </w:rPr>
        <w:t>,</w:t>
      </w:r>
      <w:r w:rsidR="00214DB5">
        <w:rPr>
          <w:rFonts w:eastAsia="Times New Roman" w:cs="Batang"/>
          <w:b/>
          <w:bCs/>
          <w:i/>
          <w:iCs/>
          <w:sz w:val="20"/>
          <w:szCs w:val="20"/>
        </w:rPr>
        <w:t xml:space="preserve"> e.g., based on DL-PI, </w:t>
      </w:r>
      <w:r w:rsidRPr="00115F3F">
        <w:rPr>
          <w:rFonts w:eastAsia="Times New Roman" w:cs="Batang"/>
          <w:b/>
          <w:bCs/>
          <w:i/>
          <w:iCs/>
          <w:sz w:val="20"/>
          <w:szCs w:val="20"/>
        </w:rPr>
        <w:t>indicates which symbols were impacted by cross-link interference from aggressor UE(s)</w:t>
      </w:r>
      <w:r w:rsidR="00214DB5">
        <w:rPr>
          <w:rFonts w:eastAsia="Times New Roman" w:cs="Batang"/>
          <w:b/>
          <w:bCs/>
          <w:i/>
          <w:iCs/>
          <w:sz w:val="20"/>
          <w:szCs w:val="20"/>
        </w:rPr>
        <w:t xml:space="preserve">. </w:t>
      </w:r>
    </w:p>
    <w:p w14:paraId="45337BA9" w14:textId="77777777" w:rsidR="00562EE5" w:rsidRPr="00562EE5" w:rsidRDefault="00562EE5" w:rsidP="00562EE5"/>
    <w:p w14:paraId="1E11BAA8" w14:textId="46C1AC61" w:rsidR="00732564" w:rsidRDefault="00732564" w:rsidP="00732564">
      <w:pPr>
        <w:pStyle w:val="Heading2"/>
      </w:pPr>
      <w:r>
        <w:t xml:space="preserve">DL power adjustment </w:t>
      </w:r>
    </w:p>
    <w:p w14:paraId="0CA35920" w14:textId="6A23CF90" w:rsidR="004A69A3" w:rsidRDefault="00695A7E" w:rsidP="00562EE5">
      <w:pPr>
        <w:jc w:val="both"/>
        <w:rPr>
          <w:rFonts w:cs="Batang"/>
          <w:sz w:val="20"/>
          <w:szCs w:val="20"/>
          <w:lang w:val="en-GB" w:eastAsia="ja-JP"/>
        </w:rPr>
      </w:pPr>
      <w:r>
        <w:rPr>
          <w:rFonts w:cs="Batang"/>
          <w:sz w:val="20"/>
          <w:szCs w:val="20"/>
          <w:lang w:val="en-GB" w:eastAsia="ja-JP"/>
        </w:rPr>
        <w:t xml:space="preserve">In Rel-17, DL power adjustment was specified for IAB-DU as part of </w:t>
      </w:r>
      <w:proofErr w:type="spellStart"/>
      <w:r>
        <w:rPr>
          <w:rFonts w:cs="Batang"/>
          <w:sz w:val="20"/>
          <w:szCs w:val="20"/>
          <w:lang w:val="en-GB" w:eastAsia="ja-JP"/>
        </w:rPr>
        <w:t>eIAB</w:t>
      </w:r>
      <w:proofErr w:type="spellEnd"/>
      <w:r>
        <w:rPr>
          <w:rFonts w:cs="Batang"/>
          <w:sz w:val="20"/>
          <w:szCs w:val="20"/>
          <w:lang w:val="en-GB" w:eastAsia="ja-JP"/>
        </w:rPr>
        <w:t xml:space="preserve"> work item. The justification was to combat the received power imbalance at the IAB node due to difference in transmit power from UE (to IAB-DU) and transmit power from parent IAB-DU (to IAB-MT). For sub-band full-duplex operation at </w:t>
      </w:r>
      <w:proofErr w:type="spellStart"/>
      <w:r>
        <w:rPr>
          <w:rFonts w:cs="Batang"/>
          <w:sz w:val="20"/>
          <w:szCs w:val="20"/>
          <w:lang w:val="en-GB" w:eastAsia="ja-JP"/>
        </w:rPr>
        <w:t>gNB</w:t>
      </w:r>
      <w:proofErr w:type="spellEnd"/>
      <w:r>
        <w:rPr>
          <w:rFonts w:cs="Batang"/>
          <w:sz w:val="20"/>
          <w:szCs w:val="20"/>
          <w:lang w:val="en-GB" w:eastAsia="ja-JP"/>
        </w:rPr>
        <w:t xml:space="preserve">, when scheduler is aware of UE-to-UE CLI </w:t>
      </w:r>
      <w:r w:rsidR="00562EE5">
        <w:rPr>
          <w:rFonts w:cs="Batang"/>
          <w:sz w:val="20"/>
          <w:szCs w:val="20"/>
          <w:lang w:val="en-GB" w:eastAsia="ja-JP"/>
        </w:rPr>
        <w:t xml:space="preserve">due </w:t>
      </w:r>
      <w:r>
        <w:rPr>
          <w:rFonts w:cs="Batang"/>
          <w:sz w:val="20"/>
          <w:szCs w:val="20"/>
          <w:lang w:val="en-GB" w:eastAsia="ja-JP"/>
        </w:rPr>
        <w:t>UL transmission</w:t>
      </w:r>
      <w:r w:rsidR="00562EE5">
        <w:rPr>
          <w:rFonts w:cs="Batang"/>
          <w:sz w:val="20"/>
          <w:szCs w:val="20"/>
          <w:lang w:val="en-GB" w:eastAsia="ja-JP"/>
        </w:rPr>
        <w:t xml:space="preserve"> by UE</w:t>
      </w:r>
      <w:r w:rsidR="00562EE5">
        <w:rPr>
          <w:rFonts w:cs="Batang"/>
          <w:sz w:val="20"/>
          <w:szCs w:val="20"/>
          <w:vertAlign w:val="subscript"/>
          <w:lang w:val="en-GB" w:eastAsia="ja-JP"/>
        </w:rPr>
        <w:t>A</w:t>
      </w:r>
      <w:r w:rsidR="00562EE5">
        <w:rPr>
          <w:rFonts w:cs="Batang"/>
          <w:sz w:val="20"/>
          <w:szCs w:val="20"/>
          <w:lang w:val="en-GB" w:eastAsia="ja-JP"/>
        </w:rPr>
        <w:t xml:space="preserve"> and DL reception by UE</w:t>
      </w:r>
      <w:r w:rsidR="00562EE5">
        <w:rPr>
          <w:rFonts w:cs="Batang"/>
          <w:sz w:val="20"/>
          <w:szCs w:val="20"/>
          <w:vertAlign w:val="subscript"/>
          <w:lang w:val="en-GB" w:eastAsia="ja-JP"/>
        </w:rPr>
        <w:t>V</w:t>
      </w:r>
      <w:r w:rsidR="00562EE5">
        <w:rPr>
          <w:rFonts w:cs="Batang"/>
          <w:sz w:val="20"/>
          <w:szCs w:val="20"/>
          <w:lang w:val="en-GB" w:eastAsia="ja-JP"/>
        </w:rPr>
        <w:t>, it can protect victim UE by increasing DL transmit power over UE</w:t>
      </w:r>
      <w:r w:rsidR="00562EE5">
        <w:rPr>
          <w:rFonts w:cs="Batang"/>
          <w:sz w:val="20"/>
          <w:szCs w:val="20"/>
          <w:vertAlign w:val="subscript"/>
          <w:lang w:val="en-GB" w:eastAsia="ja-JP"/>
        </w:rPr>
        <w:t>V</w:t>
      </w:r>
      <w:r w:rsidR="00562EE5">
        <w:rPr>
          <w:rFonts w:cs="Batang"/>
          <w:sz w:val="20"/>
          <w:szCs w:val="20"/>
          <w:lang w:val="en-GB" w:eastAsia="ja-JP"/>
        </w:rPr>
        <w:t xml:space="preserve">’s resource allocation. Although this procedure and its impact on UE procedure shall be further studied.   </w:t>
      </w:r>
      <w:r>
        <w:rPr>
          <w:rFonts w:cs="Batang"/>
          <w:sz w:val="20"/>
          <w:szCs w:val="20"/>
          <w:lang w:val="en-GB" w:eastAsia="ja-JP"/>
        </w:rPr>
        <w:t xml:space="preserve"> </w:t>
      </w:r>
    </w:p>
    <w:p w14:paraId="7ADEBCA6" w14:textId="77777777" w:rsidR="00562EE5" w:rsidRDefault="00562EE5" w:rsidP="00562EE5">
      <w:pPr>
        <w:jc w:val="both"/>
        <w:rPr>
          <w:rFonts w:cs="Batang"/>
          <w:sz w:val="20"/>
          <w:szCs w:val="20"/>
          <w:lang w:val="en-GB" w:eastAsia="ja-JP"/>
        </w:rPr>
      </w:pPr>
    </w:p>
    <w:p w14:paraId="25AB7C21" w14:textId="24BE5C19" w:rsidR="00562EE5" w:rsidRDefault="00562EE5" w:rsidP="00562EE5">
      <w:pPr>
        <w:jc w:val="both"/>
        <w:rPr>
          <w:rFonts w:cs="Batang"/>
          <w:b/>
          <w:bCs/>
          <w:i/>
          <w:iCs/>
          <w:sz w:val="20"/>
          <w:szCs w:val="20"/>
        </w:rPr>
      </w:pPr>
      <w:r w:rsidRPr="00562EE5">
        <w:rPr>
          <w:rFonts w:cs="Batang"/>
          <w:b/>
          <w:bCs/>
          <w:i/>
          <w:iCs/>
          <w:sz w:val="20"/>
          <w:szCs w:val="20"/>
        </w:rPr>
        <w:t xml:space="preserve">Proposal </w:t>
      </w:r>
      <w:r>
        <w:rPr>
          <w:rFonts w:cs="Batang"/>
          <w:b/>
          <w:bCs/>
          <w:i/>
          <w:iCs/>
          <w:sz w:val="20"/>
          <w:szCs w:val="20"/>
        </w:rPr>
        <w:t>5</w:t>
      </w:r>
      <w:r w:rsidRPr="00562EE5">
        <w:rPr>
          <w:rFonts w:cs="Batang"/>
          <w:b/>
          <w:bCs/>
          <w:i/>
          <w:iCs/>
          <w:sz w:val="20"/>
          <w:szCs w:val="20"/>
        </w:rPr>
        <w:t xml:space="preserve">: </w:t>
      </w:r>
      <w:r>
        <w:rPr>
          <w:rFonts w:cs="Batang"/>
          <w:b/>
          <w:bCs/>
          <w:i/>
          <w:iCs/>
          <w:sz w:val="20"/>
          <w:szCs w:val="20"/>
        </w:rPr>
        <w:t>Further study the feasibility, and impacts to legacy UE, for</w:t>
      </w:r>
      <w:r w:rsidRPr="00562EE5">
        <w:rPr>
          <w:rFonts w:cs="Batang"/>
          <w:b/>
          <w:bCs/>
          <w:i/>
          <w:iCs/>
          <w:sz w:val="20"/>
          <w:szCs w:val="20"/>
        </w:rPr>
        <w:t xml:space="preserve"> DL power adjustment </w:t>
      </w:r>
    </w:p>
    <w:p w14:paraId="35DFF8A2" w14:textId="77777777" w:rsidR="00D45853" w:rsidRPr="00562EE5" w:rsidRDefault="00D45853" w:rsidP="00562EE5">
      <w:pPr>
        <w:jc w:val="both"/>
        <w:rPr>
          <w:rFonts w:cs="Batang"/>
          <w:b/>
          <w:bCs/>
          <w:i/>
          <w:iCs/>
          <w:sz w:val="20"/>
          <w:szCs w:val="20"/>
        </w:rPr>
      </w:pPr>
    </w:p>
    <w:p w14:paraId="319B6700" w14:textId="2C7FF69F" w:rsidR="007A1F9E" w:rsidRDefault="007A1F9E" w:rsidP="007A1F9E">
      <w:pPr>
        <w:pStyle w:val="Heading1"/>
      </w:pPr>
      <w:r>
        <w:t>Conclusion</w:t>
      </w:r>
    </w:p>
    <w:p w14:paraId="493C61C7" w14:textId="6DDDF9BF"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w:t>
      </w:r>
      <w:r w:rsidR="00EB225C">
        <w:rPr>
          <w:lang w:val="en-US" w:eastAsia="zh-CN"/>
        </w:rPr>
        <w:t xml:space="preserve">our views on CLI management </w:t>
      </w:r>
      <w:r w:rsidR="008C6E16">
        <w:rPr>
          <w:lang w:val="en-US" w:eastAsia="zh-CN"/>
        </w:rPr>
        <w:t xml:space="preserve">for full-duplex operation at </w:t>
      </w:r>
      <w:proofErr w:type="spellStart"/>
      <w:r w:rsidR="008C6E16">
        <w:rPr>
          <w:lang w:val="en-US" w:eastAsia="zh-CN"/>
        </w:rPr>
        <w:t>gNB</w:t>
      </w:r>
      <w:proofErr w:type="spellEnd"/>
      <w:r w:rsidR="00CA3110">
        <w:rPr>
          <w:lang w:val="en-US" w:eastAsia="zh-CN"/>
        </w:rPr>
        <w:t>. Based on what we discussed, the following proposal</w:t>
      </w:r>
      <w:r w:rsidR="008C6E16">
        <w:rPr>
          <w:lang w:val="en-US" w:eastAsia="zh-CN"/>
        </w:rPr>
        <w:t xml:space="preserve">s </w:t>
      </w:r>
      <w:r w:rsidR="00CA3110">
        <w:rPr>
          <w:lang w:val="en-US" w:eastAsia="zh-CN"/>
        </w:rPr>
        <w:t>are made:</w:t>
      </w:r>
    </w:p>
    <w:p w14:paraId="5F42B8E4" w14:textId="77777777" w:rsidR="008C6E16" w:rsidRPr="00FB414C" w:rsidRDefault="008C6E16" w:rsidP="008C6E16">
      <w:pPr>
        <w:jc w:val="both"/>
        <w:rPr>
          <w:rFonts w:cs="Batang"/>
          <w:b/>
          <w:bCs/>
          <w:i/>
          <w:iCs/>
          <w:sz w:val="20"/>
          <w:szCs w:val="20"/>
        </w:rPr>
      </w:pPr>
      <w:r w:rsidRPr="00FB414C">
        <w:rPr>
          <w:rFonts w:cs="Batang"/>
          <w:b/>
          <w:bCs/>
          <w:i/>
          <w:iCs/>
          <w:sz w:val="20"/>
          <w:szCs w:val="20"/>
        </w:rPr>
        <w:t xml:space="preserve">Proposal </w:t>
      </w:r>
      <w:r>
        <w:rPr>
          <w:rFonts w:cs="Batang"/>
          <w:b/>
          <w:bCs/>
          <w:i/>
          <w:iCs/>
          <w:sz w:val="20"/>
          <w:szCs w:val="20"/>
        </w:rPr>
        <w:t>1</w:t>
      </w:r>
      <w:r w:rsidRPr="00FB414C">
        <w:rPr>
          <w:rFonts w:cs="Batang"/>
          <w:b/>
          <w:bCs/>
          <w:i/>
          <w:iCs/>
          <w:sz w:val="20"/>
          <w:szCs w:val="20"/>
        </w:rPr>
        <w:t xml:space="preserve">: </w:t>
      </w:r>
      <w:r>
        <w:rPr>
          <w:rFonts w:cs="Batang"/>
          <w:b/>
          <w:bCs/>
          <w:i/>
          <w:iCs/>
          <w:sz w:val="20"/>
          <w:szCs w:val="20"/>
        </w:rPr>
        <w:t>S</w:t>
      </w:r>
      <w:r w:rsidRPr="00FB414C">
        <w:rPr>
          <w:rFonts w:cs="Batang"/>
          <w:b/>
          <w:bCs/>
          <w:i/>
          <w:iCs/>
          <w:sz w:val="20"/>
          <w:szCs w:val="20"/>
        </w:rPr>
        <w:t xml:space="preserve">cheduler </w:t>
      </w:r>
      <w:r>
        <w:rPr>
          <w:rFonts w:cs="Batang"/>
          <w:b/>
          <w:bCs/>
          <w:i/>
          <w:iCs/>
          <w:sz w:val="20"/>
          <w:szCs w:val="20"/>
        </w:rPr>
        <w:t xml:space="preserve">shall strive to </w:t>
      </w:r>
      <w:r w:rsidRPr="00FB414C">
        <w:rPr>
          <w:rFonts w:cs="Batang"/>
          <w:b/>
          <w:bCs/>
          <w:i/>
          <w:iCs/>
          <w:sz w:val="20"/>
          <w:szCs w:val="20"/>
        </w:rPr>
        <w:t>avoid</w:t>
      </w:r>
      <w:r>
        <w:rPr>
          <w:rFonts w:cs="Batang"/>
          <w:b/>
          <w:bCs/>
          <w:i/>
          <w:iCs/>
          <w:sz w:val="20"/>
          <w:szCs w:val="20"/>
        </w:rPr>
        <w:t xml:space="preserve"> UE-to-UE</w:t>
      </w:r>
      <w:r w:rsidRPr="00FB414C">
        <w:rPr>
          <w:rFonts w:cs="Batang"/>
          <w:b/>
          <w:bCs/>
          <w:i/>
          <w:iCs/>
          <w:sz w:val="20"/>
          <w:szCs w:val="20"/>
        </w:rPr>
        <w:t xml:space="preserve"> CLI, e.g., by </w:t>
      </w:r>
      <w:r>
        <w:rPr>
          <w:rFonts w:cs="Batang"/>
          <w:b/>
          <w:bCs/>
          <w:i/>
          <w:iCs/>
          <w:sz w:val="20"/>
          <w:szCs w:val="20"/>
        </w:rPr>
        <w:t xml:space="preserve">ensuring </w:t>
      </w:r>
      <w:r w:rsidRPr="00FB414C">
        <w:rPr>
          <w:rFonts w:cs="Batang"/>
          <w:b/>
          <w:bCs/>
          <w:i/>
          <w:iCs/>
          <w:sz w:val="20"/>
          <w:szCs w:val="20"/>
        </w:rPr>
        <w:t>separation of aggressor/victim UEs in frequency and/or space</w:t>
      </w:r>
      <w:r>
        <w:rPr>
          <w:rFonts w:cs="Batang"/>
          <w:b/>
          <w:bCs/>
          <w:i/>
          <w:iCs/>
          <w:sz w:val="20"/>
          <w:szCs w:val="20"/>
        </w:rPr>
        <w:t>, based on existing signaling.</w:t>
      </w:r>
    </w:p>
    <w:p w14:paraId="719789C7" w14:textId="77777777" w:rsidR="008C6E16" w:rsidRPr="006D4F66" w:rsidRDefault="008C6E16" w:rsidP="008C6E16">
      <w:pPr>
        <w:jc w:val="both"/>
        <w:rPr>
          <w:sz w:val="20"/>
          <w:szCs w:val="20"/>
        </w:rPr>
      </w:pPr>
      <w:r>
        <w:rPr>
          <w:sz w:val="20"/>
          <w:szCs w:val="20"/>
          <w:lang w:val="en-GB"/>
        </w:rPr>
        <w:t xml:space="preserve"> </w:t>
      </w:r>
      <w:r w:rsidRPr="006D4F66">
        <w:rPr>
          <w:sz w:val="20"/>
          <w:szCs w:val="20"/>
          <w:lang w:val="en-GB"/>
        </w:rPr>
        <w:t xml:space="preserve"> </w:t>
      </w:r>
    </w:p>
    <w:p w14:paraId="5D8D8C54" w14:textId="77777777" w:rsidR="008C6E16" w:rsidRDefault="008C6E16" w:rsidP="008C6E16">
      <w:pPr>
        <w:pStyle w:val="0Maintext"/>
        <w:spacing w:after="120" w:afterAutospacing="0" w:line="240" w:lineRule="auto"/>
        <w:ind w:firstLine="0"/>
        <w:rPr>
          <w:b/>
          <w:bCs/>
          <w:i/>
          <w:iCs/>
        </w:rPr>
      </w:pPr>
      <w:r w:rsidRPr="00E96C6C">
        <w:rPr>
          <w:b/>
          <w:bCs/>
          <w:i/>
          <w:iCs/>
          <w:lang w:val="en-US" w:eastAsia="zh-CN"/>
        </w:rPr>
        <w:t>Proposa</w:t>
      </w:r>
      <w:r>
        <w:rPr>
          <w:b/>
          <w:bCs/>
          <w:i/>
          <w:iCs/>
          <w:lang w:val="en-US" w:eastAsia="zh-CN"/>
        </w:rPr>
        <w:t>l 2</w:t>
      </w:r>
      <w:r w:rsidRPr="00E96C6C">
        <w:rPr>
          <w:b/>
          <w:bCs/>
          <w:i/>
          <w:iCs/>
          <w:lang w:val="en-US" w:eastAsia="zh-CN"/>
        </w:rPr>
        <w:t>:</w:t>
      </w:r>
      <w:r>
        <w:rPr>
          <w:b/>
          <w:bCs/>
          <w:i/>
          <w:iCs/>
          <w:lang w:val="en-US" w:eastAsia="zh-CN"/>
        </w:rPr>
        <w:t xml:space="preserve"> </w:t>
      </w:r>
      <w:r w:rsidRPr="00F60A71">
        <w:rPr>
          <w:b/>
          <w:bCs/>
          <w:i/>
          <w:iCs/>
        </w:rPr>
        <w:t>Potential aggressor UE, UE</w:t>
      </w:r>
      <w:r w:rsidRPr="00F60A71">
        <w:rPr>
          <w:b/>
          <w:bCs/>
          <w:i/>
          <w:iCs/>
          <w:vertAlign w:val="subscript"/>
        </w:rPr>
        <w:t>A</w:t>
      </w:r>
      <w:r w:rsidRPr="00F60A71">
        <w:rPr>
          <w:b/>
          <w:bCs/>
          <w:i/>
          <w:iCs/>
        </w:rPr>
        <w:t>, is indicated to measure SRS</w:t>
      </w:r>
      <w:r>
        <w:rPr>
          <w:b/>
          <w:bCs/>
          <w:i/>
          <w:iCs/>
        </w:rPr>
        <w:t xml:space="preserve"> (transmitted by potential victim UE)</w:t>
      </w:r>
      <w:r w:rsidRPr="00F60A71">
        <w:rPr>
          <w:b/>
          <w:bCs/>
          <w:i/>
          <w:iCs/>
        </w:rPr>
        <w:t xml:space="preserve"> before PUSCH transmission</w:t>
      </w:r>
      <w:r>
        <w:rPr>
          <w:b/>
          <w:bCs/>
          <w:i/>
          <w:iCs/>
        </w:rPr>
        <w:t xml:space="preserve">. </w:t>
      </w:r>
      <w:r w:rsidRPr="00F60A71">
        <w:rPr>
          <w:b/>
          <w:bCs/>
          <w:i/>
          <w:iCs/>
        </w:rPr>
        <w:t>The indication can be through DCI scheduling the PUSCH for aggressor UE</w:t>
      </w:r>
      <w:r>
        <w:rPr>
          <w:b/>
          <w:bCs/>
          <w:i/>
          <w:iCs/>
        </w:rPr>
        <w:t>.</w:t>
      </w:r>
    </w:p>
    <w:p w14:paraId="1A4D683B" w14:textId="77777777" w:rsidR="008C6E16" w:rsidRDefault="008C6E16" w:rsidP="008C6E16">
      <w:pPr>
        <w:pStyle w:val="0Maintext"/>
        <w:numPr>
          <w:ilvl w:val="0"/>
          <w:numId w:val="25"/>
        </w:numPr>
        <w:spacing w:after="120" w:afterAutospacing="0" w:line="240" w:lineRule="auto"/>
        <w:rPr>
          <w:b/>
          <w:bCs/>
          <w:i/>
          <w:iCs/>
        </w:rPr>
      </w:pPr>
      <w:r>
        <w:rPr>
          <w:b/>
          <w:bCs/>
          <w:i/>
          <w:iCs/>
        </w:rPr>
        <w:t>One</w:t>
      </w:r>
      <w:r w:rsidRPr="00F60A71">
        <w:rPr>
          <w:b/>
          <w:bCs/>
          <w:i/>
          <w:iCs/>
        </w:rPr>
        <w:t xml:space="preserve"> (or more) aperiodic SRS resource sets are tagged with a RRC parameter indicating CTS purpose</w:t>
      </w:r>
    </w:p>
    <w:p w14:paraId="26A460A0" w14:textId="77777777" w:rsidR="008C6E16" w:rsidRDefault="008C6E16" w:rsidP="008C6E16">
      <w:pPr>
        <w:pStyle w:val="0Maintext"/>
        <w:numPr>
          <w:ilvl w:val="0"/>
          <w:numId w:val="25"/>
        </w:numPr>
        <w:spacing w:after="120" w:afterAutospacing="0" w:line="240" w:lineRule="auto"/>
        <w:rPr>
          <w:b/>
          <w:bCs/>
          <w:i/>
          <w:iCs/>
        </w:rPr>
      </w:pPr>
      <w:r w:rsidRPr="00F60A71">
        <w:rPr>
          <w:b/>
          <w:bCs/>
          <w:i/>
          <w:iCs/>
        </w:rPr>
        <w:t>Once SRS request bit-field activates such SRS resource set, (potential) UE</w:t>
      </w:r>
      <w:r>
        <w:rPr>
          <w:b/>
          <w:bCs/>
          <w:i/>
          <w:iCs/>
          <w:vertAlign w:val="subscript"/>
        </w:rPr>
        <w:t>A</w:t>
      </w:r>
      <w:r w:rsidRPr="00F60A71">
        <w:rPr>
          <w:b/>
          <w:bCs/>
          <w:i/>
          <w:iCs/>
        </w:rPr>
        <w:t xml:space="preserve"> performs SRS-RSRP and/or CLI-RSSI over the activated SRS resource(s) </w:t>
      </w:r>
    </w:p>
    <w:p w14:paraId="3071B273" w14:textId="77777777" w:rsidR="008C6E16" w:rsidRDefault="008C6E16" w:rsidP="008C6E16">
      <w:pPr>
        <w:jc w:val="both"/>
        <w:rPr>
          <w:sz w:val="20"/>
          <w:szCs w:val="20"/>
        </w:rPr>
      </w:pPr>
    </w:p>
    <w:p w14:paraId="0B49D7FF" w14:textId="77777777" w:rsidR="00BE4C1E" w:rsidRPr="00BE4C1E" w:rsidRDefault="00BE4C1E" w:rsidP="00BE4C1E">
      <w:pPr>
        <w:pStyle w:val="0Maintext"/>
        <w:spacing w:after="120" w:afterAutospacing="0" w:line="240" w:lineRule="auto"/>
        <w:ind w:firstLine="0"/>
        <w:rPr>
          <w:b/>
          <w:bCs/>
          <w:i/>
          <w:iCs/>
          <w:lang w:val="en-US"/>
        </w:rPr>
      </w:pPr>
      <w:r w:rsidRPr="00BE4C1E">
        <w:rPr>
          <w:b/>
          <w:bCs/>
          <w:i/>
          <w:iCs/>
          <w:lang w:val="en-US" w:eastAsia="zh-CN"/>
        </w:rPr>
        <w:t xml:space="preserve">Proposal 3: Study feasibility of a mechanism to indicate </w:t>
      </w:r>
      <w:r w:rsidRPr="00BE4C1E">
        <w:rPr>
          <w:b/>
          <w:bCs/>
          <w:i/>
          <w:iCs/>
        </w:rPr>
        <w:t xml:space="preserve">future release </w:t>
      </w:r>
      <w:r w:rsidRPr="00BE4C1E">
        <w:rPr>
          <w:b/>
          <w:bCs/>
          <w:i/>
          <w:iCs/>
          <w:lang w:val="en-US"/>
        </w:rPr>
        <w:t>UE about cell duplex operation mode.</w:t>
      </w:r>
    </w:p>
    <w:p w14:paraId="4A220CCB" w14:textId="5E6DB3A6" w:rsidR="008C6E16" w:rsidRPr="008C6E16" w:rsidRDefault="008C6E16" w:rsidP="008C6E16">
      <w:pPr>
        <w:pStyle w:val="Heading2"/>
        <w:numPr>
          <w:ilvl w:val="0"/>
          <w:numId w:val="0"/>
        </w:numPr>
        <w:jc w:val="both"/>
        <w:rPr>
          <w:rFonts w:eastAsia="Times New Roman" w:cs="Batang"/>
          <w:b/>
          <w:bCs/>
          <w:i/>
          <w:iCs/>
          <w:sz w:val="20"/>
          <w:szCs w:val="20"/>
        </w:rPr>
      </w:pPr>
      <w:r w:rsidRPr="00115F3F">
        <w:rPr>
          <w:rFonts w:eastAsia="Times New Roman" w:cs="Batang"/>
          <w:b/>
          <w:bCs/>
          <w:i/>
          <w:iCs/>
          <w:sz w:val="20"/>
          <w:szCs w:val="20"/>
        </w:rPr>
        <w:t>Proposal</w:t>
      </w:r>
      <w:r>
        <w:rPr>
          <w:rFonts w:eastAsia="Times New Roman" w:cs="Batang"/>
          <w:b/>
          <w:bCs/>
          <w:i/>
          <w:iCs/>
          <w:sz w:val="20"/>
          <w:szCs w:val="20"/>
        </w:rPr>
        <w:t xml:space="preserve"> 4</w:t>
      </w:r>
      <w:r w:rsidRPr="00115F3F">
        <w:rPr>
          <w:rFonts w:eastAsia="Times New Roman" w:cs="Batang"/>
          <w:b/>
          <w:bCs/>
          <w:i/>
          <w:iCs/>
          <w:sz w:val="20"/>
          <w:szCs w:val="20"/>
        </w:rPr>
        <w:t>: DL</w:t>
      </w:r>
      <w:r>
        <w:rPr>
          <w:rFonts w:eastAsia="Times New Roman" w:cs="Batang"/>
          <w:b/>
          <w:bCs/>
          <w:i/>
          <w:iCs/>
          <w:sz w:val="20"/>
          <w:szCs w:val="20"/>
        </w:rPr>
        <w:t xml:space="preserve"> CLI indication</w:t>
      </w:r>
      <w:r w:rsidRPr="00115F3F">
        <w:rPr>
          <w:rFonts w:eastAsia="Times New Roman" w:cs="Batang"/>
          <w:b/>
          <w:bCs/>
          <w:i/>
          <w:iCs/>
          <w:sz w:val="20"/>
          <w:szCs w:val="20"/>
        </w:rPr>
        <w:t>,</w:t>
      </w:r>
      <w:r>
        <w:rPr>
          <w:rFonts w:eastAsia="Times New Roman" w:cs="Batang"/>
          <w:b/>
          <w:bCs/>
          <w:i/>
          <w:iCs/>
          <w:sz w:val="20"/>
          <w:szCs w:val="20"/>
        </w:rPr>
        <w:t xml:space="preserve"> e.g., based on DL-PI, </w:t>
      </w:r>
      <w:r w:rsidRPr="00115F3F">
        <w:rPr>
          <w:rFonts w:eastAsia="Times New Roman" w:cs="Batang"/>
          <w:b/>
          <w:bCs/>
          <w:i/>
          <w:iCs/>
          <w:sz w:val="20"/>
          <w:szCs w:val="20"/>
        </w:rPr>
        <w:t>indicates which symbols were impacted by cross-link interference from aggressor UE(s)</w:t>
      </w:r>
      <w:r>
        <w:rPr>
          <w:rFonts w:eastAsia="Times New Roman" w:cs="Batang"/>
          <w:b/>
          <w:bCs/>
          <w:i/>
          <w:iCs/>
          <w:sz w:val="20"/>
          <w:szCs w:val="20"/>
        </w:rPr>
        <w:t xml:space="preserve">. </w:t>
      </w:r>
    </w:p>
    <w:p w14:paraId="17519E97" w14:textId="77777777" w:rsidR="008C6E16" w:rsidRPr="00562EE5" w:rsidRDefault="008C6E16" w:rsidP="008C6E16">
      <w:pPr>
        <w:jc w:val="both"/>
        <w:rPr>
          <w:rFonts w:cs="Batang"/>
          <w:b/>
          <w:bCs/>
          <w:i/>
          <w:iCs/>
          <w:sz w:val="20"/>
          <w:szCs w:val="20"/>
        </w:rPr>
      </w:pPr>
      <w:r w:rsidRPr="00562EE5">
        <w:rPr>
          <w:rFonts w:cs="Batang"/>
          <w:b/>
          <w:bCs/>
          <w:i/>
          <w:iCs/>
          <w:sz w:val="20"/>
          <w:szCs w:val="20"/>
        </w:rPr>
        <w:t xml:space="preserve">Proposal </w:t>
      </w:r>
      <w:r>
        <w:rPr>
          <w:rFonts w:cs="Batang"/>
          <w:b/>
          <w:bCs/>
          <w:i/>
          <w:iCs/>
          <w:sz w:val="20"/>
          <w:szCs w:val="20"/>
        </w:rPr>
        <w:t>5</w:t>
      </w:r>
      <w:r w:rsidRPr="00562EE5">
        <w:rPr>
          <w:rFonts w:cs="Batang"/>
          <w:b/>
          <w:bCs/>
          <w:i/>
          <w:iCs/>
          <w:sz w:val="20"/>
          <w:szCs w:val="20"/>
        </w:rPr>
        <w:t xml:space="preserve">: </w:t>
      </w:r>
      <w:r>
        <w:rPr>
          <w:rFonts w:cs="Batang"/>
          <w:b/>
          <w:bCs/>
          <w:i/>
          <w:iCs/>
          <w:sz w:val="20"/>
          <w:szCs w:val="20"/>
        </w:rPr>
        <w:t>Further study the feasibility, and impacts to legacy UE, for</w:t>
      </w:r>
      <w:r w:rsidRPr="00562EE5">
        <w:rPr>
          <w:rFonts w:cs="Batang"/>
          <w:b/>
          <w:bCs/>
          <w:i/>
          <w:iCs/>
          <w:sz w:val="20"/>
          <w:szCs w:val="20"/>
        </w:rPr>
        <w:t xml:space="preserve"> DL power adjustment </w:t>
      </w:r>
    </w:p>
    <w:p w14:paraId="7E51A379" w14:textId="0F8791F1" w:rsidR="00620C29" w:rsidRPr="004A7A40" w:rsidRDefault="004A7A40" w:rsidP="004A7A40">
      <w:pPr>
        <w:pStyle w:val="Heading1"/>
      </w:pPr>
      <w:r>
        <w:t>References</w:t>
      </w:r>
    </w:p>
    <w:p w14:paraId="05477947" w14:textId="1E2D3E4E" w:rsidR="00EF1791" w:rsidRPr="008E0B6D"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1B4412"/>
    <w:multiLevelType w:val="hybridMultilevel"/>
    <w:tmpl w:val="4D840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54850"/>
    <w:multiLevelType w:val="hybridMultilevel"/>
    <w:tmpl w:val="E9108D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CE0E7E"/>
    <w:multiLevelType w:val="hybridMultilevel"/>
    <w:tmpl w:val="34DA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20"/>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3"/>
  </w:num>
  <w:num w:numId="5" w16cid:durableId="559053736">
    <w:abstractNumId w:val="9"/>
  </w:num>
  <w:num w:numId="6" w16cid:durableId="1855418263">
    <w:abstractNumId w:val="4"/>
  </w:num>
  <w:num w:numId="7" w16cid:durableId="1158962368">
    <w:abstractNumId w:val="5"/>
  </w:num>
  <w:num w:numId="8" w16cid:durableId="124978665">
    <w:abstractNumId w:val="19"/>
  </w:num>
  <w:num w:numId="9" w16cid:durableId="1560631235">
    <w:abstractNumId w:val="4"/>
  </w:num>
  <w:num w:numId="10" w16cid:durableId="1957518174">
    <w:abstractNumId w:val="18"/>
  </w:num>
  <w:num w:numId="11" w16cid:durableId="148325099">
    <w:abstractNumId w:val="22"/>
  </w:num>
  <w:num w:numId="12" w16cid:durableId="1367829081">
    <w:abstractNumId w:val="4"/>
  </w:num>
  <w:num w:numId="13" w16cid:durableId="1458793434">
    <w:abstractNumId w:val="16"/>
  </w:num>
  <w:num w:numId="14" w16cid:durableId="1120991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7"/>
  </w:num>
  <w:num w:numId="16" w16cid:durableId="753893123">
    <w:abstractNumId w:val="1"/>
  </w:num>
  <w:num w:numId="17" w16cid:durableId="298189470">
    <w:abstractNumId w:val="6"/>
  </w:num>
  <w:num w:numId="18" w16cid:durableId="967591525">
    <w:abstractNumId w:val="15"/>
  </w:num>
  <w:num w:numId="19" w16cid:durableId="1887063373">
    <w:abstractNumId w:val="3"/>
  </w:num>
  <w:num w:numId="20" w16cid:durableId="995575650">
    <w:abstractNumId w:val="14"/>
  </w:num>
  <w:num w:numId="21" w16cid:durableId="91947407">
    <w:abstractNumId w:val="21"/>
  </w:num>
  <w:num w:numId="22" w16cid:durableId="1929462533">
    <w:abstractNumId w:val="10"/>
  </w:num>
  <w:num w:numId="23" w16cid:durableId="1401320232">
    <w:abstractNumId w:val="12"/>
  </w:num>
  <w:num w:numId="24" w16cid:durableId="728695090">
    <w:abstractNumId w:val="8"/>
  </w:num>
  <w:num w:numId="25" w16cid:durableId="1297101469">
    <w:abstractNumId w:val="2"/>
  </w:num>
  <w:num w:numId="26" w16cid:durableId="77648716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065C0"/>
    <w:rsid w:val="000100B5"/>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1AFF"/>
    <w:rsid w:val="000756C7"/>
    <w:rsid w:val="0007732F"/>
    <w:rsid w:val="00081B2B"/>
    <w:rsid w:val="00085223"/>
    <w:rsid w:val="0008670F"/>
    <w:rsid w:val="000923EC"/>
    <w:rsid w:val="000A1890"/>
    <w:rsid w:val="000A79C9"/>
    <w:rsid w:val="000B2E59"/>
    <w:rsid w:val="000C0C18"/>
    <w:rsid w:val="000C7006"/>
    <w:rsid w:val="000D0F78"/>
    <w:rsid w:val="000D2660"/>
    <w:rsid w:val="000D4A1A"/>
    <w:rsid w:val="000D54C9"/>
    <w:rsid w:val="000E2519"/>
    <w:rsid w:val="000F2C70"/>
    <w:rsid w:val="0010269A"/>
    <w:rsid w:val="001033DC"/>
    <w:rsid w:val="00103EC9"/>
    <w:rsid w:val="00107247"/>
    <w:rsid w:val="001139F4"/>
    <w:rsid w:val="00115F3F"/>
    <w:rsid w:val="0012163E"/>
    <w:rsid w:val="00127219"/>
    <w:rsid w:val="00130A25"/>
    <w:rsid w:val="0013108B"/>
    <w:rsid w:val="00134A16"/>
    <w:rsid w:val="00134CE7"/>
    <w:rsid w:val="00140849"/>
    <w:rsid w:val="0014756C"/>
    <w:rsid w:val="001511AC"/>
    <w:rsid w:val="00153773"/>
    <w:rsid w:val="0015382F"/>
    <w:rsid w:val="00161E92"/>
    <w:rsid w:val="00162C20"/>
    <w:rsid w:val="001655D0"/>
    <w:rsid w:val="001661E0"/>
    <w:rsid w:val="0018214E"/>
    <w:rsid w:val="0018269A"/>
    <w:rsid w:val="00185A0B"/>
    <w:rsid w:val="0018607A"/>
    <w:rsid w:val="00193222"/>
    <w:rsid w:val="00194BBD"/>
    <w:rsid w:val="0019597B"/>
    <w:rsid w:val="001A1E71"/>
    <w:rsid w:val="001A4FA2"/>
    <w:rsid w:val="001A5A42"/>
    <w:rsid w:val="001A5F2D"/>
    <w:rsid w:val="001A7C0A"/>
    <w:rsid w:val="001B0BC6"/>
    <w:rsid w:val="001B3F28"/>
    <w:rsid w:val="001B4E23"/>
    <w:rsid w:val="001B5175"/>
    <w:rsid w:val="001B7BEC"/>
    <w:rsid w:val="001C0CB6"/>
    <w:rsid w:val="001C3DE0"/>
    <w:rsid w:val="001C4241"/>
    <w:rsid w:val="001C53C6"/>
    <w:rsid w:val="001C71ED"/>
    <w:rsid w:val="001D4036"/>
    <w:rsid w:val="001D4551"/>
    <w:rsid w:val="001D5F61"/>
    <w:rsid w:val="001D6F74"/>
    <w:rsid w:val="001D73FF"/>
    <w:rsid w:val="001E041B"/>
    <w:rsid w:val="001E62A2"/>
    <w:rsid w:val="001E73AB"/>
    <w:rsid w:val="001E7C26"/>
    <w:rsid w:val="001F1442"/>
    <w:rsid w:val="00203A0D"/>
    <w:rsid w:val="00205FF8"/>
    <w:rsid w:val="002134C9"/>
    <w:rsid w:val="00214DB5"/>
    <w:rsid w:val="00215CAC"/>
    <w:rsid w:val="0022064E"/>
    <w:rsid w:val="0022367D"/>
    <w:rsid w:val="00227ADC"/>
    <w:rsid w:val="002302B1"/>
    <w:rsid w:val="00231473"/>
    <w:rsid w:val="00232779"/>
    <w:rsid w:val="00242650"/>
    <w:rsid w:val="00245D27"/>
    <w:rsid w:val="00252B41"/>
    <w:rsid w:val="002562BF"/>
    <w:rsid w:val="00256314"/>
    <w:rsid w:val="00256E42"/>
    <w:rsid w:val="00263926"/>
    <w:rsid w:val="00266E0F"/>
    <w:rsid w:val="002672E4"/>
    <w:rsid w:val="00270C5A"/>
    <w:rsid w:val="0027181A"/>
    <w:rsid w:val="00274F27"/>
    <w:rsid w:val="00277B82"/>
    <w:rsid w:val="002814E7"/>
    <w:rsid w:val="00284AB0"/>
    <w:rsid w:val="00285B13"/>
    <w:rsid w:val="0029000E"/>
    <w:rsid w:val="002948FF"/>
    <w:rsid w:val="0029769A"/>
    <w:rsid w:val="002A1F80"/>
    <w:rsid w:val="002A274D"/>
    <w:rsid w:val="002A5795"/>
    <w:rsid w:val="002A5B21"/>
    <w:rsid w:val="002A7EFF"/>
    <w:rsid w:val="002B0171"/>
    <w:rsid w:val="002B21D4"/>
    <w:rsid w:val="002B72F3"/>
    <w:rsid w:val="002C1494"/>
    <w:rsid w:val="002C2CE9"/>
    <w:rsid w:val="002C4EFD"/>
    <w:rsid w:val="002C7880"/>
    <w:rsid w:val="002C796C"/>
    <w:rsid w:val="002D2BEB"/>
    <w:rsid w:val="002D2CAA"/>
    <w:rsid w:val="002D2FF0"/>
    <w:rsid w:val="002D4B22"/>
    <w:rsid w:val="002D6F69"/>
    <w:rsid w:val="002E2806"/>
    <w:rsid w:val="002E337E"/>
    <w:rsid w:val="002E5153"/>
    <w:rsid w:val="002E7D5F"/>
    <w:rsid w:val="002F3060"/>
    <w:rsid w:val="002F33E1"/>
    <w:rsid w:val="002F45F1"/>
    <w:rsid w:val="00300829"/>
    <w:rsid w:val="00301356"/>
    <w:rsid w:val="0030554A"/>
    <w:rsid w:val="00306493"/>
    <w:rsid w:val="003105DC"/>
    <w:rsid w:val="00311CE0"/>
    <w:rsid w:val="0031378A"/>
    <w:rsid w:val="00315F36"/>
    <w:rsid w:val="00322AFC"/>
    <w:rsid w:val="003262D0"/>
    <w:rsid w:val="00326AED"/>
    <w:rsid w:val="0034417B"/>
    <w:rsid w:val="00344AE3"/>
    <w:rsid w:val="00351207"/>
    <w:rsid w:val="0035243D"/>
    <w:rsid w:val="00352D9C"/>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A7FBB"/>
    <w:rsid w:val="003B187F"/>
    <w:rsid w:val="003B620C"/>
    <w:rsid w:val="003B6A47"/>
    <w:rsid w:val="003B6AB3"/>
    <w:rsid w:val="003C41D2"/>
    <w:rsid w:val="003C49B0"/>
    <w:rsid w:val="003C7475"/>
    <w:rsid w:val="003C74B7"/>
    <w:rsid w:val="003D0609"/>
    <w:rsid w:val="003D1F65"/>
    <w:rsid w:val="003D51F2"/>
    <w:rsid w:val="003E0060"/>
    <w:rsid w:val="003E0B46"/>
    <w:rsid w:val="003E66DF"/>
    <w:rsid w:val="003E75B6"/>
    <w:rsid w:val="003F2E4A"/>
    <w:rsid w:val="003F33CB"/>
    <w:rsid w:val="0041336F"/>
    <w:rsid w:val="00414973"/>
    <w:rsid w:val="0041645E"/>
    <w:rsid w:val="00417FC9"/>
    <w:rsid w:val="00427C39"/>
    <w:rsid w:val="004312F7"/>
    <w:rsid w:val="00434E5C"/>
    <w:rsid w:val="0044499D"/>
    <w:rsid w:val="00445788"/>
    <w:rsid w:val="004468F7"/>
    <w:rsid w:val="00446F00"/>
    <w:rsid w:val="004504F1"/>
    <w:rsid w:val="0045482E"/>
    <w:rsid w:val="00457F5D"/>
    <w:rsid w:val="00461B15"/>
    <w:rsid w:val="00462035"/>
    <w:rsid w:val="00466F57"/>
    <w:rsid w:val="004704C9"/>
    <w:rsid w:val="00472D33"/>
    <w:rsid w:val="00473F4B"/>
    <w:rsid w:val="004752EB"/>
    <w:rsid w:val="004837C5"/>
    <w:rsid w:val="00485EDE"/>
    <w:rsid w:val="004A2991"/>
    <w:rsid w:val="004A41EF"/>
    <w:rsid w:val="004A5D6B"/>
    <w:rsid w:val="004A69A3"/>
    <w:rsid w:val="004A7A40"/>
    <w:rsid w:val="004B3124"/>
    <w:rsid w:val="004B368D"/>
    <w:rsid w:val="004B3DF5"/>
    <w:rsid w:val="004B4D8D"/>
    <w:rsid w:val="004B74CC"/>
    <w:rsid w:val="004C4A14"/>
    <w:rsid w:val="004C6ABA"/>
    <w:rsid w:val="004C7036"/>
    <w:rsid w:val="004E01AD"/>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62EE5"/>
    <w:rsid w:val="00571C1E"/>
    <w:rsid w:val="00574720"/>
    <w:rsid w:val="00576934"/>
    <w:rsid w:val="0057794A"/>
    <w:rsid w:val="0058134C"/>
    <w:rsid w:val="00583230"/>
    <w:rsid w:val="00590E40"/>
    <w:rsid w:val="00593FCB"/>
    <w:rsid w:val="0059417B"/>
    <w:rsid w:val="00596063"/>
    <w:rsid w:val="0059787C"/>
    <w:rsid w:val="005B0F7A"/>
    <w:rsid w:val="005B1AD1"/>
    <w:rsid w:val="005B6997"/>
    <w:rsid w:val="005C7B97"/>
    <w:rsid w:val="005D45F7"/>
    <w:rsid w:val="005D5175"/>
    <w:rsid w:val="005D5233"/>
    <w:rsid w:val="005D5F39"/>
    <w:rsid w:val="005D5FF3"/>
    <w:rsid w:val="005E18E3"/>
    <w:rsid w:val="005E25D9"/>
    <w:rsid w:val="005E3EA9"/>
    <w:rsid w:val="005E44F4"/>
    <w:rsid w:val="005E5E14"/>
    <w:rsid w:val="005F15CC"/>
    <w:rsid w:val="005F7A0E"/>
    <w:rsid w:val="00600FC5"/>
    <w:rsid w:val="00604C3D"/>
    <w:rsid w:val="0060618C"/>
    <w:rsid w:val="0061765C"/>
    <w:rsid w:val="00620C29"/>
    <w:rsid w:val="00622552"/>
    <w:rsid w:val="00624E1C"/>
    <w:rsid w:val="00626534"/>
    <w:rsid w:val="00631A14"/>
    <w:rsid w:val="006337E5"/>
    <w:rsid w:val="00634AF5"/>
    <w:rsid w:val="00634B61"/>
    <w:rsid w:val="00636D7B"/>
    <w:rsid w:val="00641951"/>
    <w:rsid w:val="0064204C"/>
    <w:rsid w:val="00645994"/>
    <w:rsid w:val="006531B1"/>
    <w:rsid w:val="00654D1D"/>
    <w:rsid w:val="00656CB0"/>
    <w:rsid w:val="00660BC6"/>
    <w:rsid w:val="00660CC8"/>
    <w:rsid w:val="00663A24"/>
    <w:rsid w:val="00666868"/>
    <w:rsid w:val="006700A5"/>
    <w:rsid w:val="00672A3E"/>
    <w:rsid w:val="00675931"/>
    <w:rsid w:val="006823E7"/>
    <w:rsid w:val="006824B2"/>
    <w:rsid w:val="00682EED"/>
    <w:rsid w:val="0068752E"/>
    <w:rsid w:val="00695A7E"/>
    <w:rsid w:val="006A43D9"/>
    <w:rsid w:val="006A45D6"/>
    <w:rsid w:val="006A57C0"/>
    <w:rsid w:val="006B060B"/>
    <w:rsid w:val="006B13B0"/>
    <w:rsid w:val="006B3E00"/>
    <w:rsid w:val="006B5D4F"/>
    <w:rsid w:val="006C3506"/>
    <w:rsid w:val="006C4E0D"/>
    <w:rsid w:val="006D4F66"/>
    <w:rsid w:val="006D54CF"/>
    <w:rsid w:val="006E6598"/>
    <w:rsid w:val="006F07E3"/>
    <w:rsid w:val="006F0EC9"/>
    <w:rsid w:val="006F1302"/>
    <w:rsid w:val="006F274D"/>
    <w:rsid w:val="006F66D2"/>
    <w:rsid w:val="00707829"/>
    <w:rsid w:val="0071089C"/>
    <w:rsid w:val="00720BE8"/>
    <w:rsid w:val="00720EBF"/>
    <w:rsid w:val="00724642"/>
    <w:rsid w:val="00732388"/>
    <w:rsid w:val="00732564"/>
    <w:rsid w:val="0073426D"/>
    <w:rsid w:val="00744E6D"/>
    <w:rsid w:val="0074708B"/>
    <w:rsid w:val="00751E2A"/>
    <w:rsid w:val="00753D11"/>
    <w:rsid w:val="00754F02"/>
    <w:rsid w:val="0075517A"/>
    <w:rsid w:val="007570AB"/>
    <w:rsid w:val="007660E5"/>
    <w:rsid w:val="00770366"/>
    <w:rsid w:val="00771C09"/>
    <w:rsid w:val="007720DD"/>
    <w:rsid w:val="007727CB"/>
    <w:rsid w:val="007740EF"/>
    <w:rsid w:val="00775CAC"/>
    <w:rsid w:val="0078114E"/>
    <w:rsid w:val="007A1F9E"/>
    <w:rsid w:val="007A41E3"/>
    <w:rsid w:val="007B273D"/>
    <w:rsid w:val="007B5221"/>
    <w:rsid w:val="007C232B"/>
    <w:rsid w:val="007D27B2"/>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959"/>
    <w:rsid w:val="00821C78"/>
    <w:rsid w:val="00822058"/>
    <w:rsid w:val="008236A0"/>
    <w:rsid w:val="008251EA"/>
    <w:rsid w:val="00830BA2"/>
    <w:rsid w:val="008331B0"/>
    <w:rsid w:val="00834862"/>
    <w:rsid w:val="0083556D"/>
    <w:rsid w:val="00836817"/>
    <w:rsid w:val="00860F75"/>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5F33"/>
    <w:rsid w:val="008A65A1"/>
    <w:rsid w:val="008A69C1"/>
    <w:rsid w:val="008A6FAA"/>
    <w:rsid w:val="008B24BF"/>
    <w:rsid w:val="008B333E"/>
    <w:rsid w:val="008C009A"/>
    <w:rsid w:val="008C2187"/>
    <w:rsid w:val="008C4747"/>
    <w:rsid w:val="008C6E16"/>
    <w:rsid w:val="008D0789"/>
    <w:rsid w:val="008D18C8"/>
    <w:rsid w:val="008D3DD1"/>
    <w:rsid w:val="008D6AE1"/>
    <w:rsid w:val="008E0B6D"/>
    <w:rsid w:val="008F0E83"/>
    <w:rsid w:val="008F11CC"/>
    <w:rsid w:val="008F24A4"/>
    <w:rsid w:val="008F533C"/>
    <w:rsid w:val="00901D2D"/>
    <w:rsid w:val="00906E5E"/>
    <w:rsid w:val="00907ABC"/>
    <w:rsid w:val="00911E05"/>
    <w:rsid w:val="00911EFA"/>
    <w:rsid w:val="009169C4"/>
    <w:rsid w:val="00916E49"/>
    <w:rsid w:val="00920227"/>
    <w:rsid w:val="00920D2A"/>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7EB1"/>
    <w:rsid w:val="009C3BBA"/>
    <w:rsid w:val="009C4CA6"/>
    <w:rsid w:val="009C53B3"/>
    <w:rsid w:val="009D18CF"/>
    <w:rsid w:val="009D1C4F"/>
    <w:rsid w:val="009E0E57"/>
    <w:rsid w:val="009E16AA"/>
    <w:rsid w:val="009E2F96"/>
    <w:rsid w:val="009F58CE"/>
    <w:rsid w:val="009F7D20"/>
    <w:rsid w:val="00A11012"/>
    <w:rsid w:val="00A11EE9"/>
    <w:rsid w:val="00A13349"/>
    <w:rsid w:val="00A1371C"/>
    <w:rsid w:val="00A13AE3"/>
    <w:rsid w:val="00A14D2A"/>
    <w:rsid w:val="00A153FF"/>
    <w:rsid w:val="00A17A22"/>
    <w:rsid w:val="00A20F2F"/>
    <w:rsid w:val="00A2619E"/>
    <w:rsid w:val="00A31852"/>
    <w:rsid w:val="00A31FCD"/>
    <w:rsid w:val="00A327E8"/>
    <w:rsid w:val="00A352F0"/>
    <w:rsid w:val="00A41EE3"/>
    <w:rsid w:val="00A42B01"/>
    <w:rsid w:val="00A466DA"/>
    <w:rsid w:val="00A46C64"/>
    <w:rsid w:val="00A53D85"/>
    <w:rsid w:val="00A60EAB"/>
    <w:rsid w:val="00A805B9"/>
    <w:rsid w:val="00A80DF8"/>
    <w:rsid w:val="00A81738"/>
    <w:rsid w:val="00A86777"/>
    <w:rsid w:val="00A87388"/>
    <w:rsid w:val="00A9213A"/>
    <w:rsid w:val="00A93DEE"/>
    <w:rsid w:val="00A95A78"/>
    <w:rsid w:val="00AA286C"/>
    <w:rsid w:val="00AA4EE3"/>
    <w:rsid w:val="00AA72B3"/>
    <w:rsid w:val="00AB03E8"/>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58BB"/>
    <w:rsid w:val="00B05BB5"/>
    <w:rsid w:val="00B0669A"/>
    <w:rsid w:val="00B06EFF"/>
    <w:rsid w:val="00B07537"/>
    <w:rsid w:val="00B12A9A"/>
    <w:rsid w:val="00B12FE5"/>
    <w:rsid w:val="00B1523B"/>
    <w:rsid w:val="00B1752F"/>
    <w:rsid w:val="00B21867"/>
    <w:rsid w:val="00B23EB7"/>
    <w:rsid w:val="00B30C35"/>
    <w:rsid w:val="00B315B3"/>
    <w:rsid w:val="00B33343"/>
    <w:rsid w:val="00B3398E"/>
    <w:rsid w:val="00B4058C"/>
    <w:rsid w:val="00B43C9D"/>
    <w:rsid w:val="00B5429D"/>
    <w:rsid w:val="00B6127B"/>
    <w:rsid w:val="00B63683"/>
    <w:rsid w:val="00B658E6"/>
    <w:rsid w:val="00B67045"/>
    <w:rsid w:val="00B67EFB"/>
    <w:rsid w:val="00B71E1B"/>
    <w:rsid w:val="00B72388"/>
    <w:rsid w:val="00B750B7"/>
    <w:rsid w:val="00B75DD5"/>
    <w:rsid w:val="00B76E3D"/>
    <w:rsid w:val="00B80C85"/>
    <w:rsid w:val="00B816BB"/>
    <w:rsid w:val="00B818F1"/>
    <w:rsid w:val="00B83E2D"/>
    <w:rsid w:val="00B86B50"/>
    <w:rsid w:val="00B875E8"/>
    <w:rsid w:val="00B90F77"/>
    <w:rsid w:val="00B931DB"/>
    <w:rsid w:val="00B96152"/>
    <w:rsid w:val="00BA1D6C"/>
    <w:rsid w:val="00BA2E33"/>
    <w:rsid w:val="00BA34FC"/>
    <w:rsid w:val="00BB5B03"/>
    <w:rsid w:val="00BB64B1"/>
    <w:rsid w:val="00BB7080"/>
    <w:rsid w:val="00BB7E23"/>
    <w:rsid w:val="00BC2D50"/>
    <w:rsid w:val="00BC38C5"/>
    <w:rsid w:val="00BC5228"/>
    <w:rsid w:val="00BC522F"/>
    <w:rsid w:val="00BC5A1B"/>
    <w:rsid w:val="00BD43B7"/>
    <w:rsid w:val="00BD5870"/>
    <w:rsid w:val="00BD740B"/>
    <w:rsid w:val="00BE0401"/>
    <w:rsid w:val="00BE2B6D"/>
    <w:rsid w:val="00BE3F2D"/>
    <w:rsid w:val="00BE4C1E"/>
    <w:rsid w:val="00BE7BD0"/>
    <w:rsid w:val="00BF1DF3"/>
    <w:rsid w:val="00BF487F"/>
    <w:rsid w:val="00BF6DEF"/>
    <w:rsid w:val="00C0753A"/>
    <w:rsid w:val="00C20B5B"/>
    <w:rsid w:val="00C2111A"/>
    <w:rsid w:val="00C36E32"/>
    <w:rsid w:val="00C405FD"/>
    <w:rsid w:val="00C434FF"/>
    <w:rsid w:val="00C45A30"/>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0E8B"/>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456A"/>
    <w:rsid w:val="00D44CB2"/>
    <w:rsid w:val="00D45853"/>
    <w:rsid w:val="00D45E02"/>
    <w:rsid w:val="00D46443"/>
    <w:rsid w:val="00D47F37"/>
    <w:rsid w:val="00D516C8"/>
    <w:rsid w:val="00D54E04"/>
    <w:rsid w:val="00D57E64"/>
    <w:rsid w:val="00D623A6"/>
    <w:rsid w:val="00D776B7"/>
    <w:rsid w:val="00D82BE1"/>
    <w:rsid w:val="00D83D3F"/>
    <w:rsid w:val="00D9083F"/>
    <w:rsid w:val="00D92B3F"/>
    <w:rsid w:val="00DA3C55"/>
    <w:rsid w:val="00DA570C"/>
    <w:rsid w:val="00DA5EB1"/>
    <w:rsid w:val="00DB1A36"/>
    <w:rsid w:val="00DB481F"/>
    <w:rsid w:val="00DB4A10"/>
    <w:rsid w:val="00DB652D"/>
    <w:rsid w:val="00DB7E54"/>
    <w:rsid w:val="00DC1188"/>
    <w:rsid w:val="00DE5C43"/>
    <w:rsid w:val="00DF0066"/>
    <w:rsid w:val="00DF4C2B"/>
    <w:rsid w:val="00E00694"/>
    <w:rsid w:val="00E10633"/>
    <w:rsid w:val="00E11B95"/>
    <w:rsid w:val="00E11EDC"/>
    <w:rsid w:val="00E12DDA"/>
    <w:rsid w:val="00E27C0E"/>
    <w:rsid w:val="00E30225"/>
    <w:rsid w:val="00E327AE"/>
    <w:rsid w:val="00E344A2"/>
    <w:rsid w:val="00E35546"/>
    <w:rsid w:val="00E35592"/>
    <w:rsid w:val="00E4025A"/>
    <w:rsid w:val="00E41989"/>
    <w:rsid w:val="00E479E0"/>
    <w:rsid w:val="00E50BFF"/>
    <w:rsid w:val="00E55EB5"/>
    <w:rsid w:val="00E56A0E"/>
    <w:rsid w:val="00E60394"/>
    <w:rsid w:val="00E614BF"/>
    <w:rsid w:val="00E7599B"/>
    <w:rsid w:val="00E75B21"/>
    <w:rsid w:val="00E80518"/>
    <w:rsid w:val="00E83E9A"/>
    <w:rsid w:val="00E852C2"/>
    <w:rsid w:val="00E913CB"/>
    <w:rsid w:val="00E930EE"/>
    <w:rsid w:val="00E96857"/>
    <w:rsid w:val="00E96C6C"/>
    <w:rsid w:val="00EA02A2"/>
    <w:rsid w:val="00EA0E7B"/>
    <w:rsid w:val="00EA2090"/>
    <w:rsid w:val="00EA73C1"/>
    <w:rsid w:val="00EB225C"/>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0A71"/>
    <w:rsid w:val="00F66AC9"/>
    <w:rsid w:val="00F72493"/>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B414C"/>
    <w:rsid w:val="00FD41C4"/>
    <w:rsid w:val="00FE0A18"/>
    <w:rsid w:val="00FE1F8E"/>
    <w:rsid w:val="00FE2969"/>
    <w:rsid w:val="00FE3326"/>
    <w:rsid w:val="00FE455C"/>
    <w:rsid w:val="00FE5522"/>
    <w:rsid w:val="00FE7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E4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867</TotalTime>
  <Pages>3</Pages>
  <Words>1290</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67</cp:revision>
  <dcterms:created xsi:type="dcterms:W3CDTF">2022-04-11T01:34:00Z</dcterms:created>
  <dcterms:modified xsi:type="dcterms:W3CDTF">2022-04-25T19:52:00Z</dcterms:modified>
</cp:coreProperties>
</file>