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7017D" w14:textId="73388854" w:rsidR="000372AF" w:rsidRPr="00771486" w:rsidRDefault="000372AF" w:rsidP="000372A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9E69F2"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251B0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</w:t>
      </w:r>
      <w:r w:rsidRPr="00E47A2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62594B" w:rsidRPr="0062594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</w:t>
      </w:r>
      <w:r w:rsidR="00251B0E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04090</w:t>
      </w:r>
    </w:p>
    <w:p w14:paraId="4344C7EE" w14:textId="4F111440" w:rsidR="00730505" w:rsidRDefault="00263B5C" w:rsidP="00730505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263B5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May 9th – 20th,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4EF34D6A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BD36B8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51B0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0E51B57A" w:rsidR="00EF1373" w:rsidRPr="00691B6F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251B0E" w:rsidRPr="00251B0E">
        <w:rPr>
          <w:rFonts w:cs="Times New Roman"/>
          <w:b/>
          <w:bCs/>
        </w:rPr>
        <w:t>Joint channel estimation for PUSCH and PUCCH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751AD949" w14:textId="20B5379D" w:rsidR="003A020C" w:rsidRDefault="00385360" w:rsidP="003A020C">
      <w:pPr>
        <w:rPr>
          <w:sz w:val="21"/>
          <w:szCs w:val="21"/>
        </w:rPr>
      </w:pPr>
      <w:r>
        <w:rPr>
          <w:sz w:val="21"/>
          <w:szCs w:val="21"/>
        </w:rPr>
        <w:t>This contribution discusses the following remaining issues for joint channel estimation:</w:t>
      </w:r>
    </w:p>
    <w:p w14:paraId="6323494A" w14:textId="10849A2A" w:rsidR="00385360" w:rsidRDefault="00385360" w:rsidP="00385360">
      <w:pPr>
        <w:pStyle w:val="ListParagraph"/>
        <w:numPr>
          <w:ilvl w:val="0"/>
          <w:numId w:val="53"/>
        </w:numPr>
        <w:rPr>
          <w:sz w:val="21"/>
          <w:szCs w:val="21"/>
        </w:rPr>
      </w:pPr>
      <w:r>
        <w:rPr>
          <w:sz w:val="21"/>
          <w:szCs w:val="21"/>
        </w:rPr>
        <w:t>Treatment of group common TPC commands</w:t>
      </w:r>
    </w:p>
    <w:p w14:paraId="4A1AE9FD" w14:textId="62788337" w:rsidR="00385360" w:rsidRPr="00385360" w:rsidRDefault="00361E03" w:rsidP="00385360">
      <w:pPr>
        <w:pStyle w:val="ListParagraph"/>
        <w:numPr>
          <w:ilvl w:val="0"/>
          <w:numId w:val="53"/>
        </w:numPr>
        <w:rPr>
          <w:sz w:val="21"/>
          <w:szCs w:val="21"/>
        </w:rPr>
      </w:pPr>
      <w:r>
        <w:rPr>
          <w:sz w:val="21"/>
          <w:szCs w:val="21"/>
        </w:rPr>
        <w:t>DM-RS bundling restart behaviour</w:t>
      </w:r>
    </w:p>
    <w:p w14:paraId="3B785ADD" w14:textId="3897DD5D" w:rsidR="00CC4D78" w:rsidRDefault="001B391C" w:rsidP="0091451A">
      <w:pPr>
        <w:pStyle w:val="Heading1"/>
        <w:rPr>
          <w:szCs w:val="32"/>
        </w:rPr>
      </w:pPr>
      <w:r>
        <w:rPr>
          <w:szCs w:val="32"/>
        </w:rPr>
        <w:t>Remaining details</w:t>
      </w:r>
      <w:r w:rsidR="004773E3">
        <w:rPr>
          <w:szCs w:val="32"/>
        </w:rPr>
        <w:t xml:space="preserve"> for joint channel estimation</w:t>
      </w:r>
    </w:p>
    <w:p w14:paraId="1EA9BDC5" w14:textId="65F3F07E" w:rsidR="00A76DD9" w:rsidRPr="00A76DD9" w:rsidRDefault="00A76DD9" w:rsidP="008C1388">
      <w:pPr>
        <w:pStyle w:val="Heading2"/>
      </w:pPr>
      <w:r w:rsidRPr="00A76DD9">
        <w:t>Treatment of group common TPC commands</w:t>
      </w:r>
    </w:p>
    <w:p w14:paraId="007602FB" w14:textId="10F29942" w:rsidR="00036C80" w:rsidRDefault="009954DB" w:rsidP="00EE5B39">
      <w:pPr>
        <w:spacing w:before="240"/>
        <w:rPr>
          <w:sz w:val="21"/>
          <w:szCs w:val="21"/>
          <w:lang w:eastAsia="zh-CN"/>
        </w:rPr>
      </w:pPr>
      <w:r w:rsidRPr="00473D3A">
        <w:rPr>
          <w:sz w:val="21"/>
          <w:szCs w:val="21"/>
          <w:lang w:eastAsia="zh-CN"/>
        </w:rPr>
        <w:t>In RAN1#107</w:t>
      </w:r>
      <w:r w:rsidR="00EC4926" w:rsidRPr="00473D3A">
        <w:rPr>
          <w:sz w:val="21"/>
          <w:szCs w:val="21"/>
          <w:lang w:eastAsia="zh-CN"/>
        </w:rPr>
        <w:t>e</w:t>
      </w:r>
      <w:r w:rsidRPr="00473D3A">
        <w:rPr>
          <w:sz w:val="21"/>
          <w:szCs w:val="21"/>
          <w:lang w:eastAsia="zh-CN"/>
        </w:rPr>
        <w:t xml:space="preserve">, </w:t>
      </w:r>
      <w:r w:rsidR="008C1388">
        <w:rPr>
          <w:sz w:val="21"/>
          <w:szCs w:val="21"/>
          <w:lang w:eastAsia="zh-CN"/>
        </w:rPr>
        <w:t xml:space="preserve">RAN1 made </w:t>
      </w:r>
      <w:r w:rsidR="00844DA0">
        <w:rPr>
          <w:sz w:val="21"/>
          <w:szCs w:val="21"/>
          <w:lang w:eastAsia="zh-CN"/>
        </w:rPr>
        <w:t>a</w:t>
      </w:r>
      <w:r w:rsidR="00EE5B39" w:rsidRPr="00473D3A">
        <w:rPr>
          <w:sz w:val="21"/>
          <w:szCs w:val="21"/>
          <w:lang w:eastAsia="zh-CN"/>
        </w:rPr>
        <w:t xml:space="preserve"> working assumption </w:t>
      </w:r>
      <w:r w:rsidR="00FB6CBC" w:rsidRPr="00473D3A">
        <w:rPr>
          <w:sz w:val="21"/>
          <w:szCs w:val="21"/>
          <w:lang w:eastAsia="zh-CN"/>
        </w:rPr>
        <w:t>[</w:t>
      </w:r>
      <w:r w:rsidR="0044578D">
        <w:rPr>
          <w:sz w:val="21"/>
          <w:szCs w:val="21"/>
          <w:lang w:eastAsia="zh-CN"/>
        </w:rPr>
        <w:t>2</w:t>
      </w:r>
      <w:r w:rsidR="00FB6CBC" w:rsidRPr="00473D3A">
        <w:rPr>
          <w:sz w:val="21"/>
          <w:szCs w:val="21"/>
          <w:lang w:eastAsia="zh-CN"/>
        </w:rPr>
        <w:t>]</w:t>
      </w:r>
      <w:r w:rsidR="00844DA0">
        <w:rPr>
          <w:sz w:val="21"/>
          <w:szCs w:val="21"/>
          <w:lang w:eastAsia="zh-CN"/>
        </w:rPr>
        <w:t xml:space="preserve"> that reception of a group common TPC command with format 2_2 does not constitute an event that violates power consistency and phase continuity.</w:t>
      </w:r>
      <w:r w:rsidR="00F7039A">
        <w:rPr>
          <w:sz w:val="21"/>
          <w:szCs w:val="21"/>
          <w:lang w:eastAsia="zh-CN"/>
        </w:rPr>
        <w:t xml:space="preserve"> The working assumption further states that i</w:t>
      </w:r>
      <w:r w:rsidR="009F1AE2">
        <w:rPr>
          <w:sz w:val="21"/>
          <w:szCs w:val="21"/>
          <w:lang w:eastAsia="zh-CN"/>
        </w:rPr>
        <w:t xml:space="preserve">f the UE is configured to accumulate TPC commands and DMRS bundling is enabled, the UE is expected to accumulate TPC commands during a configured TDW </w:t>
      </w:r>
      <w:r w:rsidR="00E24FB1">
        <w:rPr>
          <w:sz w:val="21"/>
          <w:szCs w:val="21"/>
          <w:lang w:eastAsia="zh-CN"/>
        </w:rPr>
        <w:t xml:space="preserve">(Time Domain Window) </w:t>
      </w:r>
      <w:r w:rsidR="009F1AE2">
        <w:rPr>
          <w:sz w:val="21"/>
          <w:szCs w:val="21"/>
          <w:lang w:eastAsia="zh-CN"/>
        </w:rPr>
        <w:t xml:space="preserve">and </w:t>
      </w:r>
      <w:r w:rsidR="00B01A29">
        <w:rPr>
          <w:sz w:val="21"/>
          <w:szCs w:val="21"/>
          <w:lang w:eastAsia="zh-CN"/>
        </w:rPr>
        <w:t>apply the accumulated TDW at the next configured TDW</w:t>
      </w:r>
      <w:r w:rsidR="007A372F">
        <w:rPr>
          <w:sz w:val="21"/>
          <w:szCs w:val="21"/>
          <w:lang w:eastAsia="zh-CN"/>
        </w:rPr>
        <w:t xml:space="preserve"> </w:t>
      </w:r>
      <w:r w:rsidR="00D3724C">
        <w:rPr>
          <w:sz w:val="21"/>
          <w:szCs w:val="21"/>
          <w:lang w:eastAsia="zh-CN"/>
        </w:rPr>
        <w:t xml:space="preserve">such that power consistency can be preserved during a </w:t>
      </w:r>
      <w:r w:rsidR="007A372F">
        <w:rPr>
          <w:sz w:val="21"/>
          <w:szCs w:val="21"/>
          <w:lang w:eastAsia="zh-CN"/>
        </w:rPr>
        <w:t>configured</w:t>
      </w:r>
      <w:r w:rsidR="00D3724C">
        <w:rPr>
          <w:sz w:val="21"/>
          <w:szCs w:val="21"/>
          <w:lang w:eastAsia="zh-CN"/>
        </w:rPr>
        <w:t xml:space="preserve"> TDW</w:t>
      </w:r>
      <w:r w:rsidR="00B01A29">
        <w:rPr>
          <w:sz w:val="21"/>
          <w:szCs w:val="21"/>
          <w:lang w:eastAsia="zh-CN"/>
        </w:rPr>
        <w:t>.</w:t>
      </w:r>
    </w:p>
    <w:p w14:paraId="45EE288E" w14:textId="728ECA70" w:rsidR="00F7039A" w:rsidRDefault="004A01F8" w:rsidP="00EE5B39">
      <w:pPr>
        <w:spacing w:before="24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Although the intention of the working assumption </w:t>
      </w:r>
      <w:r w:rsidR="00FF640A">
        <w:rPr>
          <w:sz w:val="21"/>
          <w:szCs w:val="21"/>
          <w:lang w:eastAsia="zh-CN"/>
        </w:rPr>
        <w:t>seems straightforward</w:t>
      </w:r>
      <w:r>
        <w:rPr>
          <w:sz w:val="21"/>
          <w:szCs w:val="21"/>
          <w:lang w:eastAsia="zh-CN"/>
        </w:rPr>
        <w:t xml:space="preserve">, different options are possible for its </w:t>
      </w:r>
      <w:r w:rsidR="003316E5">
        <w:rPr>
          <w:sz w:val="21"/>
          <w:szCs w:val="21"/>
          <w:lang w:eastAsia="zh-CN"/>
        </w:rPr>
        <w:t>capture</w:t>
      </w:r>
      <w:r>
        <w:rPr>
          <w:sz w:val="21"/>
          <w:szCs w:val="21"/>
          <w:lang w:eastAsia="zh-CN"/>
        </w:rPr>
        <w:t xml:space="preserve"> in the specification</w:t>
      </w:r>
      <w:r w:rsidR="00FF640A">
        <w:rPr>
          <w:sz w:val="21"/>
          <w:szCs w:val="21"/>
          <w:lang w:eastAsia="zh-CN"/>
        </w:rPr>
        <w:t>. RAN1 discussed these options extensively during RAN1#108-e and could not converge as issues would be identified in scenarios such as CG-DG interlacing.</w:t>
      </w:r>
    </w:p>
    <w:p w14:paraId="1CE595A4" w14:textId="6579901D" w:rsidR="00F7039A" w:rsidRDefault="003316E5" w:rsidP="00EE5B39">
      <w:pPr>
        <w:spacing w:before="24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Considering this situation and the fact that R17 is now in maintenance phase, it may be more reasonable to not confirm the working assumption</w:t>
      </w:r>
      <w:r w:rsidR="000E1257">
        <w:rPr>
          <w:sz w:val="21"/>
          <w:szCs w:val="21"/>
          <w:lang w:eastAsia="zh-CN"/>
        </w:rPr>
        <w:t xml:space="preserve"> such that reception of TPC command with format 2_2 is treated as an event that violates power consistency and phase continuity</w:t>
      </w:r>
      <w:r w:rsidR="006C2016">
        <w:rPr>
          <w:sz w:val="21"/>
          <w:szCs w:val="21"/>
          <w:lang w:eastAsia="zh-CN"/>
        </w:rPr>
        <w:t xml:space="preserve"> when the command indicates a change of power</w:t>
      </w:r>
      <w:r w:rsidR="000E1257">
        <w:rPr>
          <w:sz w:val="21"/>
          <w:szCs w:val="21"/>
          <w:lang w:eastAsia="zh-CN"/>
        </w:rPr>
        <w:t>.</w:t>
      </w:r>
    </w:p>
    <w:p w14:paraId="34383294" w14:textId="4A7ABA08" w:rsidR="000E1257" w:rsidRDefault="000E1257" w:rsidP="000E1257">
      <w:pPr>
        <w:spacing w:before="240"/>
        <w:rPr>
          <w:b/>
          <w:bCs/>
          <w:sz w:val="21"/>
          <w:szCs w:val="21"/>
          <w:lang w:eastAsia="zh-CN"/>
        </w:rPr>
      </w:pPr>
      <w:r w:rsidRPr="00B82240">
        <w:rPr>
          <w:b/>
          <w:bCs/>
          <w:sz w:val="21"/>
          <w:szCs w:val="21"/>
          <w:lang w:eastAsia="zh-CN"/>
        </w:rPr>
        <w:t xml:space="preserve">Proposal </w:t>
      </w:r>
      <w:r>
        <w:rPr>
          <w:b/>
          <w:bCs/>
          <w:sz w:val="21"/>
          <w:szCs w:val="21"/>
          <w:lang w:eastAsia="zh-CN"/>
        </w:rPr>
        <w:t>1</w:t>
      </w:r>
      <w:r w:rsidRPr="00B82240">
        <w:rPr>
          <w:b/>
          <w:bCs/>
          <w:sz w:val="21"/>
          <w:szCs w:val="21"/>
          <w:lang w:eastAsia="zh-CN"/>
        </w:rPr>
        <w:t xml:space="preserve">: </w:t>
      </w:r>
      <w:r>
        <w:rPr>
          <w:b/>
          <w:bCs/>
          <w:sz w:val="21"/>
          <w:szCs w:val="21"/>
          <w:lang w:eastAsia="zh-CN"/>
        </w:rPr>
        <w:t xml:space="preserve">Do not confirm </w:t>
      </w:r>
      <w:r w:rsidR="005415B2">
        <w:rPr>
          <w:b/>
          <w:bCs/>
          <w:sz w:val="21"/>
          <w:szCs w:val="21"/>
          <w:lang w:eastAsia="zh-CN"/>
        </w:rPr>
        <w:t xml:space="preserve">following </w:t>
      </w:r>
      <w:r>
        <w:rPr>
          <w:b/>
          <w:bCs/>
          <w:sz w:val="21"/>
          <w:szCs w:val="21"/>
          <w:lang w:eastAsia="zh-CN"/>
        </w:rPr>
        <w:t>working assumption: “The action of group common TPC commands with format 2_2 does not constitute an event that violates power consistency and phase continuity”.</w:t>
      </w:r>
    </w:p>
    <w:p w14:paraId="727B3854" w14:textId="0EA396E9" w:rsidR="000E1257" w:rsidRDefault="000E1257" w:rsidP="000E1257">
      <w:pPr>
        <w:spacing w:before="24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Proposal 2: </w:t>
      </w:r>
      <w:r w:rsidR="006C2016">
        <w:rPr>
          <w:b/>
          <w:bCs/>
          <w:sz w:val="21"/>
          <w:szCs w:val="21"/>
          <w:lang w:eastAsia="zh-CN"/>
        </w:rPr>
        <w:t>Reception of group common TPC command with format 2_2 indicating non-zero power change is treated as an event that violates power consistency and phase continuity.</w:t>
      </w:r>
    </w:p>
    <w:p w14:paraId="6B6C0405" w14:textId="3B69043A" w:rsidR="00885C34" w:rsidRDefault="009F1824" w:rsidP="008C1388">
      <w:pPr>
        <w:pStyle w:val="Heading2"/>
      </w:pPr>
      <w:r>
        <w:t>DM-RS bundling r</w:t>
      </w:r>
      <w:r w:rsidR="00DC6DC1">
        <w:t xml:space="preserve">estart </w:t>
      </w:r>
      <w:r w:rsidR="009E2C5B">
        <w:t>behaviour</w:t>
      </w:r>
    </w:p>
    <w:p w14:paraId="3C34A57D" w14:textId="50BF5708" w:rsidR="0049619E" w:rsidRDefault="0049619E" w:rsidP="00885C34">
      <w:pPr>
        <w:rPr>
          <w:sz w:val="21"/>
          <w:szCs w:val="21"/>
          <w:lang w:val="en-GB" w:eastAsia="zh-CN"/>
        </w:rPr>
      </w:pPr>
      <w:r>
        <w:rPr>
          <w:sz w:val="21"/>
          <w:szCs w:val="21"/>
          <w:lang w:val="en-GB" w:eastAsia="zh-CN"/>
        </w:rPr>
        <w:t xml:space="preserve">In RAN1#108-e, RAN1 discussed whether a UE that is not capable of restarting bundling after a dynamic event could restart bundling in a subsequent (Case 1) or overlapping (Case 2) semi-static event. RAN1 also discussed which behaviour is stipulated by existing specification and if there is need for clarification. </w:t>
      </w:r>
      <w:r w:rsidR="0097103A">
        <w:rPr>
          <w:sz w:val="21"/>
          <w:szCs w:val="21"/>
          <w:lang w:val="en-GB" w:eastAsia="zh-CN"/>
        </w:rPr>
        <w:t>N</w:t>
      </w:r>
      <w:r>
        <w:rPr>
          <w:sz w:val="21"/>
          <w:szCs w:val="21"/>
          <w:lang w:val="en-GB" w:eastAsia="zh-CN"/>
        </w:rPr>
        <w:t xml:space="preserve">o conclusion was </w:t>
      </w:r>
      <w:r w:rsidR="0097103A">
        <w:rPr>
          <w:sz w:val="21"/>
          <w:szCs w:val="21"/>
          <w:lang w:val="en-GB" w:eastAsia="zh-CN"/>
        </w:rPr>
        <w:t>reached</w:t>
      </w:r>
      <w:r>
        <w:rPr>
          <w:sz w:val="21"/>
          <w:szCs w:val="21"/>
          <w:lang w:val="en-GB" w:eastAsia="zh-CN"/>
        </w:rPr>
        <w:t>.</w:t>
      </w:r>
    </w:p>
    <w:p w14:paraId="63F0D5A0" w14:textId="6028D10A" w:rsidR="0049619E" w:rsidRDefault="0097103A" w:rsidP="00885C34">
      <w:pPr>
        <w:rPr>
          <w:sz w:val="21"/>
          <w:szCs w:val="21"/>
          <w:lang w:val="en-GB" w:eastAsia="zh-CN"/>
        </w:rPr>
      </w:pPr>
      <w:r>
        <w:rPr>
          <w:sz w:val="21"/>
          <w:szCs w:val="21"/>
          <w:lang w:val="en-GB" w:eastAsia="zh-CN"/>
        </w:rPr>
        <w:lastRenderedPageBreak/>
        <w:t xml:space="preserve">On the issue of what existing specification is stipulating, careful reading leads to the conclusion that a non-capable UE never restarts </w:t>
      </w:r>
      <w:r w:rsidR="00552916">
        <w:rPr>
          <w:sz w:val="21"/>
          <w:szCs w:val="21"/>
          <w:lang w:val="en-GB" w:eastAsia="zh-CN"/>
        </w:rPr>
        <w:t xml:space="preserve">bundling once power consistency and phase continuity is not maintained. The specification [38.214 v17.1.0] states that the </w:t>
      </w:r>
      <w:r w:rsidR="001015D8">
        <w:rPr>
          <w:sz w:val="21"/>
          <w:szCs w:val="21"/>
          <w:lang w:val="en-GB" w:eastAsia="zh-CN"/>
        </w:rPr>
        <w:t>end</w:t>
      </w:r>
      <w:r w:rsidR="00552916">
        <w:rPr>
          <w:sz w:val="21"/>
          <w:szCs w:val="21"/>
          <w:lang w:val="en-GB" w:eastAsia="zh-CN"/>
        </w:rPr>
        <w:t xml:space="preserve"> of a</w:t>
      </w:r>
      <w:r w:rsidR="001015D8">
        <w:rPr>
          <w:sz w:val="21"/>
          <w:szCs w:val="21"/>
          <w:lang w:val="en-GB" w:eastAsia="zh-CN"/>
        </w:rPr>
        <w:t>n</w:t>
      </w:r>
      <w:r w:rsidR="00552916">
        <w:rPr>
          <w:sz w:val="21"/>
          <w:szCs w:val="21"/>
          <w:lang w:val="en-GB" w:eastAsia="zh-CN"/>
        </w:rPr>
        <w:t xml:space="preserve"> actual TDW is </w:t>
      </w:r>
      <w:r w:rsidR="001015D8">
        <w:rPr>
          <w:sz w:val="21"/>
          <w:szCs w:val="21"/>
          <w:lang w:val="en-GB" w:eastAsia="zh-CN"/>
        </w:rPr>
        <w:t>“T</w:t>
      </w:r>
      <w:r w:rsidR="00552916">
        <w:rPr>
          <w:sz w:val="21"/>
          <w:szCs w:val="21"/>
          <w:lang w:val="en-GB" w:eastAsia="zh-CN"/>
        </w:rPr>
        <w:t xml:space="preserve">he </w:t>
      </w:r>
      <w:r w:rsidR="001015D8">
        <w:rPr>
          <w:sz w:val="21"/>
          <w:szCs w:val="21"/>
          <w:lang w:val="en-GB" w:eastAsia="zh-CN"/>
        </w:rPr>
        <w:t>las</w:t>
      </w:r>
      <w:r w:rsidR="00552916">
        <w:rPr>
          <w:sz w:val="21"/>
          <w:szCs w:val="21"/>
          <w:lang w:val="en-GB" w:eastAsia="zh-CN"/>
        </w:rPr>
        <w:t xml:space="preserve">t symbol of the [PUSCH or PUCCH] transmission </w:t>
      </w:r>
      <w:r w:rsidR="001015D8">
        <w:rPr>
          <w:sz w:val="21"/>
          <w:szCs w:val="21"/>
          <w:lang w:val="en-GB" w:eastAsia="zh-CN"/>
        </w:rPr>
        <w:t>before</w:t>
      </w:r>
      <w:r w:rsidR="00552916">
        <w:rPr>
          <w:sz w:val="21"/>
          <w:szCs w:val="21"/>
          <w:lang w:val="en-GB" w:eastAsia="zh-CN"/>
        </w:rPr>
        <w:t xml:space="preserve"> the event</w:t>
      </w:r>
      <w:r w:rsidR="001015D8">
        <w:rPr>
          <w:sz w:val="21"/>
          <w:szCs w:val="21"/>
          <w:lang w:val="en-GB" w:eastAsia="zh-CN"/>
        </w:rPr>
        <w:t>,</w:t>
      </w:r>
      <w:r w:rsidR="00552916">
        <w:rPr>
          <w:sz w:val="21"/>
          <w:szCs w:val="21"/>
          <w:lang w:val="en-GB" w:eastAsia="zh-CN"/>
        </w:rPr>
        <w:t xml:space="preserve"> </w:t>
      </w:r>
      <w:r w:rsidR="001015D8">
        <w:rPr>
          <w:sz w:val="21"/>
          <w:szCs w:val="21"/>
          <w:lang w:val="en-GB" w:eastAsia="zh-CN"/>
        </w:rPr>
        <w:t xml:space="preserve">if an event occurs </w:t>
      </w:r>
      <w:r w:rsidR="00552916">
        <w:rPr>
          <w:sz w:val="21"/>
          <w:szCs w:val="21"/>
          <w:lang w:val="en-GB" w:eastAsia="zh-CN"/>
        </w:rPr>
        <w:t xml:space="preserve">which </w:t>
      </w:r>
      <w:r w:rsidR="00552916" w:rsidRPr="001015D8">
        <w:rPr>
          <w:sz w:val="21"/>
          <w:szCs w:val="21"/>
          <w:u w:val="single"/>
          <w:lang w:val="en-GB" w:eastAsia="zh-CN"/>
        </w:rPr>
        <w:t>causes</w:t>
      </w:r>
      <w:r w:rsidR="00552916">
        <w:rPr>
          <w:sz w:val="21"/>
          <w:szCs w:val="21"/>
          <w:lang w:val="en-GB" w:eastAsia="zh-CN"/>
        </w:rPr>
        <w:t xml:space="preserve"> power consistency and phase continuity not to be maintained</w:t>
      </w:r>
      <w:r w:rsidR="001015D8">
        <w:rPr>
          <w:sz w:val="21"/>
          <w:szCs w:val="21"/>
          <w:lang w:val="en-GB" w:eastAsia="zh-CN"/>
        </w:rPr>
        <w:t xml:space="preserve"> […]”. In Case 1, a new actual TDW is started after the dynamic event</w:t>
      </w:r>
      <w:r w:rsidR="00691532">
        <w:rPr>
          <w:sz w:val="21"/>
          <w:szCs w:val="21"/>
          <w:lang w:val="en-GB" w:eastAsia="zh-CN"/>
        </w:rPr>
        <w:t>,</w:t>
      </w:r>
      <w:r w:rsidR="001015D8">
        <w:rPr>
          <w:sz w:val="21"/>
          <w:szCs w:val="21"/>
          <w:lang w:val="en-GB" w:eastAsia="zh-CN"/>
        </w:rPr>
        <w:t xml:space="preserve"> but the non-capable UE does not maintain power consistency and phase continuity within that actual TDW in the first place.</w:t>
      </w:r>
      <w:r w:rsidR="00691532">
        <w:rPr>
          <w:sz w:val="21"/>
          <w:szCs w:val="21"/>
          <w:lang w:val="en-GB" w:eastAsia="zh-CN"/>
        </w:rPr>
        <w:t xml:space="preserve"> Therefore, any subsequent dynamic or semi-static event does </w:t>
      </w:r>
      <w:r w:rsidR="00691532" w:rsidRPr="00691532">
        <w:rPr>
          <w:sz w:val="21"/>
          <w:szCs w:val="21"/>
          <w:u w:val="single"/>
          <w:lang w:val="en-GB" w:eastAsia="zh-CN"/>
        </w:rPr>
        <w:t>not</w:t>
      </w:r>
      <w:r w:rsidR="00691532">
        <w:rPr>
          <w:sz w:val="21"/>
          <w:szCs w:val="21"/>
          <w:lang w:val="en-GB" w:eastAsia="zh-CN"/>
        </w:rPr>
        <w:t xml:space="preserve"> cause power consistency and phase continuity not to be maintained, </w:t>
      </w:r>
      <w:r w:rsidR="00D46F4D">
        <w:rPr>
          <w:sz w:val="21"/>
          <w:szCs w:val="21"/>
          <w:lang w:val="en-GB" w:eastAsia="zh-CN"/>
        </w:rPr>
        <w:t>since such power consistency and phase continuity did not exist in the first place. This</w:t>
      </w:r>
      <w:r w:rsidR="00691532">
        <w:rPr>
          <w:sz w:val="21"/>
          <w:szCs w:val="21"/>
          <w:lang w:val="en-GB" w:eastAsia="zh-CN"/>
        </w:rPr>
        <w:t xml:space="preserve"> implies that the end of this actual TDW is the end of the nominal TDW. In Case 2, the situation is the same </w:t>
      </w:r>
      <w:r w:rsidR="007F094C">
        <w:rPr>
          <w:sz w:val="21"/>
          <w:szCs w:val="21"/>
          <w:lang w:val="en-GB" w:eastAsia="zh-CN"/>
        </w:rPr>
        <w:t xml:space="preserve">regardless of the order </w:t>
      </w:r>
      <w:r w:rsidR="00D444DC">
        <w:rPr>
          <w:sz w:val="21"/>
          <w:szCs w:val="21"/>
          <w:lang w:val="en-GB" w:eastAsia="zh-CN"/>
        </w:rPr>
        <w:t xml:space="preserve">in which </w:t>
      </w:r>
      <w:r w:rsidR="007F094C">
        <w:rPr>
          <w:sz w:val="21"/>
          <w:szCs w:val="21"/>
          <w:lang w:val="en-GB" w:eastAsia="zh-CN"/>
        </w:rPr>
        <w:t xml:space="preserve">the </w:t>
      </w:r>
      <w:r w:rsidR="00D444DC">
        <w:rPr>
          <w:sz w:val="21"/>
          <w:szCs w:val="21"/>
          <w:lang w:val="en-GB" w:eastAsia="zh-CN"/>
        </w:rPr>
        <w:t xml:space="preserve">overlapping </w:t>
      </w:r>
      <w:r w:rsidR="007F094C">
        <w:rPr>
          <w:sz w:val="21"/>
          <w:szCs w:val="21"/>
          <w:lang w:val="en-GB" w:eastAsia="zh-CN"/>
        </w:rPr>
        <w:t>events are processed, i.e. dynamic event first and semi-static event second</w:t>
      </w:r>
      <w:r w:rsidR="00D444DC">
        <w:rPr>
          <w:sz w:val="21"/>
          <w:szCs w:val="21"/>
          <w:lang w:val="en-GB" w:eastAsia="zh-CN"/>
        </w:rPr>
        <w:t xml:space="preserve"> (same as Case 1)</w:t>
      </w:r>
      <w:r w:rsidR="007F094C">
        <w:rPr>
          <w:sz w:val="21"/>
          <w:szCs w:val="21"/>
          <w:lang w:val="en-GB" w:eastAsia="zh-CN"/>
        </w:rPr>
        <w:t xml:space="preserve">, or semi-static event first and dynamic event second (UE maintains bundling for an actual TDW of </w:t>
      </w:r>
      <w:r w:rsidR="00D444DC">
        <w:rPr>
          <w:sz w:val="21"/>
          <w:szCs w:val="21"/>
          <w:lang w:val="en-GB" w:eastAsia="zh-CN"/>
        </w:rPr>
        <w:t>0).</w:t>
      </w:r>
      <w:r w:rsidR="00D46F4D">
        <w:rPr>
          <w:sz w:val="21"/>
          <w:szCs w:val="21"/>
          <w:lang w:val="en-GB" w:eastAsia="zh-CN"/>
        </w:rPr>
        <w:t xml:space="preserve"> </w:t>
      </w:r>
    </w:p>
    <w:p w14:paraId="6996B719" w14:textId="31041C60" w:rsidR="00691532" w:rsidRPr="00691532" w:rsidRDefault="00691532" w:rsidP="00885C34">
      <w:pPr>
        <w:rPr>
          <w:b/>
          <w:bCs/>
          <w:sz w:val="21"/>
          <w:szCs w:val="21"/>
          <w:lang w:val="en-GB" w:eastAsia="zh-CN"/>
        </w:rPr>
      </w:pPr>
      <w:r w:rsidRPr="00691532">
        <w:rPr>
          <w:b/>
          <w:bCs/>
          <w:sz w:val="21"/>
          <w:szCs w:val="21"/>
          <w:lang w:val="en-GB" w:eastAsia="zh-CN"/>
        </w:rPr>
        <w:t>Observation</w:t>
      </w:r>
      <w:r w:rsidR="004D2482">
        <w:rPr>
          <w:b/>
          <w:bCs/>
          <w:sz w:val="21"/>
          <w:szCs w:val="21"/>
          <w:lang w:val="en-GB" w:eastAsia="zh-CN"/>
        </w:rPr>
        <w:t xml:space="preserve"> 1</w:t>
      </w:r>
      <w:r w:rsidRPr="00691532">
        <w:rPr>
          <w:b/>
          <w:bCs/>
          <w:sz w:val="21"/>
          <w:szCs w:val="21"/>
          <w:lang w:val="en-GB" w:eastAsia="zh-CN"/>
        </w:rPr>
        <w:t>: According to TS38.214 v17.1.0, a UE not capable of restarting bundling after a dynamic event does not restart bundling before the end of the nominal TDW.</w:t>
      </w:r>
    </w:p>
    <w:p w14:paraId="16F4ACC0" w14:textId="5CBA5ED7" w:rsidR="002C174D" w:rsidRDefault="00D444DC" w:rsidP="00885C34">
      <w:pPr>
        <w:rPr>
          <w:sz w:val="21"/>
          <w:szCs w:val="21"/>
          <w:lang w:val="en-GB" w:eastAsia="zh-CN"/>
        </w:rPr>
      </w:pPr>
      <w:r>
        <w:rPr>
          <w:sz w:val="21"/>
          <w:szCs w:val="21"/>
          <w:lang w:val="en-GB" w:eastAsia="zh-CN"/>
        </w:rPr>
        <w:t xml:space="preserve">The next question is whether it would be desirable to modify the specification such that a non-capable UE </w:t>
      </w:r>
      <w:r w:rsidR="00377B57">
        <w:rPr>
          <w:sz w:val="21"/>
          <w:szCs w:val="21"/>
          <w:lang w:val="en-GB" w:eastAsia="zh-CN"/>
        </w:rPr>
        <w:t xml:space="preserve">does </w:t>
      </w:r>
      <w:r>
        <w:rPr>
          <w:sz w:val="21"/>
          <w:szCs w:val="21"/>
          <w:lang w:val="en-GB" w:eastAsia="zh-CN"/>
        </w:rPr>
        <w:t xml:space="preserve">restart bundling after a semi-static event. </w:t>
      </w:r>
      <w:r w:rsidR="00736103">
        <w:rPr>
          <w:sz w:val="21"/>
          <w:szCs w:val="21"/>
          <w:lang w:val="en-GB" w:eastAsia="zh-CN"/>
        </w:rPr>
        <w:t xml:space="preserve">However, the relevance of defining such type of UE seems very questionable. The typical behaviour expected from a non-capable UE is that it </w:t>
      </w:r>
      <w:r w:rsidR="002C174D">
        <w:rPr>
          <w:sz w:val="21"/>
          <w:szCs w:val="21"/>
          <w:lang w:val="en-GB" w:eastAsia="zh-CN"/>
        </w:rPr>
        <w:t>c</w:t>
      </w:r>
      <w:r w:rsidR="00736103">
        <w:rPr>
          <w:sz w:val="21"/>
          <w:szCs w:val="21"/>
          <w:lang w:val="en-GB" w:eastAsia="zh-CN"/>
        </w:rPr>
        <w:t xml:space="preserve">ould schedule </w:t>
      </w:r>
      <w:r w:rsidR="00736103" w:rsidRPr="00104C0C">
        <w:rPr>
          <w:sz w:val="21"/>
          <w:szCs w:val="21"/>
          <w:u w:val="single"/>
          <w:lang w:val="en-GB" w:eastAsia="zh-CN"/>
        </w:rPr>
        <w:t>in advance</w:t>
      </w:r>
      <w:r w:rsidR="00736103">
        <w:rPr>
          <w:sz w:val="21"/>
          <w:szCs w:val="21"/>
          <w:lang w:val="en-GB" w:eastAsia="zh-CN"/>
        </w:rPr>
        <w:t xml:space="preserve"> changes in powers and phases over the nominal TDW for bundling operation such that no </w:t>
      </w:r>
      <w:r w:rsidR="00104C0C">
        <w:rPr>
          <w:sz w:val="21"/>
          <w:szCs w:val="21"/>
          <w:lang w:val="en-GB" w:eastAsia="zh-CN"/>
        </w:rPr>
        <w:t>recalculation is necessary later on. When a dynamic event occurs, previous calculations made for the subsequent semi-static event</w:t>
      </w:r>
      <w:r w:rsidR="002C174D">
        <w:rPr>
          <w:sz w:val="21"/>
          <w:szCs w:val="21"/>
          <w:lang w:val="en-GB" w:eastAsia="zh-CN"/>
        </w:rPr>
        <w:t xml:space="preserve"> are no longer valid and the UE therefore would need to restart the calculations. Since the UE would need to be prepared to support this recalculation during nominal TDW anyway, </w:t>
      </w:r>
      <w:r w:rsidR="00DC2197">
        <w:rPr>
          <w:sz w:val="21"/>
          <w:szCs w:val="21"/>
          <w:lang w:val="en-GB" w:eastAsia="zh-CN"/>
        </w:rPr>
        <w:t xml:space="preserve">in practice there would be </w:t>
      </w:r>
      <w:r w:rsidR="005415B2">
        <w:rPr>
          <w:sz w:val="21"/>
          <w:szCs w:val="21"/>
          <w:lang w:val="en-GB" w:eastAsia="zh-CN"/>
        </w:rPr>
        <w:t>little</w:t>
      </w:r>
      <w:r w:rsidR="00DC2197">
        <w:rPr>
          <w:sz w:val="21"/>
          <w:szCs w:val="21"/>
          <w:lang w:val="en-GB" w:eastAsia="zh-CN"/>
        </w:rPr>
        <w:t xml:space="preserve"> simplification from implementation perspective.</w:t>
      </w:r>
    </w:p>
    <w:p w14:paraId="2837A3CB" w14:textId="6415319B" w:rsidR="00691532" w:rsidRPr="004D2482" w:rsidRDefault="00DC2197" w:rsidP="00885C34">
      <w:pPr>
        <w:rPr>
          <w:b/>
          <w:bCs/>
          <w:sz w:val="21"/>
          <w:szCs w:val="21"/>
          <w:lang w:val="en-GB" w:eastAsia="zh-CN"/>
        </w:rPr>
      </w:pPr>
      <w:r w:rsidRPr="004D2482">
        <w:rPr>
          <w:b/>
          <w:bCs/>
          <w:sz w:val="21"/>
          <w:szCs w:val="21"/>
          <w:lang w:val="en-GB" w:eastAsia="zh-CN"/>
        </w:rPr>
        <w:t>Observation</w:t>
      </w:r>
      <w:r w:rsidR="004D2482">
        <w:rPr>
          <w:b/>
          <w:bCs/>
          <w:sz w:val="21"/>
          <w:szCs w:val="21"/>
          <w:lang w:val="en-GB" w:eastAsia="zh-CN"/>
        </w:rPr>
        <w:t xml:space="preserve"> 2</w:t>
      </w:r>
      <w:r w:rsidRPr="004D2482">
        <w:rPr>
          <w:b/>
          <w:bCs/>
          <w:sz w:val="21"/>
          <w:szCs w:val="21"/>
          <w:lang w:val="en-GB" w:eastAsia="zh-CN"/>
        </w:rPr>
        <w:t xml:space="preserve">: Relaxing the requirement to restart bundling after a dynamic event does not </w:t>
      </w:r>
      <w:r w:rsidR="004D2482" w:rsidRPr="004D2482">
        <w:rPr>
          <w:b/>
          <w:bCs/>
          <w:sz w:val="21"/>
          <w:szCs w:val="21"/>
          <w:lang w:val="en-GB" w:eastAsia="zh-CN"/>
        </w:rPr>
        <w:t>allow significant complexity reduction if the UE is anyway required to restart bundling after a subsequent semi-static event.</w:t>
      </w:r>
    </w:p>
    <w:p w14:paraId="19111C23" w14:textId="5A2047FC" w:rsidR="0097103A" w:rsidRDefault="008768D2" w:rsidP="00885C34">
      <w:pPr>
        <w:rPr>
          <w:sz w:val="21"/>
          <w:szCs w:val="21"/>
          <w:lang w:val="en-GB" w:eastAsia="zh-CN"/>
        </w:rPr>
      </w:pPr>
      <w:r>
        <w:rPr>
          <w:sz w:val="21"/>
          <w:szCs w:val="21"/>
          <w:lang w:val="en-GB" w:eastAsia="zh-CN"/>
        </w:rPr>
        <w:t xml:space="preserve">According to Observation 1, the </w:t>
      </w:r>
      <w:r w:rsidR="00377B57">
        <w:rPr>
          <w:sz w:val="21"/>
          <w:szCs w:val="21"/>
          <w:lang w:val="en-GB" w:eastAsia="zh-CN"/>
        </w:rPr>
        <w:t xml:space="preserve">desired </w:t>
      </w:r>
      <w:r>
        <w:rPr>
          <w:sz w:val="21"/>
          <w:szCs w:val="21"/>
          <w:lang w:val="en-GB" w:eastAsia="zh-CN"/>
        </w:rPr>
        <w:t>behaviour is already captured in TS38.214 and no clarification seems necessary</w:t>
      </w:r>
      <w:r w:rsidR="00377B57">
        <w:rPr>
          <w:sz w:val="21"/>
          <w:szCs w:val="21"/>
          <w:lang w:val="en-GB" w:eastAsia="zh-CN"/>
        </w:rPr>
        <w:t xml:space="preserve"> in the specification itself</w:t>
      </w:r>
      <w:r>
        <w:rPr>
          <w:sz w:val="21"/>
          <w:szCs w:val="21"/>
          <w:lang w:val="en-GB" w:eastAsia="zh-CN"/>
        </w:rPr>
        <w:t xml:space="preserve">. </w:t>
      </w:r>
      <w:r w:rsidR="00377B57">
        <w:rPr>
          <w:sz w:val="21"/>
          <w:szCs w:val="21"/>
          <w:lang w:val="en-GB" w:eastAsia="zh-CN"/>
        </w:rPr>
        <w:t>However, it would be desirable that RAN1 confirms this behaviour in meeting minutes for reference purpose.</w:t>
      </w:r>
    </w:p>
    <w:p w14:paraId="382C66B5" w14:textId="18C48384" w:rsidR="004D2482" w:rsidRPr="008768D2" w:rsidRDefault="004D2482" w:rsidP="00885C34">
      <w:pPr>
        <w:rPr>
          <w:b/>
          <w:bCs/>
        </w:rPr>
      </w:pPr>
      <w:r w:rsidRPr="008768D2">
        <w:rPr>
          <w:b/>
          <w:bCs/>
        </w:rPr>
        <w:t xml:space="preserve">Proposal </w:t>
      </w:r>
      <w:r w:rsidR="005415B2">
        <w:rPr>
          <w:b/>
          <w:bCs/>
        </w:rPr>
        <w:t>3</w:t>
      </w:r>
      <w:r w:rsidRPr="008768D2">
        <w:rPr>
          <w:b/>
          <w:bCs/>
        </w:rPr>
        <w:t xml:space="preserve">: RAN1 confirms that a UE not capable of restarting bundling after a dynamic event does not restart bundling </w:t>
      </w:r>
      <w:r w:rsidR="005415B2">
        <w:rPr>
          <w:b/>
          <w:bCs/>
        </w:rPr>
        <w:t>before</w:t>
      </w:r>
      <w:r w:rsidRPr="008768D2">
        <w:rPr>
          <w:b/>
          <w:bCs/>
        </w:rPr>
        <w:t xml:space="preserve"> the end of the nominal TDW.</w:t>
      </w:r>
      <w:r w:rsidR="008768D2" w:rsidRPr="008768D2">
        <w:rPr>
          <w:b/>
          <w:bCs/>
        </w:rPr>
        <w:t xml:space="preserve"> No clarification to TS38.214 is required.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7E11BED" w14:textId="7D74042C" w:rsidR="002455CC" w:rsidRDefault="003248E8" w:rsidP="00312DBB">
      <w:pPr>
        <w:spacing w:before="120" w:after="120"/>
        <w:rPr>
          <w:rFonts w:cs="Times New Roman"/>
          <w:sz w:val="21"/>
          <w:szCs w:val="21"/>
        </w:rPr>
      </w:pPr>
      <w:r w:rsidRPr="00473D3A">
        <w:rPr>
          <w:rFonts w:cs="Times New Roman"/>
          <w:sz w:val="21"/>
          <w:szCs w:val="21"/>
        </w:rPr>
        <w:t xml:space="preserve">In this contribution, the following </w:t>
      </w:r>
      <w:r w:rsidR="005415B2">
        <w:rPr>
          <w:rFonts w:cs="Times New Roman"/>
          <w:sz w:val="21"/>
          <w:szCs w:val="21"/>
        </w:rPr>
        <w:t xml:space="preserve">observations and </w:t>
      </w:r>
      <w:r w:rsidRPr="00473D3A">
        <w:rPr>
          <w:rFonts w:cs="Times New Roman"/>
          <w:sz w:val="21"/>
          <w:szCs w:val="21"/>
        </w:rPr>
        <w:t>propos</w:t>
      </w:r>
      <w:r w:rsidR="00385273" w:rsidRPr="00473D3A">
        <w:rPr>
          <w:rFonts w:cs="Times New Roman"/>
          <w:sz w:val="21"/>
          <w:szCs w:val="21"/>
        </w:rPr>
        <w:t>a</w:t>
      </w:r>
      <w:r w:rsidRPr="00473D3A">
        <w:rPr>
          <w:rFonts w:cs="Times New Roman"/>
          <w:sz w:val="21"/>
          <w:szCs w:val="21"/>
        </w:rPr>
        <w:t>ls are made</w:t>
      </w:r>
      <w:r w:rsidR="005415B2">
        <w:rPr>
          <w:rFonts w:cs="Times New Roman"/>
          <w:sz w:val="21"/>
          <w:szCs w:val="21"/>
        </w:rPr>
        <w:t>:</w:t>
      </w:r>
    </w:p>
    <w:p w14:paraId="58691912" w14:textId="77777777" w:rsidR="005415B2" w:rsidRDefault="005415B2" w:rsidP="005415B2">
      <w:pPr>
        <w:spacing w:before="240"/>
        <w:rPr>
          <w:b/>
          <w:bCs/>
          <w:sz w:val="21"/>
          <w:szCs w:val="21"/>
          <w:lang w:eastAsia="zh-CN"/>
        </w:rPr>
      </w:pPr>
      <w:r w:rsidRPr="00B82240">
        <w:rPr>
          <w:b/>
          <w:bCs/>
          <w:sz w:val="21"/>
          <w:szCs w:val="21"/>
          <w:lang w:eastAsia="zh-CN"/>
        </w:rPr>
        <w:t xml:space="preserve">Proposal </w:t>
      </w:r>
      <w:r>
        <w:rPr>
          <w:b/>
          <w:bCs/>
          <w:sz w:val="21"/>
          <w:szCs w:val="21"/>
          <w:lang w:eastAsia="zh-CN"/>
        </w:rPr>
        <w:t>1</w:t>
      </w:r>
      <w:r w:rsidRPr="00B82240">
        <w:rPr>
          <w:b/>
          <w:bCs/>
          <w:sz w:val="21"/>
          <w:szCs w:val="21"/>
          <w:lang w:eastAsia="zh-CN"/>
        </w:rPr>
        <w:t xml:space="preserve">: </w:t>
      </w:r>
      <w:r>
        <w:rPr>
          <w:b/>
          <w:bCs/>
          <w:sz w:val="21"/>
          <w:szCs w:val="21"/>
          <w:lang w:eastAsia="zh-CN"/>
        </w:rPr>
        <w:t>Do not confirm following working assumption: “The action of group common TPC commands with format 2_2 does not constitute an event that violates power consistency and phase continuity”.</w:t>
      </w:r>
    </w:p>
    <w:p w14:paraId="52F3BEC0" w14:textId="77777777" w:rsidR="005415B2" w:rsidRDefault="005415B2" w:rsidP="005415B2">
      <w:pPr>
        <w:spacing w:before="24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Proposal 2: Reception of group common TPC command with format 2_2 indicating non-zero power change is treated as an event that violates power consistency and phase continuity.</w:t>
      </w:r>
    </w:p>
    <w:p w14:paraId="457A915C" w14:textId="77777777" w:rsidR="005415B2" w:rsidRPr="00691532" w:rsidRDefault="005415B2" w:rsidP="005415B2">
      <w:pPr>
        <w:rPr>
          <w:b/>
          <w:bCs/>
          <w:sz w:val="21"/>
          <w:szCs w:val="21"/>
          <w:lang w:val="en-GB" w:eastAsia="zh-CN"/>
        </w:rPr>
      </w:pPr>
      <w:r w:rsidRPr="00691532">
        <w:rPr>
          <w:b/>
          <w:bCs/>
          <w:sz w:val="21"/>
          <w:szCs w:val="21"/>
          <w:lang w:val="en-GB" w:eastAsia="zh-CN"/>
        </w:rPr>
        <w:t>Observation</w:t>
      </w:r>
      <w:r>
        <w:rPr>
          <w:b/>
          <w:bCs/>
          <w:sz w:val="21"/>
          <w:szCs w:val="21"/>
          <w:lang w:val="en-GB" w:eastAsia="zh-CN"/>
        </w:rPr>
        <w:t xml:space="preserve"> 1</w:t>
      </w:r>
      <w:r w:rsidRPr="00691532">
        <w:rPr>
          <w:b/>
          <w:bCs/>
          <w:sz w:val="21"/>
          <w:szCs w:val="21"/>
          <w:lang w:val="en-GB" w:eastAsia="zh-CN"/>
        </w:rPr>
        <w:t>: According to TS38.214 v17.1.0, a UE not capable of restarting bundling after a dynamic event does not restart bundling before the end of the nominal TDW.</w:t>
      </w:r>
    </w:p>
    <w:p w14:paraId="0E4A3F53" w14:textId="77777777" w:rsidR="005415B2" w:rsidRPr="004D2482" w:rsidRDefault="005415B2" w:rsidP="005415B2">
      <w:pPr>
        <w:rPr>
          <w:b/>
          <w:bCs/>
          <w:sz w:val="21"/>
          <w:szCs w:val="21"/>
          <w:lang w:val="en-GB" w:eastAsia="zh-CN"/>
        </w:rPr>
      </w:pPr>
      <w:r w:rsidRPr="004D2482">
        <w:rPr>
          <w:b/>
          <w:bCs/>
          <w:sz w:val="21"/>
          <w:szCs w:val="21"/>
          <w:lang w:val="en-GB" w:eastAsia="zh-CN"/>
        </w:rPr>
        <w:t>Observation</w:t>
      </w:r>
      <w:r>
        <w:rPr>
          <w:b/>
          <w:bCs/>
          <w:sz w:val="21"/>
          <w:szCs w:val="21"/>
          <w:lang w:val="en-GB" w:eastAsia="zh-CN"/>
        </w:rPr>
        <w:t xml:space="preserve"> 2</w:t>
      </w:r>
      <w:r w:rsidRPr="004D2482">
        <w:rPr>
          <w:b/>
          <w:bCs/>
          <w:sz w:val="21"/>
          <w:szCs w:val="21"/>
          <w:lang w:val="en-GB" w:eastAsia="zh-CN"/>
        </w:rPr>
        <w:t>: Relaxing the requirement to restart bundling after a dynamic event does not allow significant complexity reduction if the UE is anyway required to restart bundling after a subsequent semi-static event.</w:t>
      </w:r>
    </w:p>
    <w:p w14:paraId="37166DDF" w14:textId="77777777" w:rsidR="005415B2" w:rsidRPr="008768D2" w:rsidRDefault="005415B2" w:rsidP="005415B2">
      <w:pPr>
        <w:rPr>
          <w:b/>
          <w:bCs/>
        </w:rPr>
      </w:pPr>
      <w:r w:rsidRPr="008768D2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8768D2">
        <w:rPr>
          <w:b/>
          <w:bCs/>
        </w:rPr>
        <w:t xml:space="preserve">: RAN1 confirms that a UE not capable of restarting bundling after a dynamic event does not restart bundling </w:t>
      </w:r>
      <w:r>
        <w:rPr>
          <w:b/>
          <w:bCs/>
        </w:rPr>
        <w:t>before</w:t>
      </w:r>
      <w:r w:rsidRPr="008768D2">
        <w:rPr>
          <w:b/>
          <w:bCs/>
        </w:rPr>
        <w:t xml:space="preserve"> the end of the nominal TDW. No clarification to TS38.214 is required.</w:t>
      </w:r>
    </w:p>
    <w:p w14:paraId="0514F95D" w14:textId="46CCCA49" w:rsidR="00476E0B" w:rsidRPr="005415B2" w:rsidRDefault="00476E0B" w:rsidP="008C1388">
      <w:pPr>
        <w:autoSpaceDE w:val="0"/>
        <w:autoSpaceDN w:val="0"/>
        <w:adjustRightInd w:val="0"/>
        <w:snapToGrid w:val="0"/>
        <w:rPr>
          <w:sz w:val="21"/>
          <w:szCs w:val="21"/>
          <w:lang w:val="en-GB" w:eastAsia="zh-CN"/>
        </w:rPr>
      </w:pP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3CAC8361" w14:textId="7A1AC484" w:rsidR="002C7B12" w:rsidRDefault="0018216D" w:rsidP="002E30A5">
      <w:pPr>
        <w:spacing w:before="240"/>
        <w:rPr>
          <w:rFonts w:cs="Times New Roman"/>
          <w:b/>
          <w:bCs/>
          <w:sz w:val="28"/>
          <w:szCs w:val="28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5415B2">
        <w:rPr>
          <w:rFonts w:cs="Times New Roman"/>
          <w:lang w:eastAsia="zh-CN"/>
        </w:rPr>
        <w:t>3GPP TS38.214, “Physical layer procedures for data”, v17.1.0.</w:t>
      </w:r>
    </w:p>
    <w:sectPr w:rsidR="002C7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7F716" w14:textId="77777777" w:rsidR="001D5427" w:rsidRDefault="001D5427" w:rsidP="00C43ABF">
      <w:pPr>
        <w:spacing w:after="0" w:line="240" w:lineRule="auto"/>
      </w:pPr>
      <w:r>
        <w:separator/>
      </w:r>
    </w:p>
  </w:endnote>
  <w:endnote w:type="continuationSeparator" w:id="0">
    <w:p w14:paraId="7B185D40" w14:textId="77777777" w:rsidR="001D5427" w:rsidRDefault="001D5427" w:rsidP="00C43ABF">
      <w:pPr>
        <w:spacing w:after="0" w:line="240" w:lineRule="auto"/>
      </w:pPr>
      <w:r>
        <w:continuationSeparator/>
      </w:r>
    </w:p>
  </w:endnote>
  <w:endnote w:type="continuationNotice" w:id="1">
    <w:p w14:paraId="51030545" w14:textId="77777777" w:rsidR="001D5427" w:rsidRDefault="001D54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BBED3" w14:textId="77777777" w:rsidR="001D5427" w:rsidRDefault="001D5427" w:rsidP="00C43ABF">
      <w:pPr>
        <w:spacing w:after="0" w:line="240" w:lineRule="auto"/>
      </w:pPr>
      <w:r>
        <w:separator/>
      </w:r>
    </w:p>
  </w:footnote>
  <w:footnote w:type="continuationSeparator" w:id="0">
    <w:p w14:paraId="704932DD" w14:textId="77777777" w:rsidR="001D5427" w:rsidRDefault="001D5427" w:rsidP="00C43ABF">
      <w:pPr>
        <w:spacing w:after="0" w:line="240" w:lineRule="auto"/>
      </w:pPr>
      <w:r>
        <w:continuationSeparator/>
      </w:r>
    </w:p>
  </w:footnote>
  <w:footnote w:type="continuationNotice" w:id="1">
    <w:p w14:paraId="52E50A1B" w14:textId="77777777" w:rsidR="001D5427" w:rsidRDefault="001D54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616EB"/>
    <w:multiLevelType w:val="multilevel"/>
    <w:tmpl w:val="0F5616EB"/>
    <w:lvl w:ilvl="0">
      <w:start w:val="1"/>
      <w:numFmt w:val="bullet"/>
      <w:lvlText w:val=""/>
      <w:lvlJc w:val="left"/>
      <w:pPr>
        <w:ind w:left="35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774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1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14" w:hanging="42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54036"/>
    <w:multiLevelType w:val="hybridMultilevel"/>
    <w:tmpl w:val="C7A6C91E"/>
    <w:lvl w:ilvl="0" w:tplc="BD88C19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5A05E3"/>
    <w:multiLevelType w:val="multilevel"/>
    <w:tmpl w:val="F2D6AFE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C64B48"/>
    <w:multiLevelType w:val="hybridMultilevel"/>
    <w:tmpl w:val="22661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C2712"/>
    <w:multiLevelType w:val="hybridMultilevel"/>
    <w:tmpl w:val="28E649D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4F25C0A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DB4BF4"/>
    <w:multiLevelType w:val="multilevel"/>
    <w:tmpl w:val="65DB4B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5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227972">
    <w:abstractNumId w:val="0"/>
  </w:num>
  <w:num w:numId="2" w16cid:durableId="649527900">
    <w:abstractNumId w:val="25"/>
  </w:num>
  <w:num w:numId="3" w16cid:durableId="1768231962">
    <w:abstractNumId w:val="1"/>
  </w:num>
  <w:num w:numId="4" w16cid:durableId="1251430751">
    <w:abstractNumId w:val="19"/>
  </w:num>
  <w:num w:numId="5" w16cid:durableId="1692099049">
    <w:abstractNumId w:val="17"/>
  </w:num>
  <w:num w:numId="6" w16cid:durableId="643701102">
    <w:abstractNumId w:val="14"/>
  </w:num>
  <w:num w:numId="7" w16cid:durableId="422578240">
    <w:abstractNumId w:val="13"/>
  </w:num>
  <w:num w:numId="8" w16cid:durableId="754058283">
    <w:abstractNumId w:val="1"/>
  </w:num>
  <w:num w:numId="9" w16cid:durableId="1586845158">
    <w:abstractNumId w:val="33"/>
  </w:num>
  <w:num w:numId="10" w16cid:durableId="312369718">
    <w:abstractNumId w:val="6"/>
  </w:num>
  <w:num w:numId="11" w16cid:durableId="1150245547">
    <w:abstractNumId w:val="23"/>
  </w:num>
  <w:num w:numId="12" w16cid:durableId="665211312">
    <w:abstractNumId w:val="28"/>
  </w:num>
  <w:num w:numId="13" w16cid:durableId="1016154018">
    <w:abstractNumId w:val="32"/>
  </w:num>
  <w:num w:numId="14" w16cid:durableId="1214926042">
    <w:abstractNumId w:val="23"/>
  </w:num>
  <w:num w:numId="15" w16cid:durableId="478887225">
    <w:abstractNumId w:val="17"/>
  </w:num>
  <w:num w:numId="16" w16cid:durableId="658269437">
    <w:abstractNumId w:val="24"/>
  </w:num>
  <w:num w:numId="17" w16cid:durableId="635380335">
    <w:abstractNumId w:val="41"/>
  </w:num>
  <w:num w:numId="18" w16cid:durableId="2046172316">
    <w:abstractNumId w:val="18"/>
  </w:num>
  <w:num w:numId="19" w16cid:durableId="833180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9695625">
    <w:abstractNumId w:val="22"/>
  </w:num>
  <w:num w:numId="21" w16cid:durableId="1094743086">
    <w:abstractNumId w:val="21"/>
  </w:num>
  <w:num w:numId="22" w16cid:durableId="1210528949">
    <w:abstractNumId w:val="15"/>
  </w:num>
  <w:num w:numId="23" w16cid:durableId="18900524">
    <w:abstractNumId w:val="46"/>
  </w:num>
  <w:num w:numId="24" w16cid:durableId="1975286473">
    <w:abstractNumId w:val="27"/>
  </w:num>
  <w:num w:numId="25" w16cid:durableId="219756449">
    <w:abstractNumId w:val="40"/>
  </w:num>
  <w:num w:numId="26" w16cid:durableId="1967537328">
    <w:abstractNumId w:val="7"/>
  </w:num>
  <w:num w:numId="27" w16cid:durableId="1643582055">
    <w:abstractNumId w:val="42"/>
  </w:num>
  <w:num w:numId="28" w16cid:durableId="1053384464">
    <w:abstractNumId w:val="47"/>
  </w:num>
  <w:num w:numId="29" w16cid:durableId="1785881421">
    <w:abstractNumId w:val="16"/>
  </w:num>
  <w:num w:numId="30" w16cid:durableId="391271898">
    <w:abstractNumId w:val="36"/>
  </w:num>
  <w:num w:numId="31" w16cid:durableId="1245064329">
    <w:abstractNumId w:val="12"/>
  </w:num>
  <w:num w:numId="32" w16cid:durableId="1238709404">
    <w:abstractNumId w:val="5"/>
  </w:num>
  <w:num w:numId="33" w16cid:durableId="16197733">
    <w:abstractNumId w:val="8"/>
  </w:num>
  <w:num w:numId="34" w16cid:durableId="1203833967">
    <w:abstractNumId w:val="44"/>
  </w:num>
  <w:num w:numId="35" w16cid:durableId="1343163718">
    <w:abstractNumId w:val="4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6991224">
    <w:abstractNumId w:val="4"/>
  </w:num>
  <w:num w:numId="37" w16cid:durableId="1846288041">
    <w:abstractNumId w:val="3"/>
  </w:num>
  <w:num w:numId="38" w16cid:durableId="1435251343">
    <w:abstractNumId w:val="43"/>
  </w:num>
  <w:num w:numId="39" w16cid:durableId="217598734">
    <w:abstractNumId w:val="9"/>
  </w:num>
  <w:num w:numId="40" w16cid:durableId="1026832974">
    <w:abstractNumId w:val="29"/>
  </w:num>
  <w:num w:numId="41" w16cid:durableId="438642883">
    <w:abstractNumId w:val="11"/>
  </w:num>
  <w:num w:numId="42" w16cid:durableId="2031569149">
    <w:abstractNumId w:val="10"/>
  </w:num>
  <w:num w:numId="43" w16cid:durableId="1791438046">
    <w:abstractNumId w:val="37"/>
  </w:num>
  <w:num w:numId="44" w16cid:durableId="1258948130">
    <w:abstractNumId w:val="31"/>
  </w:num>
  <w:num w:numId="45" w16cid:durableId="581135667">
    <w:abstractNumId w:val="34"/>
  </w:num>
  <w:num w:numId="46" w16cid:durableId="437026511">
    <w:abstractNumId w:val="38"/>
  </w:num>
  <w:num w:numId="47" w16cid:durableId="1920558571">
    <w:abstractNumId w:val="35"/>
  </w:num>
  <w:num w:numId="48" w16cid:durableId="152911294">
    <w:abstractNumId w:val="39"/>
  </w:num>
  <w:num w:numId="49" w16cid:durableId="1291129445">
    <w:abstractNumId w:val="33"/>
  </w:num>
  <w:num w:numId="50" w16cid:durableId="795948848">
    <w:abstractNumId w:val="30"/>
  </w:num>
  <w:num w:numId="51" w16cid:durableId="121970104">
    <w:abstractNumId w:val="26"/>
  </w:num>
  <w:num w:numId="52" w16cid:durableId="1269041643">
    <w:abstractNumId w:val="2"/>
  </w:num>
  <w:num w:numId="53" w16cid:durableId="49781619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3AE"/>
    <w:rsid w:val="00000A46"/>
    <w:rsid w:val="000017B1"/>
    <w:rsid w:val="0000230E"/>
    <w:rsid w:val="00003F71"/>
    <w:rsid w:val="0000464A"/>
    <w:rsid w:val="000052D0"/>
    <w:rsid w:val="0000558B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30E5"/>
    <w:rsid w:val="0002337F"/>
    <w:rsid w:val="0002387B"/>
    <w:rsid w:val="00024409"/>
    <w:rsid w:val="00024816"/>
    <w:rsid w:val="00024A88"/>
    <w:rsid w:val="00024B0C"/>
    <w:rsid w:val="00024BAE"/>
    <w:rsid w:val="00025003"/>
    <w:rsid w:val="00025107"/>
    <w:rsid w:val="00026820"/>
    <w:rsid w:val="00026F14"/>
    <w:rsid w:val="00030ABF"/>
    <w:rsid w:val="00030B12"/>
    <w:rsid w:val="0003159D"/>
    <w:rsid w:val="00031789"/>
    <w:rsid w:val="0003242B"/>
    <w:rsid w:val="000326A2"/>
    <w:rsid w:val="00033542"/>
    <w:rsid w:val="00033BEF"/>
    <w:rsid w:val="00033C71"/>
    <w:rsid w:val="0003467C"/>
    <w:rsid w:val="00035918"/>
    <w:rsid w:val="00036C80"/>
    <w:rsid w:val="000372AF"/>
    <w:rsid w:val="00037E51"/>
    <w:rsid w:val="00037FC1"/>
    <w:rsid w:val="00040316"/>
    <w:rsid w:val="00040492"/>
    <w:rsid w:val="00042361"/>
    <w:rsid w:val="000444FE"/>
    <w:rsid w:val="00045602"/>
    <w:rsid w:val="000504BB"/>
    <w:rsid w:val="00050AC0"/>
    <w:rsid w:val="00051089"/>
    <w:rsid w:val="00052E03"/>
    <w:rsid w:val="00052FD8"/>
    <w:rsid w:val="0005411A"/>
    <w:rsid w:val="000543CE"/>
    <w:rsid w:val="00054806"/>
    <w:rsid w:val="00055FA5"/>
    <w:rsid w:val="00056C82"/>
    <w:rsid w:val="00060644"/>
    <w:rsid w:val="000606EC"/>
    <w:rsid w:val="000609D9"/>
    <w:rsid w:val="0006187F"/>
    <w:rsid w:val="00061A14"/>
    <w:rsid w:val="00061D89"/>
    <w:rsid w:val="00061FAD"/>
    <w:rsid w:val="00062344"/>
    <w:rsid w:val="00062A21"/>
    <w:rsid w:val="00062DF4"/>
    <w:rsid w:val="000635B6"/>
    <w:rsid w:val="000639D2"/>
    <w:rsid w:val="00064BAE"/>
    <w:rsid w:val="00065150"/>
    <w:rsid w:val="000656C1"/>
    <w:rsid w:val="00066531"/>
    <w:rsid w:val="00066E0F"/>
    <w:rsid w:val="000702C5"/>
    <w:rsid w:val="00071058"/>
    <w:rsid w:val="0007113B"/>
    <w:rsid w:val="000711AA"/>
    <w:rsid w:val="00071BB1"/>
    <w:rsid w:val="00072098"/>
    <w:rsid w:val="00072380"/>
    <w:rsid w:val="000724EE"/>
    <w:rsid w:val="000730D7"/>
    <w:rsid w:val="00074BF5"/>
    <w:rsid w:val="000755E5"/>
    <w:rsid w:val="00075FAC"/>
    <w:rsid w:val="00076800"/>
    <w:rsid w:val="000777DC"/>
    <w:rsid w:val="000779A8"/>
    <w:rsid w:val="0008012F"/>
    <w:rsid w:val="000802A3"/>
    <w:rsid w:val="0008120F"/>
    <w:rsid w:val="00082727"/>
    <w:rsid w:val="0008280E"/>
    <w:rsid w:val="000830D6"/>
    <w:rsid w:val="000846F7"/>
    <w:rsid w:val="00085517"/>
    <w:rsid w:val="00085852"/>
    <w:rsid w:val="0008644D"/>
    <w:rsid w:val="00086B9B"/>
    <w:rsid w:val="0009273A"/>
    <w:rsid w:val="00094077"/>
    <w:rsid w:val="00094E63"/>
    <w:rsid w:val="00095068"/>
    <w:rsid w:val="000958E5"/>
    <w:rsid w:val="00096238"/>
    <w:rsid w:val="000963B8"/>
    <w:rsid w:val="00097685"/>
    <w:rsid w:val="000A07D4"/>
    <w:rsid w:val="000A0D6A"/>
    <w:rsid w:val="000A1A7F"/>
    <w:rsid w:val="000A2E2A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61"/>
    <w:rsid w:val="000B03F6"/>
    <w:rsid w:val="000B11F9"/>
    <w:rsid w:val="000B1BD2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257"/>
    <w:rsid w:val="000E1F25"/>
    <w:rsid w:val="000E257A"/>
    <w:rsid w:val="000E3156"/>
    <w:rsid w:val="000E342F"/>
    <w:rsid w:val="000E3A99"/>
    <w:rsid w:val="000E3E10"/>
    <w:rsid w:val="000E49E6"/>
    <w:rsid w:val="000E4F43"/>
    <w:rsid w:val="000E637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6AC"/>
    <w:rsid w:val="0010074E"/>
    <w:rsid w:val="001015D8"/>
    <w:rsid w:val="00101829"/>
    <w:rsid w:val="001024C3"/>
    <w:rsid w:val="001024C7"/>
    <w:rsid w:val="00102AFC"/>
    <w:rsid w:val="00103279"/>
    <w:rsid w:val="001033FD"/>
    <w:rsid w:val="001041C9"/>
    <w:rsid w:val="00104AA2"/>
    <w:rsid w:val="00104C0C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378"/>
    <w:rsid w:val="001114FB"/>
    <w:rsid w:val="001115E7"/>
    <w:rsid w:val="001155C0"/>
    <w:rsid w:val="001163E0"/>
    <w:rsid w:val="00116779"/>
    <w:rsid w:val="00116A5F"/>
    <w:rsid w:val="00116E26"/>
    <w:rsid w:val="00117A83"/>
    <w:rsid w:val="00120E96"/>
    <w:rsid w:val="00121E11"/>
    <w:rsid w:val="00122298"/>
    <w:rsid w:val="00123329"/>
    <w:rsid w:val="0012392E"/>
    <w:rsid w:val="00123BDB"/>
    <w:rsid w:val="00125188"/>
    <w:rsid w:val="001261FD"/>
    <w:rsid w:val="001268F9"/>
    <w:rsid w:val="00126B15"/>
    <w:rsid w:val="00126E93"/>
    <w:rsid w:val="00127125"/>
    <w:rsid w:val="00130B39"/>
    <w:rsid w:val="0013163C"/>
    <w:rsid w:val="00132156"/>
    <w:rsid w:val="00132664"/>
    <w:rsid w:val="00133334"/>
    <w:rsid w:val="001346F8"/>
    <w:rsid w:val="001410B6"/>
    <w:rsid w:val="0014161A"/>
    <w:rsid w:val="00141A29"/>
    <w:rsid w:val="00141C66"/>
    <w:rsid w:val="00142968"/>
    <w:rsid w:val="001452C4"/>
    <w:rsid w:val="00145BCF"/>
    <w:rsid w:val="00145D35"/>
    <w:rsid w:val="00146186"/>
    <w:rsid w:val="0014718B"/>
    <w:rsid w:val="00147323"/>
    <w:rsid w:val="00147505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243"/>
    <w:rsid w:val="00153405"/>
    <w:rsid w:val="0015541C"/>
    <w:rsid w:val="0015556D"/>
    <w:rsid w:val="00155A91"/>
    <w:rsid w:val="00155C43"/>
    <w:rsid w:val="001566A4"/>
    <w:rsid w:val="001608EC"/>
    <w:rsid w:val="00160A2D"/>
    <w:rsid w:val="0016442B"/>
    <w:rsid w:val="0016509E"/>
    <w:rsid w:val="00165106"/>
    <w:rsid w:val="0016514E"/>
    <w:rsid w:val="001716D8"/>
    <w:rsid w:val="00171974"/>
    <w:rsid w:val="00171DDE"/>
    <w:rsid w:val="00173FAF"/>
    <w:rsid w:val="00174123"/>
    <w:rsid w:val="0017448E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90FC6"/>
    <w:rsid w:val="00191785"/>
    <w:rsid w:val="00192745"/>
    <w:rsid w:val="001928CB"/>
    <w:rsid w:val="001938AD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A23"/>
    <w:rsid w:val="001A21F8"/>
    <w:rsid w:val="001A35D3"/>
    <w:rsid w:val="001A55F6"/>
    <w:rsid w:val="001A7462"/>
    <w:rsid w:val="001A76B9"/>
    <w:rsid w:val="001B04DC"/>
    <w:rsid w:val="001B391C"/>
    <w:rsid w:val="001B3B16"/>
    <w:rsid w:val="001B5078"/>
    <w:rsid w:val="001B5E34"/>
    <w:rsid w:val="001B5E96"/>
    <w:rsid w:val="001B5EC8"/>
    <w:rsid w:val="001C015E"/>
    <w:rsid w:val="001C15F0"/>
    <w:rsid w:val="001C195F"/>
    <w:rsid w:val="001C26D1"/>
    <w:rsid w:val="001C28DB"/>
    <w:rsid w:val="001C54BE"/>
    <w:rsid w:val="001C5BC1"/>
    <w:rsid w:val="001C6584"/>
    <w:rsid w:val="001C66AC"/>
    <w:rsid w:val="001C67F3"/>
    <w:rsid w:val="001C750E"/>
    <w:rsid w:val="001C77F0"/>
    <w:rsid w:val="001C7BDB"/>
    <w:rsid w:val="001D1163"/>
    <w:rsid w:val="001D2110"/>
    <w:rsid w:val="001D2304"/>
    <w:rsid w:val="001D25DB"/>
    <w:rsid w:val="001D32B0"/>
    <w:rsid w:val="001D3D6C"/>
    <w:rsid w:val="001D4711"/>
    <w:rsid w:val="001D472A"/>
    <w:rsid w:val="001D4D2B"/>
    <w:rsid w:val="001D529F"/>
    <w:rsid w:val="001D5371"/>
    <w:rsid w:val="001D5427"/>
    <w:rsid w:val="001D543B"/>
    <w:rsid w:val="001D5444"/>
    <w:rsid w:val="001D5717"/>
    <w:rsid w:val="001D5BB2"/>
    <w:rsid w:val="001D5C29"/>
    <w:rsid w:val="001D5EBA"/>
    <w:rsid w:val="001D5F32"/>
    <w:rsid w:val="001D6F7F"/>
    <w:rsid w:val="001D7820"/>
    <w:rsid w:val="001D7B72"/>
    <w:rsid w:val="001E0640"/>
    <w:rsid w:val="001E16B4"/>
    <w:rsid w:val="001E1740"/>
    <w:rsid w:val="001E1813"/>
    <w:rsid w:val="001E1B3B"/>
    <w:rsid w:val="001E1B88"/>
    <w:rsid w:val="001E29B0"/>
    <w:rsid w:val="001E48FF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1F6916"/>
    <w:rsid w:val="001F7195"/>
    <w:rsid w:val="00200A4F"/>
    <w:rsid w:val="0020206E"/>
    <w:rsid w:val="00202156"/>
    <w:rsid w:val="00202866"/>
    <w:rsid w:val="00203542"/>
    <w:rsid w:val="002043A0"/>
    <w:rsid w:val="002058C3"/>
    <w:rsid w:val="00207566"/>
    <w:rsid w:val="00211CE3"/>
    <w:rsid w:val="002125DA"/>
    <w:rsid w:val="002130AF"/>
    <w:rsid w:val="00215ABF"/>
    <w:rsid w:val="00216100"/>
    <w:rsid w:val="002167D5"/>
    <w:rsid w:val="00217074"/>
    <w:rsid w:val="00217CBB"/>
    <w:rsid w:val="00220003"/>
    <w:rsid w:val="002200E6"/>
    <w:rsid w:val="00220CB5"/>
    <w:rsid w:val="00221082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5D7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55CC"/>
    <w:rsid w:val="00247105"/>
    <w:rsid w:val="002477F1"/>
    <w:rsid w:val="00250A5A"/>
    <w:rsid w:val="002513C8"/>
    <w:rsid w:val="0025169F"/>
    <w:rsid w:val="00251B0E"/>
    <w:rsid w:val="00251BBA"/>
    <w:rsid w:val="002525F4"/>
    <w:rsid w:val="0025282F"/>
    <w:rsid w:val="002529CB"/>
    <w:rsid w:val="00253B30"/>
    <w:rsid w:val="00254662"/>
    <w:rsid w:val="002549FA"/>
    <w:rsid w:val="00254CC5"/>
    <w:rsid w:val="0025561E"/>
    <w:rsid w:val="00255FC7"/>
    <w:rsid w:val="00256ADF"/>
    <w:rsid w:val="002570FF"/>
    <w:rsid w:val="0025759F"/>
    <w:rsid w:val="00260E5F"/>
    <w:rsid w:val="002621C5"/>
    <w:rsid w:val="0026262E"/>
    <w:rsid w:val="002626BC"/>
    <w:rsid w:val="00263B5C"/>
    <w:rsid w:val="00264360"/>
    <w:rsid w:val="00264592"/>
    <w:rsid w:val="0026499E"/>
    <w:rsid w:val="00264F6B"/>
    <w:rsid w:val="00265CB7"/>
    <w:rsid w:val="0026699C"/>
    <w:rsid w:val="00266EB3"/>
    <w:rsid w:val="002670CD"/>
    <w:rsid w:val="00267357"/>
    <w:rsid w:val="002676AE"/>
    <w:rsid w:val="002706B9"/>
    <w:rsid w:val="00273039"/>
    <w:rsid w:val="002730AC"/>
    <w:rsid w:val="00273401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5674"/>
    <w:rsid w:val="002866E9"/>
    <w:rsid w:val="00286756"/>
    <w:rsid w:val="002869E6"/>
    <w:rsid w:val="00287B80"/>
    <w:rsid w:val="0029094B"/>
    <w:rsid w:val="00292104"/>
    <w:rsid w:val="002929BA"/>
    <w:rsid w:val="002939F1"/>
    <w:rsid w:val="002946AD"/>
    <w:rsid w:val="0029472C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5A5"/>
    <w:rsid w:val="002A5184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4D2"/>
    <w:rsid w:val="002B5641"/>
    <w:rsid w:val="002B5BD7"/>
    <w:rsid w:val="002B62BB"/>
    <w:rsid w:val="002B63D3"/>
    <w:rsid w:val="002B69E6"/>
    <w:rsid w:val="002C0A51"/>
    <w:rsid w:val="002C0C14"/>
    <w:rsid w:val="002C174D"/>
    <w:rsid w:val="002C1802"/>
    <w:rsid w:val="002C2FC4"/>
    <w:rsid w:val="002C3764"/>
    <w:rsid w:val="002C3815"/>
    <w:rsid w:val="002C3905"/>
    <w:rsid w:val="002C458F"/>
    <w:rsid w:val="002C485B"/>
    <w:rsid w:val="002C512C"/>
    <w:rsid w:val="002C5EEF"/>
    <w:rsid w:val="002C677F"/>
    <w:rsid w:val="002C71A1"/>
    <w:rsid w:val="002C74E7"/>
    <w:rsid w:val="002C7B12"/>
    <w:rsid w:val="002D0291"/>
    <w:rsid w:val="002D071F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F90"/>
    <w:rsid w:val="002E132B"/>
    <w:rsid w:val="002E1F6D"/>
    <w:rsid w:val="002E30A5"/>
    <w:rsid w:val="002E3A0A"/>
    <w:rsid w:val="002E3D2E"/>
    <w:rsid w:val="002E3FA1"/>
    <w:rsid w:val="002E4E4F"/>
    <w:rsid w:val="002E5049"/>
    <w:rsid w:val="002E5CD1"/>
    <w:rsid w:val="002E6236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2FE"/>
    <w:rsid w:val="002F6586"/>
    <w:rsid w:val="002F72DB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737"/>
    <w:rsid w:val="00310BED"/>
    <w:rsid w:val="0031137D"/>
    <w:rsid w:val="00311696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17E70"/>
    <w:rsid w:val="0032071F"/>
    <w:rsid w:val="00320B0D"/>
    <w:rsid w:val="00320BC0"/>
    <w:rsid w:val="00320BF4"/>
    <w:rsid w:val="00320CEB"/>
    <w:rsid w:val="00322C1D"/>
    <w:rsid w:val="00322F68"/>
    <w:rsid w:val="00323106"/>
    <w:rsid w:val="00323645"/>
    <w:rsid w:val="00324335"/>
    <w:rsid w:val="003248E8"/>
    <w:rsid w:val="00325F47"/>
    <w:rsid w:val="00326B64"/>
    <w:rsid w:val="0032709A"/>
    <w:rsid w:val="00327B20"/>
    <w:rsid w:val="00327E13"/>
    <w:rsid w:val="003304F9"/>
    <w:rsid w:val="003316E5"/>
    <w:rsid w:val="00331CA4"/>
    <w:rsid w:val="0033267B"/>
    <w:rsid w:val="003337A1"/>
    <w:rsid w:val="003346F0"/>
    <w:rsid w:val="0033488E"/>
    <w:rsid w:val="00334C57"/>
    <w:rsid w:val="00335DDE"/>
    <w:rsid w:val="00336C48"/>
    <w:rsid w:val="00336FDE"/>
    <w:rsid w:val="003414D8"/>
    <w:rsid w:val="00341726"/>
    <w:rsid w:val="00341B93"/>
    <w:rsid w:val="0034222F"/>
    <w:rsid w:val="003436F2"/>
    <w:rsid w:val="00343A44"/>
    <w:rsid w:val="00344189"/>
    <w:rsid w:val="003441E6"/>
    <w:rsid w:val="00344442"/>
    <w:rsid w:val="00344701"/>
    <w:rsid w:val="003454D4"/>
    <w:rsid w:val="0034612D"/>
    <w:rsid w:val="00346576"/>
    <w:rsid w:val="00346BBC"/>
    <w:rsid w:val="00347467"/>
    <w:rsid w:val="00347FC4"/>
    <w:rsid w:val="00350D0C"/>
    <w:rsid w:val="0035130A"/>
    <w:rsid w:val="00352461"/>
    <w:rsid w:val="0035482F"/>
    <w:rsid w:val="00354B55"/>
    <w:rsid w:val="0035593C"/>
    <w:rsid w:val="00357467"/>
    <w:rsid w:val="0036012F"/>
    <w:rsid w:val="00360AE1"/>
    <w:rsid w:val="00360FAF"/>
    <w:rsid w:val="00361E03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0F6E"/>
    <w:rsid w:val="0037125F"/>
    <w:rsid w:val="00371A57"/>
    <w:rsid w:val="00372BBD"/>
    <w:rsid w:val="003732FD"/>
    <w:rsid w:val="00373BF8"/>
    <w:rsid w:val="00374410"/>
    <w:rsid w:val="00375A4F"/>
    <w:rsid w:val="0037630E"/>
    <w:rsid w:val="00376AA2"/>
    <w:rsid w:val="00377AB5"/>
    <w:rsid w:val="00377B57"/>
    <w:rsid w:val="00380BE3"/>
    <w:rsid w:val="003814BA"/>
    <w:rsid w:val="0038275C"/>
    <w:rsid w:val="00383A0B"/>
    <w:rsid w:val="00384A57"/>
    <w:rsid w:val="00385095"/>
    <w:rsid w:val="00385273"/>
    <w:rsid w:val="00385360"/>
    <w:rsid w:val="00386A1D"/>
    <w:rsid w:val="00387447"/>
    <w:rsid w:val="00387AB3"/>
    <w:rsid w:val="00387B99"/>
    <w:rsid w:val="00390BDD"/>
    <w:rsid w:val="003912DC"/>
    <w:rsid w:val="00391684"/>
    <w:rsid w:val="00391B55"/>
    <w:rsid w:val="00392B4F"/>
    <w:rsid w:val="00392C83"/>
    <w:rsid w:val="003938DB"/>
    <w:rsid w:val="00393E60"/>
    <w:rsid w:val="00393E9A"/>
    <w:rsid w:val="00394828"/>
    <w:rsid w:val="00394CDA"/>
    <w:rsid w:val="00394D9E"/>
    <w:rsid w:val="003960DE"/>
    <w:rsid w:val="00396CC4"/>
    <w:rsid w:val="003979D3"/>
    <w:rsid w:val="003A020C"/>
    <w:rsid w:val="003A0267"/>
    <w:rsid w:val="003A05EF"/>
    <w:rsid w:val="003A12D7"/>
    <w:rsid w:val="003A161C"/>
    <w:rsid w:val="003A23FA"/>
    <w:rsid w:val="003A30D9"/>
    <w:rsid w:val="003A30E7"/>
    <w:rsid w:val="003A33BD"/>
    <w:rsid w:val="003A3B07"/>
    <w:rsid w:val="003A4F97"/>
    <w:rsid w:val="003A6060"/>
    <w:rsid w:val="003A6292"/>
    <w:rsid w:val="003B1BF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6641"/>
    <w:rsid w:val="003D7546"/>
    <w:rsid w:val="003E0E6F"/>
    <w:rsid w:val="003E1787"/>
    <w:rsid w:val="003E3796"/>
    <w:rsid w:val="003E3F62"/>
    <w:rsid w:val="003E4663"/>
    <w:rsid w:val="003E59A2"/>
    <w:rsid w:val="003E74F5"/>
    <w:rsid w:val="003E7B49"/>
    <w:rsid w:val="003F12F2"/>
    <w:rsid w:val="003F1996"/>
    <w:rsid w:val="003F1D70"/>
    <w:rsid w:val="003F2371"/>
    <w:rsid w:val="003F3F12"/>
    <w:rsid w:val="003F482D"/>
    <w:rsid w:val="003F546F"/>
    <w:rsid w:val="003F6DA5"/>
    <w:rsid w:val="003F7070"/>
    <w:rsid w:val="003F77F2"/>
    <w:rsid w:val="003F78C5"/>
    <w:rsid w:val="00400B9B"/>
    <w:rsid w:val="00400F45"/>
    <w:rsid w:val="00401D6B"/>
    <w:rsid w:val="00403688"/>
    <w:rsid w:val="00403690"/>
    <w:rsid w:val="004037F6"/>
    <w:rsid w:val="004069D9"/>
    <w:rsid w:val="004072AF"/>
    <w:rsid w:val="00407E35"/>
    <w:rsid w:val="00412946"/>
    <w:rsid w:val="00412E6F"/>
    <w:rsid w:val="00416215"/>
    <w:rsid w:val="004167C9"/>
    <w:rsid w:val="00416C26"/>
    <w:rsid w:val="0041770E"/>
    <w:rsid w:val="00417DCE"/>
    <w:rsid w:val="00424AB3"/>
    <w:rsid w:val="00425411"/>
    <w:rsid w:val="0042595C"/>
    <w:rsid w:val="00430145"/>
    <w:rsid w:val="00430B88"/>
    <w:rsid w:val="00431811"/>
    <w:rsid w:val="004328BF"/>
    <w:rsid w:val="00433B64"/>
    <w:rsid w:val="004347D4"/>
    <w:rsid w:val="00434DF8"/>
    <w:rsid w:val="0043571D"/>
    <w:rsid w:val="00435F3D"/>
    <w:rsid w:val="00437598"/>
    <w:rsid w:val="0043780A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8D"/>
    <w:rsid w:val="004457C2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F2"/>
    <w:rsid w:val="00460426"/>
    <w:rsid w:val="00461552"/>
    <w:rsid w:val="00462A9F"/>
    <w:rsid w:val="00465E00"/>
    <w:rsid w:val="00466267"/>
    <w:rsid w:val="00466327"/>
    <w:rsid w:val="00466443"/>
    <w:rsid w:val="0046741A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6E3"/>
    <w:rsid w:val="00475652"/>
    <w:rsid w:val="0047687E"/>
    <w:rsid w:val="004769D9"/>
    <w:rsid w:val="00476E0B"/>
    <w:rsid w:val="004773E3"/>
    <w:rsid w:val="00477B2F"/>
    <w:rsid w:val="0048095B"/>
    <w:rsid w:val="00481DDE"/>
    <w:rsid w:val="00482393"/>
    <w:rsid w:val="004826D5"/>
    <w:rsid w:val="004837DE"/>
    <w:rsid w:val="004838C3"/>
    <w:rsid w:val="00483AA6"/>
    <w:rsid w:val="004846B6"/>
    <w:rsid w:val="004861B5"/>
    <w:rsid w:val="004873FB"/>
    <w:rsid w:val="00487858"/>
    <w:rsid w:val="00487D89"/>
    <w:rsid w:val="00487F43"/>
    <w:rsid w:val="0049003E"/>
    <w:rsid w:val="004914BD"/>
    <w:rsid w:val="00492007"/>
    <w:rsid w:val="0049619E"/>
    <w:rsid w:val="004967E3"/>
    <w:rsid w:val="00496B43"/>
    <w:rsid w:val="00497950"/>
    <w:rsid w:val="00497CBA"/>
    <w:rsid w:val="00497CBE"/>
    <w:rsid w:val="004A0026"/>
    <w:rsid w:val="004A01F8"/>
    <w:rsid w:val="004A2363"/>
    <w:rsid w:val="004A268D"/>
    <w:rsid w:val="004A2A07"/>
    <w:rsid w:val="004A2F33"/>
    <w:rsid w:val="004A350D"/>
    <w:rsid w:val="004A3D74"/>
    <w:rsid w:val="004A4435"/>
    <w:rsid w:val="004A4678"/>
    <w:rsid w:val="004A5DAF"/>
    <w:rsid w:val="004A5F52"/>
    <w:rsid w:val="004A603A"/>
    <w:rsid w:val="004A7AF3"/>
    <w:rsid w:val="004B2DD5"/>
    <w:rsid w:val="004B3BE3"/>
    <w:rsid w:val="004B3C17"/>
    <w:rsid w:val="004B4014"/>
    <w:rsid w:val="004B513A"/>
    <w:rsid w:val="004B63E1"/>
    <w:rsid w:val="004B7329"/>
    <w:rsid w:val="004B737A"/>
    <w:rsid w:val="004B7FA5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667B"/>
    <w:rsid w:val="004C7984"/>
    <w:rsid w:val="004C7AC6"/>
    <w:rsid w:val="004C7F5A"/>
    <w:rsid w:val="004D0FAE"/>
    <w:rsid w:val="004D16C1"/>
    <w:rsid w:val="004D1BBF"/>
    <w:rsid w:val="004D1BC3"/>
    <w:rsid w:val="004D1D66"/>
    <w:rsid w:val="004D2482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13A"/>
    <w:rsid w:val="004E2DB3"/>
    <w:rsid w:val="004E3931"/>
    <w:rsid w:val="004E4117"/>
    <w:rsid w:val="004E4AC0"/>
    <w:rsid w:val="004E52C8"/>
    <w:rsid w:val="004E598F"/>
    <w:rsid w:val="004E670A"/>
    <w:rsid w:val="004E6AA6"/>
    <w:rsid w:val="004E6CB6"/>
    <w:rsid w:val="004E6D11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ADC"/>
    <w:rsid w:val="00500D98"/>
    <w:rsid w:val="00501587"/>
    <w:rsid w:val="00502BA4"/>
    <w:rsid w:val="00502FEB"/>
    <w:rsid w:val="00503065"/>
    <w:rsid w:val="0050413F"/>
    <w:rsid w:val="0050485F"/>
    <w:rsid w:val="005050D6"/>
    <w:rsid w:val="00505642"/>
    <w:rsid w:val="00506217"/>
    <w:rsid w:val="0050711F"/>
    <w:rsid w:val="00510E9B"/>
    <w:rsid w:val="005118C4"/>
    <w:rsid w:val="00514EF3"/>
    <w:rsid w:val="00515181"/>
    <w:rsid w:val="005155C4"/>
    <w:rsid w:val="005173B6"/>
    <w:rsid w:val="00517B1A"/>
    <w:rsid w:val="0052075E"/>
    <w:rsid w:val="005207FF"/>
    <w:rsid w:val="005213A0"/>
    <w:rsid w:val="00521803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265C9"/>
    <w:rsid w:val="0053101B"/>
    <w:rsid w:val="00531CCB"/>
    <w:rsid w:val="00531E33"/>
    <w:rsid w:val="00533764"/>
    <w:rsid w:val="005343CF"/>
    <w:rsid w:val="00534FF6"/>
    <w:rsid w:val="00535E57"/>
    <w:rsid w:val="00536D00"/>
    <w:rsid w:val="00537870"/>
    <w:rsid w:val="005408FA"/>
    <w:rsid w:val="0054150B"/>
    <w:rsid w:val="005415B2"/>
    <w:rsid w:val="005422FC"/>
    <w:rsid w:val="005424CD"/>
    <w:rsid w:val="00542DDC"/>
    <w:rsid w:val="00543103"/>
    <w:rsid w:val="005439A3"/>
    <w:rsid w:val="005443C1"/>
    <w:rsid w:val="00544AC7"/>
    <w:rsid w:val="00544FA3"/>
    <w:rsid w:val="0054529F"/>
    <w:rsid w:val="005453DD"/>
    <w:rsid w:val="00546485"/>
    <w:rsid w:val="00546C47"/>
    <w:rsid w:val="00547CF3"/>
    <w:rsid w:val="00550407"/>
    <w:rsid w:val="005504A3"/>
    <w:rsid w:val="00550F97"/>
    <w:rsid w:val="00552028"/>
    <w:rsid w:val="00552222"/>
    <w:rsid w:val="00552916"/>
    <w:rsid w:val="00552EAB"/>
    <w:rsid w:val="00553EE7"/>
    <w:rsid w:val="005542F8"/>
    <w:rsid w:val="00554A44"/>
    <w:rsid w:val="0055505F"/>
    <w:rsid w:val="005573E8"/>
    <w:rsid w:val="00557AB0"/>
    <w:rsid w:val="00560109"/>
    <w:rsid w:val="005604F9"/>
    <w:rsid w:val="00560E18"/>
    <w:rsid w:val="005618A0"/>
    <w:rsid w:val="00562788"/>
    <w:rsid w:val="00562CFC"/>
    <w:rsid w:val="0056348A"/>
    <w:rsid w:val="005645BB"/>
    <w:rsid w:val="005647E4"/>
    <w:rsid w:val="00564910"/>
    <w:rsid w:val="00564FA4"/>
    <w:rsid w:val="005666D4"/>
    <w:rsid w:val="00566DEF"/>
    <w:rsid w:val="00570B71"/>
    <w:rsid w:val="0057105E"/>
    <w:rsid w:val="00571409"/>
    <w:rsid w:val="00571981"/>
    <w:rsid w:val="00571D1E"/>
    <w:rsid w:val="00572EB3"/>
    <w:rsid w:val="005733DB"/>
    <w:rsid w:val="00573AF4"/>
    <w:rsid w:val="005745F0"/>
    <w:rsid w:val="0057520D"/>
    <w:rsid w:val="005753FE"/>
    <w:rsid w:val="00575AD1"/>
    <w:rsid w:val="00576038"/>
    <w:rsid w:val="00576544"/>
    <w:rsid w:val="0057716C"/>
    <w:rsid w:val="00577F1F"/>
    <w:rsid w:val="0058075B"/>
    <w:rsid w:val="0058109D"/>
    <w:rsid w:val="0058230F"/>
    <w:rsid w:val="00582576"/>
    <w:rsid w:val="00584036"/>
    <w:rsid w:val="00584122"/>
    <w:rsid w:val="00584AB0"/>
    <w:rsid w:val="0058535C"/>
    <w:rsid w:val="005862B2"/>
    <w:rsid w:val="00586F84"/>
    <w:rsid w:val="00587391"/>
    <w:rsid w:val="0059017B"/>
    <w:rsid w:val="005911E6"/>
    <w:rsid w:val="00591B30"/>
    <w:rsid w:val="00593562"/>
    <w:rsid w:val="005947FD"/>
    <w:rsid w:val="00594B3D"/>
    <w:rsid w:val="00594D37"/>
    <w:rsid w:val="00595343"/>
    <w:rsid w:val="00596F1A"/>
    <w:rsid w:val="005A0902"/>
    <w:rsid w:val="005A1B1C"/>
    <w:rsid w:val="005A2E19"/>
    <w:rsid w:val="005A3C3A"/>
    <w:rsid w:val="005A3F77"/>
    <w:rsid w:val="005A57D8"/>
    <w:rsid w:val="005A7358"/>
    <w:rsid w:val="005A76B8"/>
    <w:rsid w:val="005A77FE"/>
    <w:rsid w:val="005A7886"/>
    <w:rsid w:val="005A7FD7"/>
    <w:rsid w:val="005B0732"/>
    <w:rsid w:val="005B0939"/>
    <w:rsid w:val="005B2B04"/>
    <w:rsid w:val="005B35A7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4B6"/>
    <w:rsid w:val="005C2D98"/>
    <w:rsid w:val="005C31C0"/>
    <w:rsid w:val="005C361D"/>
    <w:rsid w:val="005C38E4"/>
    <w:rsid w:val="005C484E"/>
    <w:rsid w:val="005C754A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49C6"/>
    <w:rsid w:val="005D51FA"/>
    <w:rsid w:val="005D5515"/>
    <w:rsid w:val="005D5B1E"/>
    <w:rsid w:val="005D5DED"/>
    <w:rsid w:val="005D5E10"/>
    <w:rsid w:val="005D5F57"/>
    <w:rsid w:val="005D658B"/>
    <w:rsid w:val="005D69E9"/>
    <w:rsid w:val="005D6E9D"/>
    <w:rsid w:val="005D7FE8"/>
    <w:rsid w:val="005E0618"/>
    <w:rsid w:val="005E0A01"/>
    <w:rsid w:val="005E260E"/>
    <w:rsid w:val="005E3C68"/>
    <w:rsid w:val="005E4089"/>
    <w:rsid w:val="005E5B17"/>
    <w:rsid w:val="005E73D2"/>
    <w:rsid w:val="005F01ED"/>
    <w:rsid w:val="005F04A0"/>
    <w:rsid w:val="005F2137"/>
    <w:rsid w:val="005F3FA7"/>
    <w:rsid w:val="005F40D3"/>
    <w:rsid w:val="005F51D3"/>
    <w:rsid w:val="005F602C"/>
    <w:rsid w:val="005F61CC"/>
    <w:rsid w:val="005F6217"/>
    <w:rsid w:val="005F75B1"/>
    <w:rsid w:val="00600045"/>
    <w:rsid w:val="00600BC5"/>
    <w:rsid w:val="00601564"/>
    <w:rsid w:val="00602191"/>
    <w:rsid w:val="00602349"/>
    <w:rsid w:val="00602B09"/>
    <w:rsid w:val="0060427C"/>
    <w:rsid w:val="006043B1"/>
    <w:rsid w:val="00604900"/>
    <w:rsid w:val="00605F2F"/>
    <w:rsid w:val="0061103D"/>
    <w:rsid w:val="006114F4"/>
    <w:rsid w:val="00612A7F"/>
    <w:rsid w:val="00613342"/>
    <w:rsid w:val="00613AF5"/>
    <w:rsid w:val="00614A74"/>
    <w:rsid w:val="00615E07"/>
    <w:rsid w:val="00620C92"/>
    <w:rsid w:val="0062112C"/>
    <w:rsid w:val="006224B4"/>
    <w:rsid w:val="0062261E"/>
    <w:rsid w:val="00624157"/>
    <w:rsid w:val="0062425E"/>
    <w:rsid w:val="00624B58"/>
    <w:rsid w:val="006251A6"/>
    <w:rsid w:val="00625344"/>
    <w:rsid w:val="0062594B"/>
    <w:rsid w:val="00626B32"/>
    <w:rsid w:val="0062711A"/>
    <w:rsid w:val="00627459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35806"/>
    <w:rsid w:val="00640027"/>
    <w:rsid w:val="00640784"/>
    <w:rsid w:val="00641244"/>
    <w:rsid w:val="00643282"/>
    <w:rsid w:val="0064530B"/>
    <w:rsid w:val="00645C07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45E"/>
    <w:rsid w:val="00654498"/>
    <w:rsid w:val="00655423"/>
    <w:rsid w:val="00655EDB"/>
    <w:rsid w:val="00656CEA"/>
    <w:rsid w:val="00657AF9"/>
    <w:rsid w:val="00660049"/>
    <w:rsid w:val="006603C8"/>
    <w:rsid w:val="006610E9"/>
    <w:rsid w:val="00661510"/>
    <w:rsid w:val="006617A8"/>
    <w:rsid w:val="00662A92"/>
    <w:rsid w:val="00662F88"/>
    <w:rsid w:val="00664DA1"/>
    <w:rsid w:val="00666F17"/>
    <w:rsid w:val="0067003E"/>
    <w:rsid w:val="006700D7"/>
    <w:rsid w:val="00672F76"/>
    <w:rsid w:val="0067425B"/>
    <w:rsid w:val="00675735"/>
    <w:rsid w:val="006764BF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532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A6F"/>
    <w:rsid w:val="006A0B16"/>
    <w:rsid w:val="006A12FE"/>
    <w:rsid w:val="006A1AEF"/>
    <w:rsid w:val="006A3C56"/>
    <w:rsid w:val="006A4E4E"/>
    <w:rsid w:val="006A5AAA"/>
    <w:rsid w:val="006A5ADA"/>
    <w:rsid w:val="006A7275"/>
    <w:rsid w:val="006B0417"/>
    <w:rsid w:val="006B0DCE"/>
    <w:rsid w:val="006B1B46"/>
    <w:rsid w:val="006B222D"/>
    <w:rsid w:val="006B2F7D"/>
    <w:rsid w:val="006B340A"/>
    <w:rsid w:val="006B4B09"/>
    <w:rsid w:val="006B503D"/>
    <w:rsid w:val="006B5D5F"/>
    <w:rsid w:val="006B726D"/>
    <w:rsid w:val="006B7A79"/>
    <w:rsid w:val="006C07B5"/>
    <w:rsid w:val="006C0843"/>
    <w:rsid w:val="006C0B97"/>
    <w:rsid w:val="006C12B6"/>
    <w:rsid w:val="006C2016"/>
    <w:rsid w:val="006C232B"/>
    <w:rsid w:val="006C2367"/>
    <w:rsid w:val="006C3ADE"/>
    <w:rsid w:val="006C6BD1"/>
    <w:rsid w:val="006C71AA"/>
    <w:rsid w:val="006C755F"/>
    <w:rsid w:val="006C7F28"/>
    <w:rsid w:val="006D0850"/>
    <w:rsid w:val="006D1170"/>
    <w:rsid w:val="006D125A"/>
    <w:rsid w:val="006D2233"/>
    <w:rsid w:val="006D33BF"/>
    <w:rsid w:val="006D3FF9"/>
    <w:rsid w:val="006D70D7"/>
    <w:rsid w:val="006D746A"/>
    <w:rsid w:val="006D763D"/>
    <w:rsid w:val="006D7E85"/>
    <w:rsid w:val="006E19CF"/>
    <w:rsid w:val="006E1A1A"/>
    <w:rsid w:val="006E1C6B"/>
    <w:rsid w:val="006E2A6B"/>
    <w:rsid w:val="006E2BDE"/>
    <w:rsid w:val="006E4D6A"/>
    <w:rsid w:val="006E5453"/>
    <w:rsid w:val="006E5C8D"/>
    <w:rsid w:val="006E612D"/>
    <w:rsid w:val="006E771B"/>
    <w:rsid w:val="006F28BE"/>
    <w:rsid w:val="006F3259"/>
    <w:rsid w:val="006F4F9E"/>
    <w:rsid w:val="006F5186"/>
    <w:rsid w:val="006F51FA"/>
    <w:rsid w:val="006F533F"/>
    <w:rsid w:val="006F5E84"/>
    <w:rsid w:val="006F6014"/>
    <w:rsid w:val="006F6A44"/>
    <w:rsid w:val="006F6C00"/>
    <w:rsid w:val="00700CF3"/>
    <w:rsid w:val="00700E19"/>
    <w:rsid w:val="00701823"/>
    <w:rsid w:val="00701C45"/>
    <w:rsid w:val="00701E1E"/>
    <w:rsid w:val="0070308F"/>
    <w:rsid w:val="00703223"/>
    <w:rsid w:val="00705252"/>
    <w:rsid w:val="00705301"/>
    <w:rsid w:val="00705E5A"/>
    <w:rsid w:val="007063F7"/>
    <w:rsid w:val="00707A5D"/>
    <w:rsid w:val="00707E85"/>
    <w:rsid w:val="007118C8"/>
    <w:rsid w:val="0071195E"/>
    <w:rsid w:val="0071257F"/>
    <w:rsid w:val="0071281E"/>
    <w:rsid w:val="00713C16"/>
    <w:rsid w:val="007151C1"/>
    <w:rsid w:val="00715C53"/>
    <w:rsid w:val="00715D29"/>
    <w:rsid w:val="00717936"/>
    <w:rsid w:val="007205D5"/>
    <w:rsid w:val="0072069D"/>
    <w:rsid w:val="0072434B"/>
    <w:rsid w:val="00725A70"/>
    <w:rsid w:val="00730061"/>
    <w:rsid w:val="00730505"/>
    <w:rsid w:val="0073245D"/>
    <w:rsid w:val="00733931"/>
    <w:rsid w:val="00734F33"/>
    <w:rsid w:val="00735110"/>
    <w:rsid w:val="00735329"/>
    <w:rsid w:val="00736103"/>
    <w:rsid w:val="007365E8"/>
    <w:rsid w:val="00741B29"/>
    <w:rsid w:val="00741F03"/>
    <w:rsid w:val="0074287D"/>
    <w:rsid w:val="00743DE9"/>
    <w:rsid w:val="0074407E"/>
    <w:rsid w:val="0074435A"/>
    <w:rsid w:val="00745700"/>
    <w:rsid w:val="00747985"/>
    <w:rsid w:val="00747FF3"/>
    <w:rsid w:val="007505EB"/>
    <w:rsid w:val="00751106"/>
    <w:rsid w:val="007514F0"/>
    <w:rsid w:val="00753809"/>
    <w:rsid w:val="00753E93"/>
    <w:rsid w:val="00754815"/>
    <w:rsid w:val="00754BEF"/>
    <w:rsid w:val="00755E40"/>
    <w:rsid w:val="00756C59"/>
    <w:rsid w:val="00756E3C"/>
    <w:rsid w:val="00760F8F"/>
    <w:rsid w:val="00761C80"/>
    <w:rsid w:val="00761CE7"/>
    <w:rsid w:val="00762B78"/>
    <w:rsid w:val="00762C23"/>
    <w:rsid w:val="0076336C"/>
    <w:rsid w:val="007635A3"/>
    <w:rsid w:val="007636D7"/>
    <w:rsid w:val="007639B7"/>
    <w:rsid w:val="007648DA"/>
    <w:rsid w:val="00764FCC"/>
    <w:rsid w:val="00765DA4"/>
    <w:rsid w:val="007678DA"/>
    <w:rsid w:val="0077180C"/>
    <w:rsid w:val="00771A11"/>
    <w:rsid w:val="00772A1C"/>
    <w:rsid w:val="00772C36"/>
    <w:rsid w:val="00774AEB"/>
    <w:rsid w:val="0077546D"/>
    <w:rsid w:val="00775C62"/>
    <w:rsid w:val="00775D92"/>
    <w:rsid w:val="00775DAC"/>
    <w:rsid w:val="00776036"/>
    <w:rsid w:val="007777CB"/>
    <w:rsid w:val="00777B77"/>
    <w:rsid w:val="0078090A"/>
    <w:rsid w:val="00781752"/>
    <w:rsid w:val="00781815"/>
    <w:rsid w:val="0078746D"/>
    <w:rsid w:val="00787A17"/>
    <w:rsid w:val="00787ACC"/>
    <w:rsid w:val="0079002F"/>
    <w:rsid w:val="007909C0"/>
    <w:rsid w:val="007909CC"/>
    <w:rsid w:val="00790E3F"/>
    <w:rsid w:val="007917B9"/>
    <w:rsid w:val="0079265C"/>
    <w:rsid w:val="00793570"/>
    <w:rsid w:val="00794D96"/>
    <w:rsid w:val="00795822"/>
    <w:rsid w:val="00796347"/>
    <w:rsid w:val="00796A39"/>
    <w:rsid w:val="00797969"/>
    <w:rsid w:val="007A0C03"/>
    <w:rsid w:val="007A1142"/>
    <w:rsid w:val="007A12A3"/>
    <w:rsid w:val="007A17D8"/>
    <w:rsid w:val="007A2FF1"/>
    <w:rsid w:val="007A31CF"/>
    <w:rsid w:val="007A31D4"/>
    <w:rsid w:val="007A360D"/>
    <w:rsid w:val="007A372B"/>
    <w:rsid w:val="007A372F"/>
    <w:rsid w:val="007A438A"/>
    <w:rsid w:val="007A5CFC"/>
    <w:rsid w:val="007A5D19"/>
    <w:rsid w:val="007A749A"/>
    <w:rsid w:val="007B0088"/>
    <w:rsid w:val="007B09AD"/>
    <w:rsid w:val="007B11D3"/>
    <w:rsid w:val="007B1349"/>
    <w:rsid w:val="007B328E"/>
    <w:rsid w:val="007B32CA"/>
    <w:rsid w:val="007B4496"/>
    <w:rsid w:val="007B4C28"/>
    <w:rsid w:val="007B5486"/>
    <w:rsid w:val="007B5D59"/>
    <w:rsid w:val="007B5EA3"/>
    <w:rsid w:val="007B66D8"/>
    <w:rsid w:val="007B7763"/>
    <w:rsid w:val="007B77F0"/>
    <w:rsid w:val="007B78EF"/>
    <w:rsid w:val="007B7D64"/>
    <w:rsid w:val="007C042C"/>
    <w:rsid w:val="007C0487"/>
    <w:rsid w:val="007C0BE5"/>
    <w:rsid w:val="007C468D"/>
    <w:rsid w:val="007C597B"/>
    <w:rsid w:val="007C6240"/>
    <w:rsid w:val="007C63B3"/>
    <w:rsid w:val="007C6543"/>
    <w:rsid w:val="007C68DC"/>
    <w:rsid w:val="007D03E6"/>
    <w:rsid w:val="007D0E83"/>
    <w:rsid w:val="007D241B"/>
    <w:rsid w:val="007D282D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173D"/>
    <w:rsid w:val="007E22A3"/>
    <w:rsid w:val="007E316A"/>
    <w:rsid w:val="007E340D"/>
    <w:rsid w:val="007E4084"/>
    <w:rsid w:val="007E4FD2"/>
    <w:rsid w:val="007E5553"/>
    <w:rsid w:val="007E6E88"/>
    <w:rsid w:val="007F0257"/>
    <w:rsid w:val="007F0949"/>
    <w:rsid w:val="007F094C"/>
    <w:rsid w:val="007F207F"/>
    <w:rsid w:val="007F2598"/>
    <w:rsid w:val="007F2ABA"/>
    <w:rsid w:val="007F2EC1"/>
    <w:rsid w:val="007F3C16"/>
    <w:rsid w:val="007F4ADC"/>
    <w:rsid w:val="007F4F67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3B0"/>
    <w:rsid w:val="00810AD5"/>
    <w:rsid w:val="00811B26"/>
    <w:rsid w:val="00811EEC"/>
    <w:rsid w:val="00812766"/>
    <w:rsid w:val="00812B73"/>
    <w:rsid w:val="008130F0"/>
    <w:rsid w:val="008143EA"/>
    <w:rsid w:val="00814F3B"/>
    <w:rsid w:val="00815301"/>
    <w:rsid w:val="00815678"/>
    <w:rsid w:val="00815728"/>
    <w:rsid w:val="00815C05"/>
    <w:rsid w:val="00815DB7"/>
    <w:rsid w:val="008162C9"/>
    <w:rsid w:val="008172AF"/>
    <w:rsid w:val="00817E8B"/>
    <w:rsid w:val="008200B7"/>
    <w:rsid w:val="008207A4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176"/>
    <w:rsid w:val="008268A7"/>
    <w:rsid w:val="00826F73"/>
    <w:rsid w:val="00827DBA"/>
    <w:rsid w:val="00827ED2"/>
    <w:rsid w:val="00831096"/>
    <w:rsid w:val="00831449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4DA0"/>
    <w:rsid w:val="008469DA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850"/>
    <w:rsid w:val="00862F5F"/>
    <w:rsid w:val="00862FBD"/>
    <w:rsid w:val="008634F4"/>
    <w:rsid w:val="008638B9"/>
    <w:rsid w:val="00864701"/>
    <w:rsid w:val="00865C18"/>
    <w:rsid w:val="00866074"/>
    <w:rsid w:val="008715CB"/>
    <w:rsid w:val="00871FDD"/>
    <w:rsid w:val="00872290"/>
    <w:rsid w:val="00872B93"/>
    <w:rsid w:val="0087315E"/>
    <w:rsid w:val="00874280"/>
    <w:rsid w:val="0087466A"/>
    <w:rsid w:val="008746EA"/>
    <w:rsid w:val="00874798"/>
    <w:rsid w:val="00875AE0"/>
    <w:rsid w:val="00876668"/>
    <w:rsid w:val="0087676A"/>
    <w:rsid w:val="008768D2"/>
    <w:rsid w:val="00876D73"/>
    <w:rsid w:val="00876DA8"/>
    <w:rsid w:val="00877AA2"/>
    <w:rsid w:val="00881185"/>
    <w:rsid w:val="0088165E"/>
    <w:rsid w:val="00881F74"/>
    <w:rsid w:val="00882244"/>
    <w:rsid w:val="00883F39"/>
    <w:rsid w:val="0088475B"/>
    <w:rsid w:val="008848B8"/>
    <w:rsid w:val="00884BD2"/>
    <w:rsid w:val="00885C34"/>
    <w:rsid w:val="00885E6D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6482"/>
    <w:rsid w:val="00897D89"/>
    <w:rsid w:val="008A1840"/>
    <w:rsid w:val="008A2178"/>
    <w:rsid w:val="008A4558"/>
    <w:rsid w:val="008A602F"/>
    <w:rsid w:val="008A655B"/>
    <w:rsid w:val="008A6A85"/>
    <w:rsid w:val="008A74CB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B03"/>
    <w:rsid w:val="008B505D"/>
    <w:rsid w:val="008B5101"/>
    <w:rsid w:val="008B658F"/>
    <w:rsid w:val="008B6840"/>
    <w:rsid w:val="008B7096"/>
    <w:rsid w:val="008B7D3C"/>
    <w:rsid w:val="008C0A0E"/>
    <w:rsid w:val="008C0F0C"/>
    <w:rsid w:val="008C1388"/>
    <w:rsid w:val="008C187F"/>
    <w:rsid w:val="008C19BE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5EE3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56C1"/>
    <w:rsid w:val="008D56E1"/>
    <w:rsid w:val="008D596B"/>
    <w:rsid w:val="008D5A0B"/>
    <w:rsid w:val="008D68D6"/>
    <w:rsid w:val="008D7752"/>
    <w:rsid w:val="008E2173"/>
    <w:rsid w:val="008E255F"/>
    <w:rsid w:val="008E37C7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4F"/>
    <w:rsid w:val="008F124F"/>
    <w:rsid w:val="008F14EB"/>
    <w:rsid w:val="008F1E2D"/>
    <w:rsid w:val="008F269E"/>
    <w:rsid w:val="008F3313"/>
    <w:rsid w:val="008F5C28"/>
    <w:rsid w:val="008F7262"/>
    <w:rsid w:val="008F7960"/>
    <w:rsid w:val="008F7ACC"/>
    <w:rsid w:val="008F7BE6"/>
    <w:rsid w:val="00901AB5"/>
    <w:rsid w:val="00901D14"/>
    <w:rsid w:val="00901D59"/>
    <w:rsid w:val="00902DBA"/>
    <w:rsid w:val="00902EFF"/>
    <w:rsid w:val="00903294"/>
    <w:rsid w:val="009046BF"/>
    <w:rsid w:val="0090565E"/>
    <w:rsid w:val="00905A87"/>
    <w:rsid w:val="00905F02"/>
    <w:rsid w:val="00906EFA"/>
    <w:rsid w:val="00907161"/>
    <w:rsid w:val="009120B0"/>
    <w:rsid w:val="009120D6"/>
    <w:rsid w:val="009121BD"/>
    <w:rsid w:val="0091354C"/>
    <w:rsid w:val="00913EF3"/>
    <w:rsid w:val="0091451A"/>
    <w:rsid w:val="00914B0A"/>
    <w:rsid w:val="009155F8"/>
    <w:rsid w:val="009157E2"/>
    <w:rsid w:val="00916372"/>
    <w:rsid w:val="00916457"/>
    <w:rsid w:val="009168F3"/>
    <w:rsid w:val="00916D11"/>
    <w:rsid w:val="00920AD6"/>
    <w:rsid w:val="009212EB"/>
    <w:rsid w:val="0092136C"/>
    <w:rsid w:val="00921C3D"/>
    <w:rsid w:val="009254D5"/>
    <w:rsid w:val="00925809"/>
    <w:rsid w:val="009261C2"/>
    <w:rsid w:val="00926247"/>
    <w:rsid w:val="00927FF3"/>
    <w:rsid w:val="0093033A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6C6A"/>
    <w:rsid w:val="009476F2"/>
    <w:rsid w:val="009478CE"/>
    <w:rsid w:val="009479D3"/>
    <w:rsid w:val="009509F6"/>
    <w:rsid w:val="00950EDC"/>
    <w:rsid w:val="009522AD"/>
    <w:rsid w:val="00952B29"/>
    <w:rsid w:val="0095541F"/>
    <w:rsid w:val="00955E45"/>
    <w:rsid w:val="0095612F"/>
    <w:rsid w:val="009563DB"/>
    <w:rsid w:val="009576CC"/>
    <w:rsid w:val="0096026B"/>
    <w:rsid w:val="009602AE"/>
    <w:rsid w:val="009617E5"/>
    <w:rsid w:val="00962BD5"/>
    <w:rsid w:val="00965183"/>
    <w:rsid w:val="00965D7D"/>
    <w:rsid w:val="009670B2"/>
    <w:rsid w:val="00967F1F"/>
    <w:rsid w:val="00970B28"/>
    <w:rsid w:val="0097103A"/>
    <w:rsid w:val="00971136"/>
    <w:rsid w:val="00971518"/>
    <w:rsid w:val="0097169B"/>
    <w:rsid w:val="009722CC"/>
    <w:rsid w:val="009727E0"/>
    <w:rsid w:val="00973E3C"/>
    <w:rsid w:val="00974D32"/>
    <w:rsid w:val="00975268"/>
    <w:rsid w:val="009758AF"/>
    <w:rsid w:val="009763B6"/>
    <w:rsid w:val="00976F88"/>
    <w:rsid w:val="00977261"/>
    <w:rsid w:val="0097752A"/>
    <w:rsid w:val="00980268"/>
    <w:rsid w:val="00980ECB"/>
    <w:rsid w:val="00981A0D"/>
    <w:rsid w:val="00982DE4"/>
    <w:rsid w:val="009835C6"/>
    <w:rsid w:val="009849C9"/>
    <w:rsid w:val="00985A2D"/>
    <w:rsid w:val="0098722F"/>
    <w:rsid w:val="00990DB5"/>
    <w:rsid w:val="0099240C"/>
    <w:rsid w:val="00993016"/>
    <w:rsid w:val="009932AA"/>
    <w:rsid w:val="0099376C"/>
    <w:rsid w:val="009937F2"/>
    <w:rsid w:val="00993C6E"/>
    <w:rsid w:val="009943EB"/>
    <w:rsid w:val="009954D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9D2"/>
    <w:rsid w:val="009B1A9F"/>
    <w:rsid w:val="009B277F"/>
    <w:rsid w:val="009B2AEF"/>
    <w:rsid w:val="009B3C8E"/>
    <w:rsid w:val="009B5F9B"/>
    <w:rsid w:val="009B634B"/>
    <w:rsid w:val="009B69DB"/>
    <w:rsid w:val="009B6BB6"/>
    <w:rsid w:val="009B7073"/>
    <w:rsid w:val="009C0031"/>
    <w:rsid w:val="009C0E00"/>
    <w:rsid w:val="009C157E"/>
    <w:rsid w:val="009C1F62"/>
    <w:rsid w:val="009C2B2B"/>
    <w:rsid w:val="009C2B82"/>
    <w:rsid w:val="009C378E"/>
    <w:rsid w:val="009C3D54"/>
    <w:rsid w:val="009C4BAE"/>
    <w:rsid w:val="009C4FE5"/>
    <w:rsid w:val="009C6378"/>
    <w:rsid w:val="009C720D"/>
    <w:rsid w:val="009C76DC"/>
    <w:rsid w:val="009C7A38"/>
    <w:rsid w:val="009D03E3"/>
    <w:rsid w:val="009D0FC2"/>
    <w:rsid w:val="009D1570"/>
    <w:rsid w:val="009D2D85"/>
    <w:rsid w:val="009D2E3B"/>
    <w:rsid w:val="009D2FC4"/>
    <w:rsid w:val="009D2FDB"/>
    <w:rsid w:val="009D31A2"/>
    <w:rsid w:val="009D4275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391"/>
    <w:rsid w:val="009E2ABB"/>
    <w:rsid w:val="009E2C5B"/>
    <w:rsid w:val="009E2D00"/>
    <w:rsid w:val="009E386B"/>
    <w:rsid w:val="009E62CA"/>
    <w:rsid w:val="009E639F"/>
    <w:rsid w:val="009E69F2"/>
    <w:rsid w:val="009E6D85"/>
    <w:rsid w:val="009F020F"/>
    <w:rsid w:val="009F0678"/>
    <w:rsid w:val="009F1606"/>
    <w:rsid w:val="009F1824"/>
    <w:rsid w:val="009F1AE2"/>
    <w:rsid w:val="009F1E5D"/>
    <w:rsid w:val="009F2146"/>
    <w:rsid w:val="009F215E"/>
    <w:rsid w:val="009F2345"/>
    <w:rsid w:val="009F3A59"/>
    <w:rsid w:val="009F3E82"/>
    <w:rsid w:val="009F3FB9"/>
    <w:rsid w:val="009F3FE0"/>
    <w:rsid w:val="009F42B0"/>
    <w:rsid w:val="009F52AC"/>
    <w:rsid w:val="009F5634"/>
    <w:rsid w:val="009F6821"/>
    <w:rsid w:val="009F79FE"/>
    <w:rsid w:val="009F7CA2"/>
    <w:rsid w:val="00A015CF"/>
    <w:rsid w:val="00A01DCE"/>
    <w:rsid w:val="00A027D6"/>
    <w:rsid w:val="00A0322B"/>
    <w:rsid w:val="00A03E63"/>
    <w:rsid w:val="00A05670"/>
    <w:rsid w:val="00A05F71"/>
    <w:rsid w:val="00A077CF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679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2D47"/>
    <w:rsid w:val="00A33326"/>
    <w:rsid w:val="00A33460"/>
    <w:rsid w:val="00A339FA"/>
    <w:rsid w:val="00A3412C"/>
    <w:rsid w:val="00A35F82"/>
    <w:rsid w:val="00A37D4B"/>
    <w:rsid w:val="00A37DDB"/>
    <w:rsid w:val="00A40B8A"/>
    <w:rsid w:val="00A40E68"/>
    <w:rsid w:val="00A417C2"/>
    <w:rsid w:val="00A42F09"/>
    <w:rsid w:val="00A43280"/>
    <w:rsid w:val="00A4342C"/>
    <w:rsid w:val="00A43FC9"/>
    <w:rsid w:val="00A4480A"/>
    <w:rsid w:val="00A44C7F"/>
    <w:rsid w:val="00A452A0"/>
    <w:rsid w:val="00A4595A"/>
    <w:rsid w:val="00A4653F"/>
    <w:rsid w:val="00A46DE3"/>
    <w:rsid w:val="00A4728B"/>
    <w:rsid w:val="00A47DE3"/>
    <w:rsid w:val="00A47F2B"/>
    <w:rsid w:val="00A51088"/>
    <w:rsid w:val="00A51A9F"/>
    <w:rsid w:val="00A51EA7"/>
    <w:rsid w:val="00A52314"/>
    <w:rsid w:val="00A52399"/>
    <w:rsid w:val="00A528AC"/>
    <w:rsid w:val="00A52D54"/>
    <w:rsid w:val="00A533AA"/>
    <w:rsid w:val="00A54210"/>
    <w:rsid w:val="00A54A55"/>
    <w:rsid w:val="00A553D7"/>
    <w:rsid w:val="00A55FB2"/>
    <w:rsid w:val="00A56F16"/>
    <w:rsid w:val="00A576E6"/>
    <w:rsid w:val="00A576F3"/>
    <w:rsid w:val="00A5792A"/>
    <w:rsid w:val="00A57DA1"/>
    <w:rsid w:val="00A60F30"/>
    <w:rsid w:val="00A625EC"/>
    <w:rsid w:val="00A62601"/>
    <w:rsid w:val="00A62F1F"/>
    <w:rsid w:val="00A6461B"/>
    <w:rsid w:val="00A64FBD"/>
    <w:rsid w:val="00A65655"/>
    <w:rsid w:val="00A661E2"/>
    <w:rsid w:val="00A662E0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476"/>
    <w:rsid w:val="00A768A7"/>
    <w:rsid w:val="00A76D04"/>
    <w:rsid w:val="00A76DD9"/>
    <w:rsid w:val="00A76FA5"/>
    <w:rsid w:val="00A7728A"/>
    <w:rsid w:val="00A77B15"/>
    <w:rsid w:val="00A80E1E"/>
    <w:rsid w:val="00A81C8F"/>
    <w:rsid w:val="00A828BB"/>
    <w:rsid w:val="00A829B1"/>
    <w:rsid w:val="00A834C5"/>
    <w:rsid w:val="00A83AF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30"/>
    <w:rsid w:val="00A935CE"/>
    <w:rsid w:val="00A9555C"/>
    <w:rsid w:val="00A95F32"/>
    <w:rsid w:val="00A96210"/>
    <w:rsid w:val="00A964AE"/>
    <w:rsid w:val="00A968AD"/>
    <w:rsid w:val="00A97A6D"/>
    <w:rsid w:val="00AA0B3F"/>
    <w:rsid w:val="00AA0EC9"/>
    <w:rsid w:val="00AA1B0B"/>
    <w:rsid w:val="00AA3CD7"/>
    <w:rsid w:val="00AA5DAF"/>
    <w:rsid w:val="00AA643C"/>
    <w:rsid w:val="00AA7033"/>
    <w:rsid w:val="00AA714C"/>
    <w:rsid w:val="00AB1127"/>
    <w:rsid w:val="00AB18D8"/>
    <w:rsid w:val="00AB2A08"/>
    <w:rsid w:val="00AB2A7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3AA7"/>
    <w:rsid w:val="00AC452E"/>
    <w:rsid w:val="00AC48F7"/>
    <w:rsid w:val="00AC650C"/>
    <w:rsid w:val="00AC7394"/>
    <w:rsid w:val="00AC7E0B"/>
    <w:rsid w:val="00AD25EB"/>
    <w:rsid w:val="00AD2CCA"/>
    <w:rsid w:val="00AD3894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2BC"/>
    <w:rsid w:val="00AE6EB9"/>
    <w:rsid w:val="00AE72B5"/>
    <w:rsid w:val="00AE78D9"/>
    <w:rsid w:val="00AE7D05"/>
    <w:rsid w:val="00AF0109"/>
    <w:rsid w:val="00AF230A"/>
    <w:rsid w:val="00AF3376"/>
    <w:rsid w:val="00AF4A29"/>
    <w:rsid w:val="00AF65C6"/>
    <w:rsid w:val="00AF679B"/>
    <w:rsid w:val="00B000BB"/>
    <w:rsid w:val="00B0066B"/>
    <w:rsid w:val="00B01A29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1868"/>
    <w:rsid w:val="00B227DB"/>
    <w:rsid w:val="00B238AA"/>
    <w:rsid w:val="00B23ADF"/>
    <w:rsid w:val="00B24786"/>
    <w:rsid w:val="00B253B8"/>
    <w:rsid w:val="00B26B0C"/>
    <w:rsid w:val="00B27077"/>
    <w:rsid w:val="00B270B4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A18"/>
    <w:rsid w:val="00B40E74"/>
    <w:rsid w:val="00B42B17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517D"/>
    <w:rsid w:val="00B566CA"/>
    <w:rsid w:val="00B57543"/>
    <w:rsid w:val="00B57AF8"/>
    <w:rsid w:val="00B61BE6"/>
    <w:rsid w:val="00B62217"/>
    <w:rsid w:val="00B65358"/>
    <w:rsid w:val="00B653CF"/>
    <w:rsid w:val="00B66761"/>
    <w:rsid w:val="00B66EBB"/>
    <w:rsid w:val="00B67208"/>
    <w:rsid w:val="00B67222"/>
    <w:rsid w:val="00B7147C"/>
    <w:rsid w:val="00B7248C"/>
    <w:rsid w:val="00B72E95"/>
    <w:rsid w:val="00B73F14"/>
    <w:rsid w:val="00B756D8"/>
    <w:rsid w:val="00B75FF1"/>
    <w:rsid w:val="00B766B4"/>
    <w:rsid w:val="00B77288"/>
    <w:rsid w:val="00B773A2"/>
    <w:rsid w:val="00B77451"/>
    <w:rsid w:val="00B7755C"/>
    <w:rsid w:val="00B80373"/>
    <w:rsid w:val="00B81144"/>
    <w:rsid w:val="00B812B4"/>
    <w:rsid w:val="00B82240"/>
    <w:rsid w:val="00B8270E"/>
    <w:rsid w:val="00B831D0"/>
    <w:rsid w:val="00B847CE"/>
    <w:rsid w:val="00B85A83"/>
    <w:rsid w:val="00B85E6D"/>
    <w:rsid w:val="00B86441"/>
    <w:rsid w:val="00B87E49"/>
    <w:rsid w:val="00B9044B"/>
    <w:rsid w:val="00B9051C"/>
    <w:rsid w:val="00B92F34"/>
    <w:rsid w:val="00B93897"/>
    <w:rsid w:val="00B93C67"/>
    <w:rsid w:val="00B93EA4"/>
    <w:rsid w:val="00B9403D"/>
    <w:rsid w:val="00B94295"/>
    <w:rsid w:val="00B94A9D"/>
    <w:rsid w:val="00B953DE"/>
    <w:rsid w:val="00B96240"/>
    <w:rsid w:val="00B96397"/>
    <w:rsid w:val="00B964C3"/>
    <w:rsid w:val="00B97479"/>
    <w:rsid w:val="00BA0A4F"/>
    <w:rsid w:val="00BA0CB6"/>
    <w:rsid w:val="00BA1584"/>
    <w:rsid w:val="00BA22EC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4FE"/>
    <w:rsid w:val="00BC0B15"/>
    <w:rsid w:val="00BC0DA2"/>
    <w:rsid w:val="00BC195A"/>
    <w:rsid w:val="00BC3147"/>
    <w:rsid w:val="00BC40D6"/>
    <w:rsid w:val="00BC5061"/>
    <w:rsid w:val="00BC5507"/>
    <w:rsid w:val="00BC5C35"/>
    <w:rsid w:val="00BC6240"/>
    <w:rsid w:val="00BC6267"/>
    <w:rsid w:val="00BC66B2"/>
    <w:rsid w:val="00BC7989"/>
    <w:rsid w:val="00BD21C1"/>
    <w:rsid w:val="00BD22D8"/>
    <w:rsid w:val="00BD36B8"/>
    <w:rsid w:val="00BD3B3E"/>
    <w:rsid w:val="00BD3B44"/>
    <w:rsid w:val="00BD4044"/>
    <w:rsid w:val="00BD554E"/>
    <w:rsid w:val="00BD7B38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5D48"/>
    <w:rsid w:val="00BF6262"/>
    <w:rsid w:val="00BF671E"/>
    <w:rsid w:val="00BF708C"/>
    <w:rsid w:val="00BF7169"/>
    <w:rsid w:val="00BF7653"/>
    <w:rsid w:val="00BF78D4"/>
    <w:rsid w:val="00BF7BDC"/>
    <w:rsid w:val="00C00983"/>
    <w:rsid w:val="00C025E4"/>
    <w:rsid w:val="00C04F9A"/>
    <w:rsid w:val="00C05154"/>
    <w:rsid w:val="00C05275"/>
    <w:rsid w:val="00C06A79"/>
    <w:rsid w:val="00C07B74"/>
    <w:rsid w:val="00C115E3"/>
    <w:rsid w:val="00C12CBF"/>
    <w:rsid w:val="00C1342A"/>
    <w:rsid w:val="00C13F4B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226B"/>
    <w:rsid w:val="00C2261C"/>
    <w:rsid w:val="00C22AD3"/>
    <w:rsid w:val="00C2357B"/>
    <w:rsid w:val="00C2362B"/>
    <w:rsid w:val="00C23C12"/>
    <w:rsid w:val="00C23E67"/>
    <w:rsid w:val="00C24E62"/>
    <w:rsid w:val="00C263EE"/>
    <w:rsid w:val="00C26427"/>
    <w:rsid w:val="00C268F9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78A3"/>
    <w:rsid w:val="00C50BFC"/>
    <w:rsid w:val="00C50D79"/>
    <w:rsid w:val="00C51CBD"/>
    <w:rsid w:val="00C527CE"/>
    <w:rsid w:val="00C5353D"/>
    <w:rsid w:val="00C5359B"/>
    <w:rsid w:val="00C53B6A"/>
    <w:rsid w:val="00C5457C"/>
    <w:rsid w:val="00C5622C"/>
    <w:rsid w:val="00C563F9"/>
    <w:rsid w:val="00C57340"/>
    <w:rsid w:val="00C57404"/>
    <w:rsid w:val="00C6038C"/>
    <w:rsid w:val="00C60589"/>
    <w:rsid w:val="00C60B15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1B3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4B76"/>
    <w:rsid w:val="00C96A74"/>
    <w:rsid w:val="00C96CB9"/>
    <w:rsid w:val="00C97226"/>
    <w:rsid w:val="00C97425"/>
    <w:rsid w:val="00CA1FAF"/>
    <w:rsid w:val="00CA24CC"/>
    <w:rsid w:val="00CA28A9"/>
    <w:rsid w:val="00CA322A"/>
    <w:rsid w:val="00CA3F90"/>
    <w:rsid w:val="00CA4F61"/>
    <w:rsid w:val="00CA5883"/>
    <w:rsid w:val="00CA5CF1"/>
    <w:rsid w:val="00CA5E4A"/>
    <w:rsid w:val="00CA6051"/>
    <w:rsid w:val="00CA67B2"/>
    <w:rsid w:val="00CA747D"/>
    <w:rsid w:val="00CB08DB"/>
    <w:rsid w:val="00CB10BF"/>
    <w:rsid w:val="00CB14B7"/>
    <w:rsid w:val="00CB246D"/>
    <w:rsid w:val="00CB2FED"/>
    <w:rsid w:val="00CB3B0C"/>
    <w:rsid w:val="00CB4F9F"/>
    <w:rsid w:val="00CB562F"/>
    <w:rsid w:val="00CB5D65"/>
    <w:rsid w:val="00CB61CA"/>
    <w:rsid w:val="00CB6E86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8AF"/>
    <w:rsid w:val="00CD3A78"/>
    <w:rsid w:val="00CD4407"/>
    <w:rsid w:val="00CD500A"/>
    <w:rsid w:val="00CD5149"/>
    <w:rsid w:val="00CD5229"/>
    <w:rsid w:val="00CD5417"/>
    <w:rsid w:val="00CD55D2"/>
    <w:rsid w:val="00CD6152"/>
    <w:rsid w:val="00CD689E"/>
    <w:rsid w:val="00CD756B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37F7"/>
    <w:rsid w:val="00CE4114"/>
    <w:rsid w:val="00CE4C9D"/>
    <w:rsid w:val="00CE4F3D"/>
    <w:rsid w:val="00CE4FD3"/>
    <w:rsid w:val="00CE5946"/>
    <w:rsid w:val="00CE6337"/>
    <w:rsid w:val="00CE744C"/>
    <w:rsid w:val="00CF1646"/>
    <w:rsid w:val="00CF2B8D"/>
    <w:rsid w:val="00CF3D66"/>
    <w:rsid w:val="00CF480A"/>
    <w:rsid w:val="00CF4D06"/>
    <w:rsid w:val="00CF566A"/>
    <w:rsid w:val="00CF6B08"/>
    <w:rsid w:val="00CF7EE8"/>
    <w:rsid w:val="00D009E4"/>
    <w:rsid w:val="00D01E90"/>
    <w:rsid w:val="00D026A4"/>
    <w:rsid w:val="00D0288F"/>
    <w:rsid w:val="00D0290C"/>
    <w:rsid w:val="00D02E5E"/>
    <w:rsid w:val="00D03185"/>
    <w:rsid w:val="00D03988"/>
    <w:rsid w:val="00D049D8"/>
    <w:rsid w:val="00D04DB5"/>
    <w:rsid w:val="00D05523"/>
    <w:rsid w:val="00D05AD5"/>
    <w:rsid w:val="00D060EC"/>
    <w:rsid w:val="00D06730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2EA5"/>
    <w:rsid w:val="00D13142"/>
    <w:rsid w:val="00D13920"/>
    <w:rsid w:val="00D1454D"/>
    <w:rsid w:val="00D14985"/>
    <w:rsid w:val="00D14BB1"/>
    <w:rsid w:val="00D1660A"/>
    <w:rsid w:val="00D17660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679D"/>
    <w:rsid w:val="00D26D3D"/>
    <w:rsid w:val="00D3086E"/>
    <w:rsid w:val="00D30C22"/>
    <w:rsid w:val="00D30E59"/>
    <w:rsid w:val="00D30E9D"/>
    <w:rsid w:val="00D310F6"/>
    <w:rsid w:val="00D3241E"/>
    <w:rsid w:val="00D33795"/>
    <w:rsid w:val="00D34017"/>
    <w:rsid w:val="00D34B7C"/>
    <w:rsid w:val="00D359B7"/>
    <w:rsid w:val="00D371AA"/>
    <w:rsid w:val="00D371BD"/>
    <w:rsid w:val="00D3724C"/>
    <w:rsid w:val="00D4085C"/>
    <w:rsid w:val="00D41D1C"/>
    <w:rsid w:val="00D41D8B"/>
    <w:rsid w:val="00D42559"/>
    <w:rsid w:val="00D42E25"/>
    <w:rsid w:val="00D444DC"/>
    <w:rsid w:val="00D44920"/>
    <w:rsid w:val="00D44FA6"/>
    <w:rsid w:val="00D46F4D"/>
    <w:rsid w:val="00D47615"/>
    <w:rsid w:val="00D47686"/>
    <w:rsid w:val="00D47FE1"/>
    <w:rsid w:val="00D5080D"/>
    <w:rsid w:val="00D50A9A"/>
    <w:rsid w:val="00D50B5C"/>
    <w:rsid w:val="00D514D3"/>
    <w:rsid w:val="00D5201E"/>
    <w:rsid w:val="00D5317E"/>
    <w:rsid w:val="00D53A3E"/>
    <w:rsid w:val="00D5407C"/>
    <w:rsid w:val="00D541D8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3B5"/>
    <w:rsid w:val="00D646DD"/>
    <w:rsid w:val="00D64D93"/>
    <w:rsid w:val="00D64EBD"/>
    <w:rsid w:val="00D65F35"/>
    <w:rsid w:val="00D66E38"/>
    <w:rsid w:val="00D679DF"/>
    <w:rsid w:val="00D706D1"/>
    <w:rsid w:val="00D70C2C"/>
    <w:rsid w:val="00D710E4"/>
    <w:rsid w:val="00D724A9"/>
    <w:rsid w:val="00D72DE7"/>
    <w:rsid w:val="00D75026"/>
    <w:rsid w:val="00D77A53"/>
    <w:rsid w:val="00D800FE"/>
    <w:rsid w:val="00D8143F"/>
    <w:rsid w:val="00D818D7"/>
    <w:rsid w:val="00D819EC"/>
    <w:rsid w:val="00D83706"/>
    <w:rsid w:val="00D83C94"/>
    <w:rsid w:val="00D83F41"/>
    <w:rsid w:val="00D84E22"/>
    <w:rsid w:val="00D863B2"/>
    <w:rsid w:val="00D865C3"/>
    <w:rsid w:val="00D86790"/>
    <w:rsid w:val="00D87A15"/>
    <w:rsid w:val="00D87A52"/>
    <w:rsid w:val="00D90B5E"/>
    <w:rsid w:val="00D90C26"/>
    <w:rsid w:val="00D924EB"/>
    <w:rsid w:val="00D9386A"/>
    <w:rsid w:val="00D962E6"/>
    <w:rsid w:val="00D972B6"/>
    <w:rsid w:val="00DA044E"/>
    <w:rsid w:val="00DA1568"/>
    <w:rsid w:val="00DA1D11"/>
    <w:rsid w:val="00DA31A0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4FBC"/>
    <w:rsid w:val="00DB5C93"/>
    <w:rsid w:val="00DB5ED8"/>
    <w:rsid w:val="00DB6215"/>
    <w:rsid w:val="00DB6D25"/>
    <w:rsid w:val="00DB6E5B"/>
    <w:rsid w:val="00DC0240"/>
    <w:rsid w:val="00DC0CEB"/>
    <w:rsid w:val="00DC2197"/>
    <w:rsid w:val="00DC27EF"/>
    <w:rsid w:val="00DC3B0B"/>
    <w:rsid w:val="00DC5269"/>
    <w:rsid w:val="00DC5EA1"/>
    <w:rsid w:val="00DC61EF"/>
    <w:rsid w:val="00DC6DC1"/>
    <w:rsid w:val="00DC6F05"/>
    <w:rsid w:val="00DD0E39"/>
    <w:rsid w:val="00DD2986"/>
    <w:rsid w:val="00DD3058"/>
    <w:rsid w:val="00DD3952"/>
    <w:rsid w:val="00DD3C91"/>
    <w:rsid w:val="00DD441C"/>
    <w:rsid w:val="00DD477A"/>
    <w:rsid w:val="00DD51F3"/>
    <w:rsid w:val="00DD6313"/>
    <w:rsid w:val="00DE0167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06D"/>
    <w:rsid w:val="00E03553"/>
    <w:rsid w:val="00E04847"/>
    <w:rsid w:val="00E04864"/>
    <w:rsid w:val="00E06B71"/>
    <w:rsid w:val="00E070C0"/>
    <w:rsid w:val="00E071C1"/>
    <w:rsid w:val="00E1073C"/>
    <w:rsid w:val="00E10834"/>
    <w:rsid w:val="00E11EBF"/>
    <w:rsid w:val="00E121B1"/>
    <w:rsid w:val="00E14679"/>
    <w:rsid w:val="00E14D4A"/>
    <w:rsid w:val="00E15887"/>
    <w:rsid w:val="00E16C14"/>
    <w:rsid w:val="00E1772C"/>
    <w:rsid w:val="00E20D2E"/>
    <w:rsid w:val="00E2107A"/>
    <w:rsid w:val="00E220D2"/>
    <w:rsid w:val="00E2243C"/>
    <w:rsid w:val="00E22E8F"/>
    <w:rsid w:val="00E245D8"/>
    <w:rsid w:val="00E24FB1"/>
    <w:rsid w:val="00E255E4"/>
    <w:rsid w:val="00E25C3C"/>
    <w:rsid w:val="00E263FE"/>
    <w:rsid w:val="00E27374"/>
    <w:rsid w:val="00E30EC0"/>
    <w:rsid w:val="00E31149"/>
    <w:rsid w:val="00E31D23"/>
    <w:rsid w:val="00E32589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400A0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64CC"/>
    <w:rsid w:val="00E47B4B"/>
    <w:rsid w:val="00E507C8"/>
    <w:rsid w:val="00E50A4E"/>
    <w:rsid w:val="00E51E0A"/>
    <w:rsid w:val="00E523E0"/>
    <w:rsid w:val="00E54EF3"/>
    <w:rsid w:val="00E55343"/>
    <w:rsid w:val="00E5621D"/>
    <w:rsid w:val="00E5700C"/>
    <w:rsid w:val="00E571F1"/>
    <w:rsid w:val="00E608D9"/>
    <w:rsid w:val="00E61EBF"/>
    <w:rsid w:val="00E62C35"/>
    <w:rsid w:val="00E636EA"/>
    <w:rsid w:val="00E63ED7"/>
    <w:rsid w:val="00E6516B"/>
    <w:rsid w:val="00E66934"/>
    <w:rsid w:val="00E7187F"/>
    <w:rsid w:val="00E71B3E"/>
    <w:rsid w:val="00E722FB"/>
    <w:rsid w:val="00E733D5"/>
    <w:rsid w:val="00E73B7E"/>
    <w:rsid w:val="00E73EE8"/>
    <w:rsid w:val="00E74126"/>
    <w:rsid w:val="00E74D36"/>
    <w:rsid w:val="00E74E1A"/>
    <w:rsid w:val="00E75F84"/>
    <w:rsid w:val="00E75FD0"/>
    <w:rsid w:val="00E7711E"/>
    <w:rsid w:val="00E772AE"/>
    <w:rsid w:val="00E817E4"/>
    <w:rsid w:val="00E81C81"/>
    <w:rsid w:val="00E82232"/>
    <w:rsid w:val="00E84E3D"/>
    <w:rsid w:val="00E86D2C"/>
    <w:rsid w:val="00E877DE"/>
    <w:rsid w:val="00E90631"/>
    <w:rsid w:val="00E91FA4"/>
    <w:rsid w:val="00E92009"/>
    <w:rsid w:val="00E93038"/>
    <w:rsid w:val="00E93DC2"/>
    <w:rsid w:val="00E93F69"/>
    <w:rsid w:val="00E9524D"/>
    <w:rsid w:val="00E96448"/>
    <w:rsid w:val="00EA0676"/>
    <w:rsid w:val="00EA0681"/>
    <w:rsid w:val="00EA07E7"/>
    <w:rsid w:val="00EA173E"/>
    <w:rsid w:val="00EA1A02"/>
    <w:rsid w:val="00EA224A"/>
    <w:rsid w:val="00EA23EB"/>
    <w:rsid w:val="00EA245B"/>
    <w:rsid w:val="00EA2C1A"/>
    <w:rsid w:val="00EA3206"/>
    <w:rsid w:val="00EA3570"/>
    <w:rsid w:val="00EA4972"/>
    <w:rsid w:val="00EA5AED"/>
    <w:rsid w:val="00EA5E67"/>
    <w:rsid w:val="00EA6F9A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6849"/>
    <w:rsid w:val="00EB72F6"/>
    <w:rsid w:val="00EB7E28"/>
    <w:rsid w:val="00EB7EC4"/>
    <w:rsid w:val="00EC0C4F"/>
    <w:rsid w:val="00EC1F33"/>
    <w:rsid w:val="00EC272E"/>
    <w:rsid w:val="00EC3224"/>
    <w:rsid w:val="00EC3F30"/>
    <w:rsid w:val="00EC4926"/>
    <w:rsid w:val="00EC4A6F"/>
    <w:rsid w:val="00EC5C61"/>
    <w:rsid w:val="00EC6030"/>
    <w:rsid w:val="00EC6B12"/>
    <w:rsid w:val="00EC6CA2"/>
    <w:rsid w:val="00EC7768"/>
    <w:rsid w:val="00EC7C45"/>
    <w:rsid w:val="00EC7CCE"/>
    <w:rsid w:val="00ED0B57"/>
    <w:rsid w:val="00ED1331"/>
    <w:rsid w:val="00ED2141"/>
    <w:rsid w:val="00ED389F"/>
    <w:rsid w:val="00ED3F27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875"/>
    <w:rsid w:val="00ED7CF9"/>
    <w:rsid w:val="00ED7E95"/>
    <w:rsid w:val="00EE1443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5B39"/>
    <w:rsid w:val="00EE6399"/>
    <w:rsid w:val="00EE6582"/>
    <w:rsid w:val="00EE687E"/>
    <w:rsid w:val="00EE75C3"/>
    <w:rsid w:val="00EE7631"/>
    <w:rsid w:val="00EF0072"/>
    <w:rsid w:val="00EF10AA"/>
    <w:rsid w:val="00EF1373"/>
    <w:rsid w:val="00EF5E15"/>
    <w:rsid w:val="00EF5FB0"/>
    <w:rsid w:val="00EF6116"/>
    <w:rsid w:val="00EF629F"/>
    <w:rsid w:val="00F01539"/>
    <w:rsid w:val="00F0245F"/>
    <w:rsid w:val="00F03B04"/>
    <w:rsid w:val="00F0466A"/>
    <w:rsid w:val="00F04935"/>
    <w:rsid w:val="00F063BE"/>
    <w:rsid w:val="00F06BBF"/>
    <w:rsid w:val="00F07FDF"/>
    <w:rsid w:val="00F109CA"/>
    <w:rsid w:val="00F1133C"/>
    <w:rsid w:val="00F11DD9"/>
    <w:rsid w:val="00F132AC"/>
    <w:rsid w:val="00F13487"/>
    <w:rsid w:val="00F13492"/>
    <w:rsid w:val="00F13EB8"/>
    <w:rsid w:val="00F14BF8"/>
    <w:rsid w:val="00F151DD"/>
    <w:rsid w:val="00F15422"/>
    <w:rsid w:val="00F17A7C"/>
    <w:rsid w:val="00F20D6D"/>
    <w:rsid w:val="00F232E2"/>
    <w:rsid w:val="00F23491"/>
    <w:rsid w:val="00F23793"/>
    <w:rsid w:val="00F23A0C"/>
    <w:rsid w:val="00F247CD"/>
    <w:rsid w:val="00F24EBF"/>
    <w:rsid w:val="00F26E62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0F6"/>
    <w:rsid w:val="00F401FC"/>
    <w:rsid w:val="00F40726"/>
    <w:rsid w:val="00F41048"/>
    <w:rsid w:val="00F42784"/>
    <w:rsid w:val="00F42C76"/>
    <w:rsid w:val="00F42C9E"/>
    <w:rsid w:val="00F431E7"/>
    <w:rsid w:val="00F4326F"/>
    <w:rsid w:val="00F43357"/>
    <w:rsid w:val="00F43822"/>
    <w:rsid w:val="00F43979"/>
    <w:rsid w:val="00F439F4"/>
    <w:rsid w:val="00F465AB"/>
    <w:rsid w:val="00F4666C"/>
    <w:rsid w:val="00F46FC3"/>
    <w:rsid w:val="00F50666"/>
    <w:rsid w:val="00F50827"/>
    <w:rsid w:val="00F5273E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D2A"/>
    <w:rsid w:val="00F56E30"/>
    <w:rsid w:val="00F5724C"/>
    <w:rsid w:val="00F60DA0"/>
    <w:rsid w:val="00F618BE"/>
    <w:rsid w:val="00F61E68"/>
    <w:rsid w:val="00F6332A"/>
    <w:rsid w:val="00F637F1"/>
    <w:rsid w:val="00F641F8"/>
    <w:rsid w:val="00F642B0"/>
    <w:rsid w:val="00F65DF5"/>
    <w:rsid w:val="00F67791"/>
    <w:rsid w:val="00F67E81"/>
    <w:rsid w:val="00F7039A"/>
    <w:rsid w:val="00F719A7"/>
    <w:rsid w:val="00F719D8"/>
    <w:rsid w:val="00F724C9"/>
    <w:rsid w:val="00F72BF3"/>
    <w:rsid w:val="00F73AA8"/>
    <w:rsid w:val="00F73F0C"/>
    <w:rsid w:val="00F741FA"/>
    <w:rsid w:val="00F750DC"/>
    <w:rsid w:val="00F75590"/>
    <w:rsid w:val="00F7601F"/>
    <w:rsid w:val="00F7643C"/>
    <w:rsid w:val="00F765BF"/>
    <w:rsid w:val="00F774FF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5A2D"/>
    <w:rsid w:val="00F979DB"/>
    <w:rsid w:val="00FA11A0"/>
    <w:rsid w:val="00FA1FAE"/>
    <w:rsid w:val="00FA360C"/>
    <w:rsid w:val="00FA56E3"/>
    <w:rsid w:val="00FA5C5E"/>
    <w:rsid w:val="00FA6513"/>
    <w:rsid w:val="00FA7394"/>
    <w:rsid w:val="00FB06B2"/>
    <w:rsid w:val="00FB0A15"/>
    <w:rsid w:val="00FB0A8D"/>
    <w:rsid w:val="00FB0AAB"/>
    <w:rsid w:val="00FB173B"/>
    <w:rsid w:val="00FB31EF"/>
    <w:rsid w:val="00FB4A5D"/>
    <w:rsid w:val="00FB5E7D"/>
    <w:rsid w:val="00FB6CBC"/>
    <w:rsid w:val="00FC0188"/>
    <w:rsid w:val="00FC0D67"/>
    <w:rsid w:val="00FC0FCF"/>
    <w:rsid w:val="00FC247A"/>
    <w:rsid w:val="00FC29F5"/>
    <w:rsid w:val="00FC3673"/>
    <w:rsid w:val="00FC3B19"/>
    <w:rsid w:val="00FC40C8"/>
    <w:rsid w:val="00FC5B02"/>
    <w:rsid w:val="00FC5C39"/>
    <w:rsid w:val="00FC6857"/>
    <w:rsid w:val="00FC6897"/>
    <w:rsid w:val="00FC6A87"/>
    <w:rsid w:val="00FC70BE"/>
    <w:rsid w:val="00FD0BF6"/>
    <w:rsid w:val="00FD0E36"/>
    <w:rsid w:val="00FD18D4"/>
    <w:rsid w:val="00FD32C4"/>
    <w:rsid w:val="00FD35B5"/>
    <w:rsid w:val="00FD409F"/>
    <w:rsid w:val="00FD4415"/>
    <w:rsid w:val="00FD4617"/>
    <w:rsid w:val="00FD4817"/>
    <w:rsid w:val="00FD5D72"/>
    <w:rsid w:val="00FD5FC6"/>
    <w:rsid w:val="00FD62FB"/>
    <w:rsid w:val="00FD68AD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FE1"/>
    <w:rsid w:val="00FE4FF0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E3B"/>
    <w:rsid w:val="00FF20C1"/>
    <w:rsid w:val="00FF277B"/>
    <w:rsid w:val="00FF3246"/>
    <w:rsid w:val="00FF4780"/>
    <w:rsid w:val="00FF511C"/>
    <w:rsid w:val="00FF5D6B"/>
    <w:rsid w:val="00FF640A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3708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Paul Marinier</cp:lastModifiedBy>
  <cp:revision>2701</cp:revision>
  <dcterms:created xsi:type="dcterms:W3CDTF">2021-03-15T12:09:00Z</dcterms:created>
  <dcterms:modified xsi:type="dcterms:W3CDTF">2022-04-24T06:12:00Z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