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31807177" w:rsidR="00A26C9B" w:rsidRPr="00C7668D"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7668D">
        <w:rPr>
          <w:rFonts w:cs="Arial"/>
          <w:noProof w:val="0"/>
          <w:sz w:val="28"/>
          <w:szCs w:val="28"/>
          <w:lang w:val="en-US"/>
        </w:rPr>
        <w:t>3GPP TSG RAN WG</w:t>
      </w:r>
      <w:r w:rsidR="00763C30" w:rsidRPr="00C7668D">
        <w:rPr>
          <w:rFonts w:cs="Arial"/>
          <w:noProof w:val="0"/>
          <w:sz w:val="28"/>
          <w:szCs w:val="28"/>
          <w:lang w:val="en-US"/>
        </w:rPr>
        <w:t>1</w:t>
      </w:r>
      <w:r w:rsidR="00B47489" w:rsidRPr="00C7668D">
        <w:rPr>
          <w:rFonts w:cs="Arial" w:hint="eastAsia"/>
          <w:noProof w:val="0"/>
          <w:sz w:val="28"/>
          <w:szCs w:val="28"/>
          <w:lang w:val="en-US"/>
        </w:rPr>
        <w:t xml:space="preserve"> </w:t>
      </w:r>
      <w:r w:rsidR="00CB74B0" w:rsidRPr="00C7668D">
        <w:rPr>
          <w:rFonts w:cs="Arial"/>
          <w:noProof w:val="0"/>
          <w:sz w:val="28"/>
          <w:szCs w:val="28"/>
          <w:lang w:val="en-US"/>
        </w:rPr>
        <w:t>#</w:t>
      </w:r>
      <w:r w:rsidR="00F77258" w:rsidRPr="00C7668D">
        <w:rPr>
          <w:rFonts w:cs="Arial"/>
          <w:noProof w:val="0"/>
          <w:sz w:val="28"/>
          <w:szCs w:val="28"/>
          <w:lang w:val="en-US"/>
        </w:rPr>
        <w:t>10</w:t>
      </w:r>
      <w:r w:rsidR="001F5EC0" w:rsidRPr="00C7668D">
        <w:rPr>
          <w:rFonts w:cs="Arial"/>
          <w:noProof w:val="0"/>
          <w:sz w:val="28"/>
          <w:szCs w:val="28"/>
          <w:lang w:val="en-US"/>
        </w:rPr>
        <w:t>9</w:t>
      </w:r>
      <w:r w:rsidR="00CF286A" w:rsidRPr="00C7668D">
        <w:rPr>
          <w:rFonts w:cs="Arial" w:hint="eastAsia"/>
          <w:noProof w:val="0"/>
          <w:sz w:val="28"/>
          <w:szCs w:val="28"/>
          <w:lang w:val="en-US"/>
        </w:rPr>
        <w:t>-</w:t>
      </w:r>
      <w:r w:rsidR="00CF286A" w:rsidRPr="00C7668D">
        <w:rPr>
          <w:rFonts w:cs="Arial"/>
          <w:noProof w:val="0"/>
          <w:sz w:val="28"/>
          <w:szCs w:val="28"/>
          <w:lang w:val="en-US"/>
        </w:rPr>
        <w:t>e</w:t>
      </w:r>
      <w:r w:rsidRPr="00C7668D">
        <w:rPr>
          <w:rFonts w:cs="Arial"/>
          <w:noProof w:val="0"/>
          <w:sz w:val="28"/>
          <w:szCs w:val="28"/>
          <w:lang w:val="en-US"/>
        </w:rPr>
        <w:tab/>
      </w:r>
      <w:r w:rsidR="00AE0452" w:rsidRPr="00C7668D">
        <w:rPr>
          <w:rFonts w:cs="Arial"/>
          <w:noProof w:val="0"/>
          <w:sz w:val="28"/>
          <w:szCs w:val="28"/>
          <w:lang w:val="en-US"/>
        </w:rPr>
        <w:t>R1-</w:t>
      </w:r>
      <w:r w:rsidR="00B95C7F" w:rsidRPr="00B95C7F">
        <w:rPr>
          <w:rFonts w:cs="Arial"/>
          <w:noProof w:val="0"/>
          <w:sz w:val="28"/>
          <w:szCs w:val="28"/>
          <w:lang w:val="en-US"/>
        </w:rPr>
        <w:t>2204054</w:t>
      </w:r>
    </w:p>
    <w:p w14:paraId="7A7325BA" w14:textId="1FEF44B5" w:rsidR="00A26C9B" w:rsidRPr="004778E9" w:rsidRDefault="001C0838" w:rsidP="00A26C9B">
      <w:pPr>
        <w:pStyle w:val="Header"/>
        <w:rPr>
          <w:rFonts w:asciiTheme="majorHAnsi" w:hAnsiTheme="majorHAnsi" w:cstheme="majorHAnsi"/>
          <w:bCs/>
          <w:sz w:val="28"/>
          <w:lang w:val="en-US"/>
        </w:rPr>
      </w:pPr>
      <w:r w:rsidRPr="004778E9">
        <w:rPr>
          <w:rFonts w:asciiTheme="majorHAnsi" w:eastAsia="SimSun" w:hAnsiTheme="majorHAnsi" w:cstheme="majorHAnsi"/>
          <w:sz w:val="28"/>
          <w:szCs w:val="28"/>
          <w:lang w:val="en-US" w:eastAsia="zh-CN"/>
        </w:rPr>
        <w:t xml:space="preserve">e-Meeting, </w:t>
      </w:r>
      <w:r w:rsidR="001F5EC0" w:rsidRPr="004778E9">
        <w:rPr>
          <w:rFonts w:asciiTheme="majorHAnsi" w:eastAsia="SimSun" w:hAnsiTheme="majorHAnsi" w:cstheme="majorHAnsi"/>
          <w:sz w:val="28"/>
          <w:szCs w:val="28"/>
          <w:lang w:val="en-US" w:eastAsia="zh-CN"/>
        </w:rPr>
        <w:t>May</w:t>
      </w:r>
      <w:r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9</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xml:space="preserve"> – </w:t>
      </w:r>
      <w:r w:rsidR="00096976" w:rsidRPr="004778E9">
        <w:rPr>
          <w:rFonts w:asciiTheme="majorHAnsi" w:eastAsia="SimSun" w:hAnsiTheme="majorHAnsi" w:cstheme="majorHAnsi"/>
          <w:sz w:val="28"/>
          <w:szCs w:val="28"/>
          <w:lang w:val="en-US" w:eastAsia="zh-CN"/>
        </w:rPr>
        <w:t>Ma</w:t>
      </w:r>
      <w:r w:rsidR="001F5EC0" w:rsidRPr="004778E9">
        <w:rPr>
          <w:rFonts w:asciiTheme="majorHAnsi" w:eastAsia="SimSun" w:hAnsiTheme="majorHAnsi" w:cstheme="majorHAnsi"/>
          <w:sz w:val="28"/>
          <w:szCs w:val="28"/>
          <w:lang w:val="en-US" w:eastAsia="zh-CN"/>
        </w:rPr>
        <w:t>y</w:t>
      </w:r>
      <w:r w:rsidR="00096976" w:rsidRPr="004778E9">
        <w:rPr>
          <w:rFonts w:asciiTheme="majorHAnsi" w:eastAsia="SimSun" w:hAnsiTheme="majorHAnsi" w:cstheme="majorHAnsi"/>
          <w:sz w:val="28"/>
          <w:szCs w:val="28"/>
          <w:lang w:val="en-US" w:eastAsia="zh-CN"/>
        </w:rPr>
        <w:t xml:space="preserve"> </w:t>
      </w:r>
      <w:r w:rsidR="001F5EC0" w:rsidRPr="004778E9">
        <w:rPr>
          <w:rFonts w:asciiTheme="majorHAnsi" w:eastAsia="SimSun" w:hAnsiTheme="majorHAnsi" w:cstheme="majorHAnsi"/>
          <w:sz w:val="28"/>
          <w:szCs w:val="28"/>
          <w:lang w:val="en-US" w:eastAsia="zh-CN"/>
        </w:rPr>
        <w:t>20</w:t>
      </w:r>
      <w:r w:rsidRPr="004778E9">
        <w:rPr>
          <w:rFonts w:asciiTheme="majorHAnsi" w:eastAsia="SimSun" w:hAnsiTheme="majorHAnsi" w:cstheme="majorHAnsi"/>
          <w:sz w:val="28"/>
          <w:szCs w:val="28"/>
          <w:vertAlign w:val="superscript"/>
          <w:lang w:val="en-US" w:eastAsia="zh-CN"/>
        </w:rPr>
        <w:t>th</w:t>
      </w:r>
      <w:r w:rsidRPr="004778E9">
        <w:rPr>
          <w:rFonts w:asciiTheme="majorHAnsi" w:eastAsia="SimSun" w:hAnsiTheme="majorHAnsi" w:cstheme="majorHAnsi"/>
          <w:sz w:val="28"/>
          <w:szCs w:val="28"/>
          <w:lang w:val="en-US" w:eastAsia="zh-CN"/>
        </w:rPr>
        <w:t>, 202</w:t>
      </w:r>
      <w:r w:rsidR="005F5C99" w:rsidRPr="004778E9">
        <w:rPr>
          <w:rFonts w:asciiTheme="majorHAnsi" w:eastAsia="SimSun" w:hAnsiTheme="majorHAnsi" w:cstheme="majorHAnsi"/>
          <w:sz w:val="28"/>
          <w:szCs w:val="28"/>
          <w:lang w:val="en-US" w:eastAsia="zh-CN"/>
        </w:rPr>
        <w:t>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33F53181"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365F0F" w:rsidRPr="00365F0F">
        <w:rPr>
          <w:rFonts w:ascii="Arial" w:hAnsi="Arial" w:cs="Arial"/>
          <w:b/>
          <w:sz w:val="28"/>
          <w:szCs w:val="28"/>
          <w:lang w:val="en-US"/>
        </w:rPr>
        <w:t>Subband non-overlapping full duplex</w:t>
      </w:r>
    </w:p>
    <w:p w14:paraId="26DC8AEB" w14:textId="43418EE7"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365F0F">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57E9872A" w14:textId="2C16BE9A" w:rsidR="006E56EF" w:rsidRDefault="006E56EF" w:rsidP="006E56EF">
      <w:pPr>
        <w:pStyle w:val="Style1"/>
        <w:snapToGrid w:val="0"/>
        <w:spacing w:after="0" w:afterAutospacing="0" w:line="240" w:lineRule="auto"/>
        <w:ind w:firstLine="0"/>
        <w:contextualSpacing w:val="0"/>
        <w:rPr>
          <w:rFonts w:eastAsia="MS Gothic"/>
          <w:sz w:val="24"/>
          <w:lang w:val="en-GB" w:eastAsia="ja-JP"/>
        </w:rPr>
      </w:pPr>
      <w:r>
        <w:rPr>
          <w:rFonts w:eastAsia="MS Gothic"/>
          <w:sz w:val="24"/>
          <w:lang w:val="en-GB" w:eastAsia="ja-JP"/>
        </w:rPr>
        <w:t xml:space="preserve">We present our view on </w:t>
      </w:r>
      <w:r w:rsidR="001E0C45">
        <w:rPr>
          <w:rFonts w:eastAsia="MS Gothic"/>
          <w:sz w:val="24"/>
          <w:lang w:val="en-GB" w:eastAsia="ja-JP"/>
        </w:rPr>
        <w:t>subband non-overlapping full duplex</w:t>
      </w:r>
      <w:r>
        <w:rPr>
          <w:rFonts w:eastAsia="MS Gothic"/>
          <w:sz w:val="24"/>
          <w:lang w:val="en-GB" w:eastAsia="ja-JP"/>
        </w:rPr>
        <w:t xml:space="preserve"> based on the following assumptions in SID [1].</w:t>
      </w:r>
    </w:p>
    <w:p w14:paraId="70AB7F33" w14:textId="77777777" w:rsidR="006E56EF" w:rsidRDefault="006E56EF" w:rsidP="006E56EF">
      <w:pPr>
        <w:pStyle w:val="Style1"/>
        <w:numPr>
          <w:ilvl w:val="0"/>
          <w:numId w:val="26"/>
        </w:numPr>
        <w:snapToGrid w:val="0"/>
        <w:spacing w:after="0" w:afterAutospacing="0" w:line="240" w:lineRule="auto"/>
        <w:contextualSpacing w:val="0"/>
        <w:rPr>
          <w:rFonts w:eastAsia="MS Gothic"/>
          <w:sz w:val="24"/>
          <w:lang w:val="en-GB" w:eastAsia="ja-JP"/>
        </w:rPr>
      </w:pPr>
      <w:r w:rsidRPr="006E56EF">
        <w:rPr>
          <w:rFonts w:eastAsia="MS Gothic"/>
          <w:sz w:val="24"/>
          <w:lang w:val="en-GB" w:eastAsia="ja-JP"/>
        </w:rPr>
        <w:t>Duplex enhancement at the gNB side</w:t>
      </w:r>
    </w:p>
    <w:p w14:paraId="54AF7698" w14:textId="77777777" w:rsidR="006E56EF" w:rsidRDefault="006E56EF" w:rsidP="006E56EF">
      <w:pPr>
        <w:pStyle w:val="Style1"/>
        <w:numPr>
          <w:ilvl w:val="0"/>
          <w:numId w:val="26"/>
        </w:numPr>
        <w:snapToGrid w:val="0"/>
        <w:spacing w:after="0" w:afterAutospacing="0" w:line="240" w:lineRule="auto"/>
        <w:contextualSpacing w:val="0"/>
        <w:rPr>
          <w:rFonts w:eastAsia="MS Gothic"/>
          <w:sz w:val="24"/>
          <w:lang w:val="en-GB" w:eastAsia="ja-JP"/>
        </w:rPr>
      </w:pPr>
      <w:r w:rsidRPr="006E56EF">
        <w:rPr>
          <w:rFonts w:eastAsia="MS Gothic"/>
          <w:sz w:val="24"/>
          <w:lang w:val="en-GB" w:eastAsia="ja-JP"/>
        </w:rPr>
        <w:t>Half duplex operation at the UE side</w:t>
      </w:r>
    </w:p>
    <w:p w14:paraId="0EC46D00" w14:textId="454035B6" w:rsidR="006E56EF" w:rsidRDefault="006E56EF" w:rsidP="006E56EF">
      <w:pPr>
        <w:pStyle w:val="Style1"/>
        <w:numPr>
          <w:ilvl w:val="0"/>
          <w:numId w:val="26"/>
        </w:numPr>
        <w:snapToGrid w:val="0"/>
        <w:spacing w:line="240" w:lineRule="auto"/>
        <w:contextualSpacing w:val="0"/>
        <w:rPr>
          <w:rFonts w:eastAsia="MS Gothic"/>
          <w:sz w:val="24"/>
          <w:lang w:val="en-GB" w:eastAsia="ja-JP"/>
        </w:rPr>
      </w:pPr>
      <w:r w:rsidRPr="006E56EF">
        <w:rPr>
          <w:rFonts w:eastAsia="MS Gothic"/>
          <w:sz w:val="24"/>
          <w:lang w:val="en-GB" w:eastAsia="ja-JP"/>
        </w:rPr>
        <w:t>No restriction on frequency ranges</w:t>
      </w:r>
    </w:p>
    <w:p w14:paraId="14A779EF" w14:textId="63CCED00" w:rsidR="00571F79" w:rsidRDefault="00571F79" w:rsidP="00A077CC">
      <w:pPr>
        <w:pStyle w:val="Heading1"/>
        <w:spacing w:after="180"/>
      </w:pPr>
      <w:r>
        <w:t>Interference issues</w:t>
      </w:r>
    </w:p>
    <w:p w14:paraId="5E25E153" w14:textId="744E4F31" w:rsidR="00A077CC" w:rsidRDefault="005A25A6" w:rsidP="00571F79">
      <w:pPr>
        <w:pStyle w:val="Heading1"/>
        <w:numPr>
          <w:ilvl w:val="1"/>
          <w:numId w:val="1"/>
        </w:numPr>
        <w:spacing w:after="180"/>
      </w:pPr>
      <w:r>
        <w:t>In</w:t>
      </w:r>
      <w:r w:rsidR="00BF385F">
        <w:t>tra-cell interference</w:t>
      </w:r>
    </w:p>
    <w:p w14:paraId="44FB06C2" w14:textId="46F052BC" w:rsidR="00F95E3C" w:rsidRDefault="001E0C45" w:rsidP="008813B7">
      <w:r>
        <w:t xml:space="preserve">Figure 1 is </w:t>
      </w:r>
      <w:r w:rsidR="00FA3ABC">
        <w:t>an</w:t>
      </w:r>
      <w:r w:rsidR="00460287">
        <w:t xml:space="preserve"> example of a </w:t>
      </w:r>
      <w:r w:rsidR="00FA3ABC">
        <w:t>serving cell</w:t>
      </w:r>
      <w:r w:rsidR="00923F3B">
        <w:t xml:space="preserve"> operation</w:t>
      </w:r>
      <w:r w:rsidR="00460287">
        <w:t xml:space="preserve"> for subband non-overlapping full duplex. </w:t>
      </w:r>
      <w:r w:rsidR="00DB498E">
        <w:t xml:space="preserve">As in Figure 1, the gNB transmits channels in the DL resource, and receives channels in </w:t>
      </w:r>
      <w:r w:rsidR="003F16B8">
        <w:t xml:space="preserve">the </w:t>
      </w:r>
      <w:r w:rsidR="00DB498E">
        <w:t>UL resource</w:t>
      </w:r>
      <w:r w:rsidR="003F16B8">
        <w:t>,</w:t>
      </w:r>
      <w:r w:rsidR="00DB498E">
        <w:t xml:space="preserve"> within a serving cell resource. </w:t>
      </w:r>
      <w:r w:rsidR="005A25A6">
        <w:t>Due to the small gap between the DL resource and the UL resource, the received channels in the UL resource suffer from strong self-interference caused by channels transmitted by the gNB itself</w:t>
      </w:r>
      <w:r w:rsidR="00E46711">
        <w:t xml:space="preserve"> (i.e., gNB self-interference)</w:t>
      </w:r>
      <w:r w:rsidR="005A25A6">
        <w:t>.</w:t>
      </w:r>
      <w:r w:rsidR="00BF385F">
        <w:t xml:space="preserve"> </w:t>
      </w:r>
    </w:p>
    <w:p w14:paraId="5A3BD88C" w14:textId="58261D0E" w:rsidR="001E0C45" w:rsidRDefault="00BF385F" w:rsidP="008813B7">
      <w:r>
        <w:t xml:space="preserve">Although </w:t>
      </w:r>
      <w:r w:rsidR="00F95E3C">
        <w:t xml:space="preserve">tolerable </w:t>
      </w:r>
      <w:r w:rsidR="00F95E3C">
        <w:rPr>
          <w:rFonts w:hint="eastAsia"/>
        </w:rPr>
        <w:t>i</w:t>
      </w:r>
      <w:r w:rsidR="00F95E3C">
        <w:t xml:space="preserve">nterference level should be studied/provided by RAN4, RAN1 can discuss candidate solutions to mitigate </w:t>
      </w:r>
      <w:r w:rsidR="00E46711">
        <w:t xml:space="preserve">gNB </w:t>
      </w:r>
      <w:r w:rsidR="00F95E3C">
        <w:t>self-interference.</w:t>
      </w:r>
    </w:p>
    <w:p w14:paraId="2B839F05" w14:textId="0D1E88E2" w:rsidR="001E0C45" w:rsidRDefault="00F95E3C" w:rsidP="008813B7">
      <w:pPr>
        <w:rPr>
          <w:b/>
          <w:bCs/>
        </w:rPr>
      </w:pPr>
      <w:r w:rsidRPr="00F95E3C">
        <w:rPr>
          <w:b/>
          <w:bCs/>
        </w:rPr>
        <w:t xml:space="preserve">Proposal 1: RAN1 further studies candidate solutions to mitigate </w:t>
      </w:r>
      <w:r w:rsidR="00E46711">
        <w:rPr>
          <w:b/>
          <w:bCs/>
        </w:rPr>
        <w:t xml:space="preserve">gNB </w:t>
      </w:r>
      <w:r w:rsidRPr="00F95E3C">
        <w:rPr>
          <w:b/>
          <w:bCs/>
        </w:rPr>
        <w:t>self-interference</w:t>
      </w:r>
      <w:r w:rsidR="00D4467E">
        <w:rPr>
          <w:b/>
          <w:bCs/>
        </w:rPr>
        <w:t xml:space="preserve"> for subband non-overlapping full duplex</w:t>
      </w:r>
      <w:r w:rsidRPr="00F95E3C">
        <w:rPr>
          <w:b/>
          <w:bCs/>
        </w:rPr>
        <w:t>.</w:t>
      </w:r>
    </w:p>
    <w:p w14:paraId="6255EB2B" w14:textId="77777777" w:rsidR="003F16B8" w:rsidRDefault="00F95E3C" w:rsidP="008813B7">
      <w:r>
        <w:t xml:space="preserve">On the other hand, from UE point of view, </w:t>
      </w:r>
      <w:r w:rsidR="00973947">
        <w:t xml:space="preserve">intra-cell </w:t>
      </w:r>
      <w:r>
        <w:t xml:space="preserve">inter-subband CLI causes an issue </w:t>
      </w:r>
      <w:r w:rsidR="0042371C">
        <w:t>for</w:t>
      </w:r>
      <w:r>
        <w:t xml:space="preserve"> receiving UE</w:t>
      </w:r>
      <w:r w:rsidR="00952560">
        <w:t>s</w:t>
      </w:r>
      <w:r>
        <w:t xml:space="preserve"> (</w:t>
      </w:r>
      <w:r w:rsidR="00973947">
        <w:t>i.e., UE-to-UE intra-cell inter-subband CLI</w:t>
      </w:r>
      <w:r>
        <w:t>)</w:t>
      </w:r>
      <w:r w:rsidR="00952560">
        <w:t>.</w:t>
      </w:r>
      <w:r w:rsidR="0042371C">
        <w:t xml:space="preserve"> This is because the UE#2’s spectrum emission outside the UL resource is received by the UE#1. </w:t>
      </w:r>
    </w:p>
    <w:p w14:paraId="5A85219B" w14:textId="62153317" w:rsidR="00B97713" w:rsidRDefault="00B97713" w:rsidP="008813B7">
      <w:r>
        <w:t xml:space="preserve">Although tolerable </w:t>
      </w:r>
      <w:r>
        <w:rPr>
          <w:rFonts w:hint="eastAsia"/>
        </w:rPr>
        <w:t>i</w:t>
      </w:r>
      <w:r>
        <w:t xml:space="preserve">nterference level should be studied/provided by RAN4, RAN1 can discuss candidate solutions to mitigate </w:t>
      </w:r>
      <w:r w:rsidR="00973947">
        <w:t>UE-to-UE intra-cell inter-subband CLI</w:t>
      </w:r>
      <w:r>
        <w:t xml:space="preserve">. </w:t>
      </w:r>
    </w:p>
    <w:p w14:paraId="2CB44FB7" w14:textId="437DB9EE" w:rsidR="00F95E3C" w:rsidRDefault="00B97713" w:rsidP="008813B7">
      <w:r w:rsidRPr="00F95E3C">
        <w:rPr>
          <w:b/>
          <w:bCs/>
        </w:rPr>
        <w:t xml:space="preserve">Proposal </w:t>
      </w:r>
      <w:r w:rsidR="00571F79">
        <w:rPr>
          <w:b/>
          <w:bCs/>
        </w:rPr>
        <w:t>2</w:t>
      </w:r>
      <w:r w:rsidRPr="00F95E3C">
        <w:rPr>
          <w:b/>
          <w:bCs/>
        </w:rPr>
        <w:t xml:space="preserve">: RAN1 further studies candidate solutions to mitigate </w:t>
      </w:r>
      <w:r w:rsidR="00973947" w:rsidRPr="00973947">
        <w:rPr>
          <w:b/>
          <w:bCs/>
        </w:rPr>
        <w:t>UE-to-UE intra-cell inter-subband CLI</w:t>
      </w:r>
      <w:r w:rsidR="00D4467E" w:rsidRPr="00D4467E">
        <w:rPr>
          <w:b/>
          <w:bCs/>
        </w:rPr>
        <w:t xml:space="preserve"> </w:t>
      </w:r>
      <w:r w:rsidR="00D4467E">
        <w:rPr>
          <w:b/>
          <w:bCs/>
        </w:rPr>
        <w:t>for subband non-overlapping full duplex</w:t>
      </w:r>
      <w:r w:rsidRPr="00F95E3C">
        <w:rPr>
          <w:b/>
          <w:bCs/>
        </w:rPr>
        <w:t>.</w:t>
      </w:r>
    </w:p>
    <w:p w14:paraId="692EA5BB" w14:textId="4DFA31B4" w:rsidR="001E0C45" w:rsidRDefault="00923F3B" w:rsidP="008813B7">
      <w:r>
        <w:object w:dxaOrig="9465" w:dyaOrig="6766" w14:anchorId="0FE13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5pt;height:339.05pt" o:ole="">
            <v:imagedata r:id="rId8" o:title=""/>
          </v:shape>
          <o:OLEObject Type="Embed" ProgID="Visio.Drawing.15" ShapeID="_x0000_i1025" DrawAspect="Content" ObjectID="_1712738936" r:id="rId9"/>
        </w:object>
      </w:r>
    </w:p>
    <w:p w14:paraId="783D9803" w14:textId="6A5BC904" w:rsidR="00FA3ABC" w:rsidRDefault="00FA3ABC" w:rsidP="00FA3ABC">
      <w:pPr>
        <w:jc w:val="center"/>
      </w:pPr>
      <w:r>
        <w:t>Figure 1: Example of a serving cell for subband non-overlapping full duplex</w:t>
      </w:r>
    </w:p>
    <w:p w14:paraId="63802008" w14:textId="78964114" w:rsidR="00917EC6" w:rsidRDefault="00917EC6" w:rsidP="00FE08EC">
      <w:bookmarkStart w:id="3" w:name="_Hlk100939643"/>
      <w:r>
        <w:t>Figure 2 is an</w:t>
      </w:r>
      <w:r w:rsidR="00FE08EC">
        <w:t>other</w:t>
      </w:r>
      <w:r>
        <w:t xml:space="preserve"> example of a serving cell operation for subband non-overlapping full duplex. As in Figure </w:t>
      </w:r>
      <w:r w:rsidR="00FE08EC">
        <w:t>2</w:t>
      </w:r>
      <w:r>
        <w:t xml:space="preserve">, </w:t>
      </w:r>
      <w:r w:rsidR="00FE08EC">
        <w:t>two TRPs are deployed with</w:t>
      </w:r>
      <w:r w:rsidR="00F05472">
        <w:t>in</w:t>
      </w:r>
      <w:r w:rsidR="00FE08EC">
        <w:t xml:space="preserve"> </w:t>
      </w:r>
      <w:r w:rsidR="00F05472">
        <w:t>the same</w:t>
      </w:r>
      <w:r w:rsidR="00FE08EC">
        <w:t xml:space="preserve"> serving cell</w:t>
      </w:r>
      <w:r w:rsidR="00F05472">
        <w:t xml:space="preserve"> resource</w:t>
      </w:r>
      <w:r w:rsidR="00FE08EC">
        <w:t xml:space="preserve">, the TRP#1 receives channels in the UL resource, and the TRP#2 transmits channels in the DL resource. </w:t>
      </w:r>
      <w:r>
        <w:t xml:space="preserve">Due to the small gap between the DL resource and the UL resource, the received channels in the UL resource suffer from strong </w:t>
      </w:r>
      <w:r w:rsidR="0024390E">
        <w:t>intra-cell inter-subband CLI</w:t>
      </w:r>
      <w:r>
        <w:t xml:space="preserve"> (i.e., </w:t>
      </w:r>
      <w:r w:rsidR="0024390E">
        <w:t>TRP-to-TRP intra-cell inter-subband CLI</w:t>
      </w:r>
      <w:r>
        <w:t>).</w:t>
      </w:r>
    </w:p>
    <w:p w14:paraId="10458252" w14:textId="556CEA82" w:rsidR="00655618" w:rsidRDefault="00655618" w:rsidP="00655618">
      <w:r>
        <w:t xml:space="preserve">Although tolerable </w:t>
      </w:r>
      <w:r>
        <w:rPr>
          <w:rFonts w:hint="eastAsia"/>
        </w:rPr>
        <w:t>i</w:t>
      </w:r>
      <w:r>
        <w:t xml:space="preserve">nterference level should be studied/provided by RAN4, RAN1 can discuss candidate solutions to mitigate </w:t>
      </w:r>
      <w:bookmarkStart w:id="4" w:name="_Hlk101169841"/>
      <w:r>
        <w:t>TRP-to-TRP intra-cell inter-subband CLI</w:t>
      </w:r>
      <w:bookmarkEnd w:id="4"/>
      <w:r>
        <w:t>.</w:t>
      </w:r>
    </w:p>
    <w:p w14:paraId="4C0FABFA" w14:textId="04D47138" w:rsidR="00655618" w:rsidRDefault="00655618" w:rsidP="00655618">
      <w:r w:rsidRPr="00F95E3C">
        <w:rPr>
          <w:b/>
          <w:bCs/>
        </w:rPr>
        <w:t xml:space="preserve">Proposal </w:t>
      </w:r>
      <w:r w:rsidR="007A4A55">
        <w:rPr>
          <w:b/>
          <w:bCs/>
        </w:rPr>
        <w:t>3</w:t>
      </w:r>
      <w:r w:rsidRPr="00F95E3C">
        <w:rPr>
          <w:b/>
          <w:bCs/>
        </w:rPr>
        <w:t xml:space="preserve">: RAN1 further studies candidate solutions to mitigate </w:t>
      </w:r>
      <w:r w:rsidR="00F05472" w:rsidRPr="00F05472">
        <w:rPr>
          <w:b/>
          <w:bCs/>
        </w:rPr>
        <w:t>TRP-to-TRP intra-cell inter-subband CLI</w:t>
      </w:r>
      <w:r w:rsidR="00F05472">
        <w:rPr>
          <w:b/>
          <w:bCs/>
        </w:rPr>
        <w:t xml:space="preserve"> for subband non-overlapping full duplex</w:t>
      </w:r>
      <w:r w:rsidRPr="00F95E3C">
        <w:rPr>
          <w:b/>
          <w:bCs/>
        </w:rPr>
        <w:t>.</w:t>
      </w:r>
    </w:p>
    <w:bookmarkEnd w:id="3"/>
    <w:p w14:paraId="6765C20A" w14:textId="4E9E2DB0" w:rsidR="00917EC6" w:rsidRDefault="00917EC6" w:rsidP="00917EC6">
      <w:r>
        <w:t xml:space="preserve">On the other hand, from UE point of view, intra-cell inter-subband CLI causes an issue for receiving UEs (i.e., UE-to-UE intra-cell inter-subband CLI). </w:t>
      </w:r>
      <w:r w:rsidR="00655618">
        <w:t>However, the situation is quite similar to what is suggested in Proposal 2.</w:t>
      </w:r>
    </w:p>
    <w:p w14:paraId="79F6330A" w14:textId="685ABEB5" w:rsidR="00FE08EC" w:rsidRDefault="00FE08EC" w:rsidP="00917EC6">
      <w:r>
        <w:object w:dxaOrig="13560" w:dyaOrig="11371" w14:anchorId="36B6645C">
          <v:shape id="_x0000_i1026" type="#_x0000_t75" style="width:498.45pt;height:416.55pt" o:ole="">
            <v:imagedata r:id="rId10" o:title=""/>
          </v:shape>
          <o:OLEObject Type="Embed" ProgID="Visio.Drawing.15" ShapeID="_x0000_i1026" DrawAspect="Content" ObjectID="_1712738937" r:id="rId11"/>
        </w:object>
      </w:r>
    </w:p>
    <w:p w14:paraId="5E3B82DB" w14:textId="3D53B646" w:rsidR="00917EC6" w:rsidRDefault="00D37FBA" w:rsidP="00D37FBA">
      <w:pPr>
        <w:jc w:val="center"/>
      </w:pPr>
      <w:r>
        <w:t>Figure 2: Example of a serving cell for subband non-overlapping full duplex</w:t>
      </w:r>
    </w:p>
    <w:p w14:paraId="695FA8CA" w14:textId="4FEC87A0" w:rsidR="00571F79" w:rsidRDefault="00571F79" w:rsidP="00571F79">
      <w:pPr>
        <w:pStyle w:val="Heading1"/>
        <w:numPr>
          <w:ilvl w:val="1"/>
          <w:numId w:val="1"/>
        </w:numPr>
        <w:spacing w:after="180"/>
      </w:pPr>
      <w:r>
        <w:t>Int</w:t>
      </w:r>
      <w:r w:rsidR="00FA3ABC">
        <w:t>er</w:t>
      </w:r>
      <w:r>
        <w:t>-cell interference</w:t>
      </w:r>
    </w:p>
    <w:p w14:paraId="2D17B060" w14:textId="04C07548" w:rsidR="001E0C45" w:rsidRDefault="00FA3ABC" w:rsidP="008813B7">
      <w:r>
        <w:t xml:space="preserve">Figure </w:t>
      </w:r>
      <w:r w:rsidR="00B762D5">
        <w:t xml:space="preserve">3 </w:t>
      </w:r>
      <w:r>
        <w:t xml:space="preserve">is </w:t>
      </w:r>
      <w:r w:rsidR="00923F3B">
        <w:t>an example of inter-cell operation for subband non-overlapping full duplex.</w:t>
      </w:r>
      <w:r w:rsidR="00C41615">
        <w:rPr>
          <w:rFonts w:hint="eastAsia"/>
        </w:rPr>
        <w:t xml:space="preserve"> </w:t>
      </w:r>
      <w:r w:rsidR="00C41615">
        <w:t xml:space="preserve">In Figure </w:t>
      </w:r>
      <w:r w:rsidR="00B762D5">
        <w:t>3</w:t>
      </w:r>
      <w:r w:rsidR="00C41615">
        <w:t xml:space="preserve">, the gNB#1 receives channels in the UL resource from the UE#1 and the gNB#2 transmits channels in the DL resource to the UE#2. Due to the small gap between the DL resource and the UL resource, </w:t>
      </w:r>
      <w:r w:rsidR="004D1882">
        <w:t xml:space="preserve">the </w:t>
      </w:r>
      <w:r w:rsidR="00C41615">
        <w:t>gNB#1 receives strong inter-cell inter-subband CLI from the gNB#2 (i.e., gNB-to-gNB inter-cell inter-subband CLI).</w:t>
      </w:r>
    </w:p>
    <w:p w14:paraId="19B82EC5" w14:textId="0443C616" w:rsidR="004D1882" w:rsidRDefault="004D1882" w:rsidP="008813B7">
      <w:r>
        <w:t>On the other hand, the UE#2 receives strong inter-cell inter-subband CLI from the UE#1 (i.e., UE-to-UE inter-cell inter-subband CLI).</w:t>
      </w:r>
    </w:p>
    <w:p w14:paraId="034BA457" w14:textId="203DF176" w:rsidR="004D1882" w:rsidRDefault="004D1882" w:rsidP="008813B7">
      <w:r>
        <w:t xml:space="preserve">Although tolerable </w:t>
      </w:r>
      <w:r>
        <w:rPr>
          <w:rFonts w:hint="eastAsia"/>
        </w:rPr>
        <w:t>i</w:t>
      </w:r>
      <w:r>
        <w:t>nterference level should be studied/provided by RAN4, RAN1 can discuss candidate solutions to mitigate gNB-to-gNB/UE-to-UE inter-cell inter-subband CLI.</w:t>
      </w:r>
    </w:p>
    <w:p w14:paraId="5F075DDF" w14:textId="66600EF7" w:rsidR="004D1882" w:rsidRPr="00172E48" w:rsidRDefault="004D1882" w:rsidP="008813B7">
      <w:pPr>
        <w:rPr>
          <w:b/>
          <w:bCs/>
        </w:rPr>
      </w:pPr>
      <w:r w:rsidRPr="00172E48">
        <w:rPr>
          <w:b/>
          <w:bCs/>
        </w:rPr>
        <w:lastRenderedPageBreak/>
        <w:t xml:space="preserve">Proposal </w:t>
      </w:r>
      <w:r w:rsidR="00523E26">
        <w:rPr>
          <w:b/>
          <w:bCs/>
        </w:rPr>
        <w:t>4</w:t>
      </w:r>
      <w:r w:rsidRPr="00172E48">
        <w:rPr>
          <w:b/>
          <w:bCs/>
        </w:rPr>
        <w:t xml:space="preserve">: </w:t>
      </w:r>
      <w:r w:rsidR="00172E48" w:rsidRPr="00172E48">
        <w:rPr>
          <w:b/>
          <w:bCs/>
        </w:rPr>
        <w:t>RAN1 further studies candidate solutions to mitigate gNB-to-gNB/UE-to-UE inter-cell inter-subband CLI</w:t>
      </w:r>
      <w:r w:rsidR="00D4467E" w:rsidRPr="00D4467E">
        <w:rPr>
          <w:b/>
          <w:bCs/>
        </w:rPr>
        <w:t xml:space="preserve"> </w:t>
      </w:r>
      <w:r w:rsidR="00D4467E">
        <w:rPr>
          <w:b/>
          <w:bCs/>
        </w:rPr>
        <w:t>for subband non-overlapping full duplex</w:t>
      </w:r>
      <w:r w:rsidR="00172E48">
        <w:rPr>
          <w:b/>
          <w:bCs/>
        </w:rPr>
        <w:t>.</w:t>
      </w:r>
    </w:p>
    <w:p w14:paraId="08A73702" w14:textId="11F60818" w:rsidR="00FA3ABC" w:rsidRDefault="00FA3ABC" w:rsidP="008813B7"/>
    <w:p w14:paraId="26A13552" w14:textId="152F93E0" w:rsidR="00FA3ABC" w:rsidRDefault="00C41615" w:rsidP="008813B7">
      <w:r>
        <w:object w:dxaOrig="8311" w:dyaOrig="9031" w14:anchorId="184E76C8">
          <v:shape id="_x0000_i1027" type="#_x0000_t75" style="width:415.4pt;height:451.4pt" o:ole="">
            <v:imagedata r:id="rId12" o:title=""/>
          </v:shape>
          <o:OLEObject Type="Embed" ProgID="Visio.Drawing.15" ShapeID="_x0000_i1027" DrawAspect="Content" ObjectID="_1712738938" r:id="rId13"/>
        </w:object>
      </w:r>
    </w:p>
    <w:p w14:paraId="0F5DA67F" w14:textId="0E2B0255" w:rsidR="00FA3ABC" w:rsidRDefault="00A7645D" w:rsidP="00A7645D">
      <w:pPr>
        <w:jc w:val="center"/>
      </w:pPr>
      <w:r>
        <w:t xml:space="preserve">Figure </w:t>
      </w:r>
      <w:r w:rsidR="00523E26">
        <w:t>3</w:t>
      </w:r>
      <w:r>
        <w:t>: Example of inter-cell operation for subband non-overlapping full duplex</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5FC31E67" w14:textId="0446A6C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B95C7F">
        <w:rPr>
          <w:lang w:val="en-US"/>
        </w:rPr>
        <w:t>s</w:t>
      </w:r>
      <w:r w:rsidRPr="002F3874">
        <w:rPr>
          <w:lang w:val="en-US"/>
        </w:rPr>
        <w:t>:</w:t>
      </w:r>
    </w:p>
    <w:p w14:paraId="2578B307" w14:textId="727FDAB2" w:rsidR="00B95C7F" w:rsidRDefault="00B95C7F" w:rsidP="00F008B2">
      <w:pPr>
        <w:spacing w:line="276" w:lineRule="auto"/>
        <w:rPr>
          <w:b/>
          <w:bCs/>
        </w:rPr>
      </w:pPr>
      <w:r w:rsidRPr="00F95E3C">
        <w:rPr>
          <w:b/>
          <w:bCs/>
        </w:rPr>
        <w:t xml:space="preserve">Proposal 1: RAN1 further studies candidate solutions to mitigate </w:t>
      </w:r>
      <w:r>
        <w:rPr>
          <w:b/>
          <w:bCs/>
        </w:rPr>
        <w:t xml:space="preserve">gNB </w:t>
      </w:r>
      <w:r w:rsidRPr="00F95E3C">
        <w:rPr>
          <w:b/>
          <w:bCs/>
        </w:rPr>
        <w:t>self-interference</w:t>
      </w:r>
      <w:r>
        <w:rPr>
          <w:b/>
          <w:bCs/>
        </w:rPr>
        <w:t xml:space="preserve"> for subband non-overlapping full duplex</w:t>
      </w:r>
      <w:r w:rsidRPr="00F95E3C">
        <w:rPr>
          <w:b/>
          <w:bCs/>
        </w:rPr>
        <w:t>.</w:t>
      </w:r>
    </w:p>
    <w:p w14:paraId="25D3DC66" w14:textId="77777777" w:rsidR="00B95C7F" w:rsidRDefault="00B95C7F" w:rsidP="00B95C7F">
      <w:r w:rsidRPr="00F95E3C">
        <w:rPr>
          <w:b/>
          <w:bCs/>
        </w:rPr>
        <w:lastRenderedPageBreak/>
        <w:t xml:space="preserve">Proposal </w:t>
      </w:r>
      <w:r>
        <w:rPr>
          <w:b/>
          <w:bCs/>
        </w:rPr>
        <w:t>2</w:t>
      </w:r>
      <w:r w:rsidRPr="00F95E3C">
        <w:rPr>
          <w:b/>
          <w:bCs/>
        </w:rPr>
        <w:t xml:space="preserve">: RAN1 further studies candidate solutions to mitigate </w:t>
      </w:r>
      <w:r w:rsidRPr="00973947">
        <w:rPr>
          <w:b/>
          <w:bCs/>
        </w:rPr>
        <w:t>UE-to-UE intra-cell inter-subband CLI</w:t>
      </w:r>
      <w:r w:rsidRPr="00D4467E">
        <w:rPr>
          <w:b/>
          <w:bCs/>
        </w:rPr>
        <w:t xml:space="preserve"> </w:t>
      </w:r>
      <w:r>
        <w:rPr>
          <w:b/>
          <w:bCs/>
        </w:rPr>
        <w:t>for subband non-overlapping full duplex</w:t>
      </w:r>
      <w:r w:rsidRPr="00F95E3C">
        <w:rPr>
          <w:b/>
          <w:bCs/>
        </w:rPr>
        <w:t>.</w:t>
      </w:r>
    </w:p>
    <w:p w14:paraId="61EF5C18" w14:textId="77777777" w:rsidR="00B95C7F" w:rsidRDefault="00B95C7F" w:rsidP="00B95C7F">
      <w:r w:rsidRPr="00F95E3C">
        <w:rPr>
          <w:b/>
          <w:bCs/>
        </w:rPr>
        <w:t xml:space="preserve">Proposal </w:t>
      </w:r>
      <w:r>
        <w:rPr>
          <w:b/>
          <w:bCs/>
        </w:rPr>
        <w:t>3</w:t>
      </w:r>
      <w:r w:rsidRPr="00F95E3C">
        <w:rPr>
          <w:b/>
          <w:bCs/>
        </w:rPr>
        <w:t xml:space="preserve">: RAN1 further studies candidate solutions to mitigate </w:t>
      </w:r>
      <w:r w:rsidRPr="00F05472">
        <w:rPr>
          <w:b/>
          <w:bCs/>
        </w:rPr>
        <w:t>TRP-to-TRP intra-cell inter-subband CLI</w:t>
      </w:r>
      <w:r>
        <w:rPr>
          <w:b/>
          <w:bCs/>
        </w:rPr>
        <w:t xml:space="preserve"> for subband non-overlapping full duplex</w:t>
      </w:r>
      <w:r w:rsidRPr="00F95E3C">
        <w:rPr>
          <w:b/>
          <w:bCs/>
        </w:rPr>
        <w:t>.</w:t>
      </w:r>
    </w:p>
    <w:p w14:paraId="2DF5E383" w14:textId="26C82569" w:rsidR="00B95C7F" w:rsidRPr="00C146A3" w:rsidRDefault="00B95C7F" w:rsidP="00C146A3">
      <w:pPr>
        <w:rPr>
          <w:b/>
          <w:bCs/>
        </w:rPr>
      </w:pPr>
      <w:r w:rsidRPr="00172E48">
        <w:rPr>
          <w:b/>
          <w:bCs/>
        </w:rPr>
        <w:t xml:space="preserve">Proposal </w:t>
      </w:r>
      <w:r>
        <w:rPr>
          <w:b/>
          <w:bCs/>
        </w:rPr>
        <w:t>4</w:t>
      </w:r>
      <w:r w:rsidRPr="00172E48">
        <w:rPr>
          <w:b/>
          <w:bCs/>
        </w:rPr>
        <w:t>: RAN1 further studies candidate solutions to mitigate gNB-to-gNB/UE-to-UE inter-cell inter-subband CLI</w:t>
      </w:r>
      <w:r w:rsidRPr="00D4467E">
        <w:rPr>
          <w:b/>
          <w:bCs/>
        </w:rPr>
        <w:t xml:space="preserve"> </w:t>
      </w:r>
      <w:r>
        <w:rPr>
          <w:b/>
          <w:bCs/>
        </w:rPr>
        <w:t>for subband non-overlapping full duplex.</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399EC745" w14:textId="76C45F68" w:rsidR="00596839" w:rsidRPr="00207144"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596839">
        <w:rPr>
          <w:szCs w:val="24"/>
          <w:lang w:eastAsia="ja-JP"/>
        </w:rPr>
        <w:t>RP-213591, 3GPP TSG RAN#94-e, December 2021</w:t>
      </w:r>
      <w:r w:rsidR="00032D1C" w:rsidRPr="00032D1C">
        <w:rPr>
          <w:szCs w:val="24"/>
          <w:lang w:eastAsia="ja-JP"/>
        </w:rPr>
        <w:t>.</w:t>
      </w:r>
    </w:p>
    <w:sectPr w:rsidR="00596839" w:rsidRPr="00207144"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CE7B" w14:textId="77777777" w:rsidR="009209FC" w:rsidRDefault="009209FC">
      <w:r>
        <w:separator/>
      </w:r>
    </w:p>
  </w:endnote>
  <w:endnote w:type="continuationSeparator" w:id="0">
    <w:p w14:paraId="2E6923B1" w14:textId="77777777" w:rsidR="009209FC" w:rsidRDefault="009209FC">
      <w:r>
        <w:continuationSeparator/>
      </w:r>
    </w:p>
  </w:endnote>
  <w:endnote w:type="continuationNotice" w:id="1">
    <w:p w14:paraId="7C48BA27" w14:textId="77777777" w:rsidR="009209FC" w:rsidRDefault="00920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112B" w14:textId="77777777" w:rsidR="009209FC" w:rsidRDefault="009209FC">
      <w:r>
        <w:separator/>
      </w:r>
    </w:p>
  </w:footnote>
  <w:footnote w:type="continuationSeparator" w:id="0">
    <w:p w14:paraId="421E95E5" w14:textId="77777777" w:rsidR="009209FC" w:rsidRDefault="009209FC">
      <w:r>
        <w:continuationSeparator/>
      </w:r>
    </w:p>
  </w:footnote>
  <w:footnote w:type="continuationNotice" w:id="1">
    <w:p w14:paraId="26BBA7E1" w14:textId="77777777" w:rsidR="009209FC" w:rsidRDefault="009209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A31014"/>
    <w:multiLevelType w:val="hybridMultilevel"/>
    <w:tmpl w:val="FD984AD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912CB1"/>
    <w:multiLevelType w:val="hybridMultilevel"/>
    <w:tmpl w:val="F66406AE"/>
    <w:lvl w:ilvl="0" w:tplc="955EA074">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DD15C17"/>
    <w:multiLevelType w:val="hybridMultilevel"/>
    <w:tmpl w:val="3878D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086F87"/>
    <w:multiLevelType w:val="hybridMultilevel"/>
    <w:tmpl w:val="C2DAC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F61F4"/>
    <w:multiLevelType w:val="hybridMultilevel"/>
    <w:tmpl w:val="9DD44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016"/>
        </w:tabs>
        <w:ind w:left="201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12696D"/>
    <w:multiLevelType w:val="hybridMultilevel"/>
    <w:tmpl w:val="384C4D2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3F230E"/>
    <w:multiLevelType w:val="hybridMultilevel"/>
    <w:tmpl w:val="0B24B87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4" w15:restartNumberingAfterBreak="0">
    <w:nsid w:val="5DA427A4"/>
    <w:multiLevelType w:val="hybridMultilevel"/>
    <w:tmpl w:val="26782964"/>
    <w:lvl w:ilvl="0" w:tplc="00F642CE">
      <w:start w:val="5"/>
      <w:numFmt w:val="bullet"/>
      <w:lvlText w:val=""/>
      <w:lvlJc w:val="left"/>
      <w:pPr>
        <w:ind w:left="360" w:hanging="360"/>
      </w:pPr>
      <w:rPr>
        <w:rFonts w:ascii="Wingdings" w:eastAsia="MS Gothic"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5CC099B"/>
    <w:multiLevelType w:val="hybridMultilevel"/>
    <w:tmpl w:val="761EF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B2211"/>
    <w:multiLevelType w:val="hybridMultilevel"/>
    <w:tmpl w:val="4A3C5C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A050BE"/>
    <w:multiLevelType w:val="hybridMultilevel"/>
    <w:tmpl w:val="8C088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29C2B49"/>
    <w:multiLevelType w:val="hybridMultilevel"/>
    <w:tmpl w:val="13F85856"/>
    <w:lvl w:ilvl="0" w:tplc="259660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40642539">
    <w:abstractNumId w:val="28"/>
  </w:num>
  <w:num w:numId="2" w16cid:durableId="24448087">
    <w:abstractNumId w:val="5"/>
  </w:num>
  <w:num w:numId="3" w16cid:durableId="10080189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1"/>
  </w:num>
  <w:num w:numId="5" w16cid:durableId="846208585">
    <w:abstractNumId w:val="15"/>
  </w:num>
  <w:num w:numId="6" w16cid:durableId="91829759">
    <w:abstractNumId w:val="16"/>
  </w:num>
  <w:num w:numId="7" w16cid:durableId="1154877211">
    <w:abstractNumId w:val="13"/>
  </w:num>
  <w:num w:numId="8" w16cid:durableId="321782556">
    <w:abstractNumId w:val="4"/>
  </w:num>
  <w:num w:numId="9" w16cid:durableId="1159426595">
    <w:abstractNumId w:val="32"/>
  </w:num>
  <w:num w:numId="10" w16cid:durableId="942692334">
    <w:abstractNumId w:val="11"/>
  </w:num>
  <w:num w:numId="11" w16cid:durableId="1159467531">
    <w:abstractNumId w:val="0"/>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818010">
    <w:abstractNumId w:val="20"/>
  </w:num>
  <w:num w:numId="14" w16cid:durableId="435292907">
    <w:abstractNumId w:val="18"/>
  </w:num>
  <w:num w:numId="15" w16cid:durableId="556550095">
    <w:abstractNumId w:val="23"/>
  </w:num>
  <w:num w:numId="16" w16cid:durableId="284391215">
    <w:abstractNumId w:val="29"/>
  </w:num>
  <w:num w:numId="17" w16cid:durableId="1296565022">
    <w:abstractNumId w:val="2"/>
  </w:num>
  <w:num w:numId="18" w16cid:durableId="42482655">
    <w:abstractNumId w:val="3"/>
  </w:num>
  <w:num w:numId="19" w16cid:durableId="2008436105">
    <w:abstractNumId w:val="33"/>
  </w:num>
  <w:num w:numId="20" w16cid:durableId="397481922">
    <w:abstractNumId w:val="21"/>
  </w:num>
  <w:num w:numId="21" w16cid:durableId="785851926">
    <w:abstractNumId w:val="6"/>
  </w:num>
  <w:num w:numId="22" w16cid:durableId="317460354">
    <w:abstractNumId w:val="19"/>
  </w:num>
  <w:num w:numId="23" w16cid:durableId="209076893">
    <w:abstractNumId w:val="24"/>
  </w:num>
  <w:num w:numId="24" w16cid:durableId="1647395574">
    <w:abstractNumId w:val="7"/>
  </w:num>
  <w:num w:numId="25" w16cid:durableId="1313750531">
    <w:abstractNumId w:val="17"/>
  </w:num>
  <w:num w:numId="26" w16cid:durableId="784470823">
    <w:abstractNumId w:val="8"/>
  </w:num>
  <w:num w:numId="27" w16cid:durableId="166794457">
    <w:abstractNumId w:val="10"/>
  </w:num>
  <w:num w:numId="28" w16cid:durableId="1664091733">
    <w:abstractNumId w:val="26"/>
  </w:num>
  <w:num w:numId="29" w16cid:durableId="66809925">
    <w:abstractNumId w:val="27"/>
  </w:num>
  <w:num w:numId="30" w16cid:durableId="1169641175">
    <w:abstractNumId w:val="1"/>
  </w:num>
  <w:num w:numId="31" w16cid:durableId="2138182702">
    <w:abstractNumId w:val="12"/>
  </w:num>
  <w:num w:numId="32" w16cid:durableId="935334618">
    <w:abstractNumId w:val="25"/>
  </w:num>
  <w:num w:numId="33" w16cid:durableId="1871918209">
    <w:abstractNumId w:val="22"/>
  </w:num>
  <w:num w:numId="34" w16cid:durableId="1866626233">
    <w:abstractNumId w:val="30"/>
  </w:num>
  <w:num w:numId="35" w16cid:durableId="1815681147">
    <w:abstractNumId w:val="9"/>
  </w:num>
  <w:num w:numId="36" w16cid:durableId="874542448">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299"/>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8"/>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0C45"/>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44D"/>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90E"/>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DE7"/>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0F"/>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6B8"/>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517"/>
    <w:rsid w:val="004227FA"/>
    <w:rsid w:val="0042304D"/>
    <w:rsid w:val="00423674"/>
    <w:rsid w:val="0042371C"/>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6F01"/>
    <w:rsid w:val="004574E4"/>
    <w:rsid w:val="004576E3"/>
    <w:rsid w:val="00457737"/>
    <w:rsid w:val="00457AB0"/>
    <w:rsid w:val="00457BFB"/>
    <w:rsid w:val="00460287"/>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882"/>
    <w:rsid w:val="004D1A39"/>
    <w:rsid w:val="004D1A9D"/>
    <w:rsid w:val="004D1C92"/>
    <w:rsid w:val="004D2166"/>
    <w:rsid w:val="004D2BFC"/>
    <w:rsid w:val="004D2F87"/>
    <w:rsid w:val="004D36D7"/>
    <w:rsid w:val="004D38C1"/>
    <w:rsid w:val="004D3978"/>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E2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434"/>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1F79"/>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98D"/>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5A6"/>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19"/>
    <w:rsid w:val="005B69FA"/>
    <w:rsid w:val="005B6F6A"/>
    <w:rsid w:val="005B6FF5"/>
    <w:rsid w:val="005B7399"/>
    <w:rsid w:val="005B771A"/>
    <w:rsid w:val="005B79B6"/>
    <w:rsid w:val="005B7E6E"/>
    <w:rsid w:val="005C00CF"/>
    <w:rsid w:val="005C01A3"/>
    <w:rsid w:val="005C027D"/>
    <w:rsid w:val="005C0838"/>
    <w:rsid w:val="005C14BC"/>
    <w:rsid w:val="005C1747"/>
    <w:rsid w:val="005C1A97"/>
    <w:rsid w:val="005C21AB"/>
    <w:rsid w:val="005C2717"/>
    <w:rsid w:val="005C2E85"/>
    <w:rsid w:val="005C2E93"/>
    <w:rsid w:val="005C31A5"/>
    <w:rsid w:val="005C32B7"/>
    <w:rsid w:val="005C34F8"/>
    <w:rsid w:val="005C39BA"/>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10"/>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3C11"/>
    <w:rsid w:val="006141CB"/>
    <w:rsid w:val="00614676"/>
    <w:rsid w:val="006146F1"/>
    <w:rsid w:val="0061499E"/>
    <w:rsid w:val="00614D55"/>
    <w:rsid w:val="00614DD7"/>
    <w:rsid w:val="0061542F"/>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5D53"/>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18"/>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27"/>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98C"/>
    <w:rsid w:val="00757DA1"/>
    <w:rsid w:val="00757F51"/>
    <w:rsid w:val="00757F62"/>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67"/>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A55"/>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17EC6"/>
    <w:rsid w:val="00920066"/>
    <w:rsid w:val="00920208"/>
    <w:rsid w:val="00920514"/>
    <w:rsid w:val="009209E3"/>
    <w:rsid w:val="009209FC"/>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3F3B"/>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560"/>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27"/>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947"/>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1A9"/>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04D"/>
    <w:rsid w:val="009F5148"/>
    <w:rsid w:val="009F51BD"/>
    <w:rsid w:val="009F52A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03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45D"/>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2D5"/>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5C7F"/>
    <w:rsid w:val="00B960C1"/>
    <w:rsid w:val="00B96789"/>
    <w:rsid w:val="00B96A14"/>
    <w:rsid w:val="00B96EBF"/>
    <w:rsid w:val="00B97207"/>
    <w:rsid w:val="00B972C5"/>
    <w:rsid w:val="00B976A7"/>
    <w:rsid w:val="00B97713"/>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85F"/>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3988"/>
    <w:rsid w:val="00C141B0"/>
    <w:rsid w:val="00C146A3"/>
    <w:rsid w:val="00C1475A"/>
    <w:rsid w:val="00C1484A"/>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615"/>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2EC3"/>
    <w:rsid w:val="00C83019"/>
    <w:rsid w:val="00C8302A"/>
    <w:rsid w:val="00C832AC"/>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37FBA"/>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67E"/>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136"/>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98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1EC"/>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711"/>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72"/>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320"/>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3C"/>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BC"/>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8EC"/>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3924905">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5</cp:revision>
  <cp:lastPrinted>2019-03-18T06:48:00Z</cp:lastPrinted>
  <dcterms:created xsi:type="dcterms:W3CDTF">2022-04-18T17:26:00Z</dcterms:created>
  <dcterms:modified xsi:type="dcterms:W3CDTF">2022-04-29T19:02:00Z</dcterms:modified>
</cp:coreProperties>
</file>