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504E8059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1E4399">
        <w:rPr>
          <w:b/>
          <w:sz w:val="24"/>
          <w:szCs w:val="24"/>
        </w:rPr>
        <w:t xml:space="preserve">3GPP TSG RAN WG1 </w:t>
      </w:r>
      <w:r w:rsidR="00292F8D" w:rsidRPr="001E4399">
        <w:rPr>
          <w:rFonts w:hint="eastAsia"/>
          <w:b/>
          <w:sz w:val="24"/>
          <w:szCs w:val="24"/>
          <w:lang w:eastAsia="ko-KR"/>
        </w:rPr>
        <w:t>#10</w:t>
      </w:r>
      <w:r w:rsidR="00873591">
        <w:rPr>
          <w:b/>
          <w:sz w:val="24"/>
          <w:szCs w:val="24"/>
          <w:lang w:eastAsia="ko-KR"/>
        </w:rPr>
        <w:t>9</w:t>
      </w:r>
      <w:r w:rsidR="00E74280">
        <w:rPr>
          <w:b/>
          <w:sz w:val="24"/>
          <w:szCs w:val="24"/>
          <w:lang w:eastAsia="ko-KR"/>
        </w:rPr>
        <w:t>-e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6C15BF">
        <w:rPr>
          <w:b/>
          <w:sz w:val="24"/>
          <w:szCs w:val="24"/>
        </w:rPr>
        <w:t>2</w:t>
      </w:r>
      <w:r w:rsidR="00873591">
        <w:rPr>
          <w:b/>
          <w:sz w:val="24"/>
          <w:szCs w:val="24"/>
        </w:rPr>
        <w:t>2</w:t>
      </w:r>
      <w:r w:rsidR="00D001ED">
        <w:rPr>
          <w:b/>
          <w:sz w:val="24"/>
          <w:szCs w:val="24"/>
        </w:rPr>
        <w:t>03930</w:t>
      </w:r>
      <w:bookmarkStart w:id="0" w:name="_GoBack"/>
      <w:bookmarkEnd w:id="0"/>
    </w:p>
    <w:p w14:paraId="02ED61BB" w14:textId="2E9A6384" w:rsidR="00154194" w:rsidRPr="001E4399" w:rsidRDefault="00710555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e-Meeting,</w:t>
      </w:r>
      <w:r w:rsidRPr="00D13718">
        <w:rPr>
          <w:b/>
          <w:bCs/>
          <w:noProof/>
          <w:sz w:val="24"/>
          <w:szCs w:val="24"/>
          <w:lang w:eastAsia="ko-KR"/>
        </w:rPr>
        <w:t xml:space="preserve"> </w:t>
      </w:r>
      <w:r w:rsidR="00873591">
        <w:rPr>
          <w:rFonts w:eastAsia="MS Mincho" w:cs="Arial"/>
          <w:b/>
          <w:bCs/>
          <w:sz w:val="24"/>
          <w:szCs w:val="24"/>
          <w:lang w:eastAsia="ja-JP"/>
        </w:rPr>
        <w:t>May</w:t>
      </w:r>
      <w:r w:rsidRPr="00D13718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873591">
        <w:rPr>
          <w:rFonts w:eastAsia="MS Mincho" w:cs="Arial"/>
          <w:b/>
          <w:bCs/>
          <w:sz w:val="24"/>
          <w:szCs w:val="24"/>
          <w:lang w:eastAsia="ja-JP"/>
        </w:rPr>
        <w:t>9</w:t>
      </w:r>
      <w:r w:rsidRPr="00D1371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D13718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873591">
        <w:rPr>
          <w:rFonts w:eastAsia="MS Mincho" w:cs="Arial"/>
          <w:b/>
          <w:bCs/>
          <w:sz w:val="24"/>
          <w:szCs w:val="24"/>
          <w:lang w:eastAsia="ja-JP"/>
        </w:rPr>
        <w:t>20</w:t>
      </w:r>
      <w:r w:rsidRPr="00D1371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873591">
        <w:rPr>
          <w:rFonts w:eastAsia="MS Mincho" w:cs="Arial"/>
          <w:b/>
          <w:bCs/>
          <w:sz w:val="24"/>
          <w:szCs w:val="24"/>
          <w:lang w:eastAsia="ja-JP"/>
        </w:rPr>
        <w:t>, 2022</w:t>
      </w:r>
    </w:p>
    <w:p w14:paraId="67CAF68F" w14:textId="0686A6AF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</w:rPr>
        <w:t>9</w:t>
      </w:r>
      <w:r w:rsidR="0047090C">
        <w:rPr>
          <w:rFonts w:ascii="Arial" w:hAnsi="Arial" w:cs="Arial"/>
          <w:sz w:val="22"/>
        </w:rPr>
        <w:t>.1</w:t>
      </w:r>
      <w:r w:rsidR="00873591">
        <w:rPr>
          <w:rFonts w:ascii="Arial" w:hAnsi="Arial" w:cs="Arial"/>
          <w:sz w:val="22"/>
        </w:rPr>
        <w:t>2</w:t>
      </w:r>
      <w:r w:rsidR="0047090C">
        <w:rPr>
          <w:rFonts w:ascii="Arial" w:hAnsi="Arial" w:cs="Arial"/>
          <w:sz w:val="22"/>
        </w:rPr>
        <w:t>.2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759ED5CE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  <w:lang w:eastAsia="zh-CN"/>
        </w:rPr>
        <w:t>Disabling HARQ feedback for IoT NTN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39222C6E" w14:textId="47F8FA5B" w:rsidR="0092094B" w:rsidRPr="0092094B" w:rsidRDefault="005F7814" w:rsidP="0092094B">
      <w:pPr>
        <w:ind w:firstLineChars="0" w:firstLine="0"/>
        <w:rPr>
          <w:color w:val="000000" w:themeColor="text1"/>
        </w:rPr>
      </w:pPr>
      <w:bookmarkStart w:id="1" w:name="_Hlk22834419"/>
      <w:r w:rsidRPr="0092094B">
        <w:rPr>
          <w:color w:val="000000" w:themeColor="text1"/>
          <w:lang w:eastAsia="x-none"/>
        </w:rPr>
        <w:t xml:space="preserve">A WID on </w:t>
      </w:r>
      <w:r w:rsidR="0092094B" w:rsidRPr="0092094B">
        <w:rPr>
          <w:color w:val="000000" w:themeColor="text1"/>
          <w:lang w:eastAsia="x-none"/>
        </w:rPr>
        <w:t xml:space="preserve">further enhancements for </w:t>
      </w:r>
      <w:r w:rsidRPr="0092094B">
        <w:rPr>
          <w:color w:val="000000" w:themeColor="text1"/>
          <w:lang w:eastAsia="x-none"/>
        </w:rPr>
        <w:t xml:space="preserve">NB-IoT/eMTC </w:t>
      </w:r>
      <w:r w:rsidR="0092094B" w:rsidRPr="0092094B">
        <w:rPr>
          <w:color w:val="000000" w:themeColor="text1"/>
          <w:lang w:eastAsia="x-none"/>
        </w:rPr>
        <w:t>in</w:t>
      </w:r>
      <w:r w:rsidRPr="0092094B">
        <w:rPr>
          <w:color w:val="000000" w:themeColor="text1"/>
          <w:lang w:eastAsia="x-none"/>
        </w:rPr>
        <w:t xml:space="preserve"> </w:t>
      </w:r>
      <w:r w:rsidR="0092094B" w:rsidRPr="0092094B">
        <w:rPr>
          <w:color w:val="000000" w:themeColor="text1"/>
        </w:rPr>
        <w:t>non-terrestrial networks (</w:t>
      </w:r>
      <w:r w:rsidRPr="0092094B">
        <w:rPr>
          <w:color w:val="000000" w:themeColor="text1"/>
          <w:lang w:eastAsia="x-none"/>
        </w:rPr>
        <w:t>NTN</w:t>
      </w:r>
      <w:r w:rsidR="0092094B" w:rsidRPr="0092094B">
        <w:rPr>
          <w:color w:val="000000" w:themeColor="text1"/>
          <w:lang w:eastAsia="x-none"/>
        </w:rPr>
        <w:t>)</w:t>
      </w:r>
      <w:r w:rsidRPr="0092094B">
        <w:rPr>
          <w:color w:val="000000" w:themeColor="text1"/>
          <w:lang w:eastAsia="x-none"/>
        </w:rPr>
        <w:t xml:space="preserve"> was approved in RAN#92-e [1]. </w:t>
      </w:r>
      <w:r w:rsidR="0092094B" w:rsidRPr="0092094B">
        <w:rPr>
          <w:color w:val="000000" w:themeColor="text1"/>
          <w:lang w:eastAsia="x-none"/>
        </w:rPr>
        <w:t xml:space="preserve">The WI </w:t>
      </w:r>
      <w:r w:rsidR="0092094B" w:rsidRPr="0092094B">
        <w:rPr>
          <w:color w:val="000000" w:themeColor="text1"/>
        </w:rPr>
        <w:t>aims to specify enhancements according to the following assumptions:</w:t>
      </w:r>
    </w:p>
    <w:p w14:paraId="6F0F3EB1" w14:textId="05D5425A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color w:val="000000" w:themeColor="text1"/>
        </w:rPr>
      </w:pPr>
      <w:r w:rsidRPr="0092094B">
        <w:rPr>
          <w:rFonts w:ascii="Times New Roman" w:hAnsi="Times New Roman" w:cs="Times New Roman"/>
          <w:color w:val="000000" w:themeColor="text1"/>
        </w:rPr>
        <w:t>-</w:t>
      </w:r>
      <w:r w:rsidRPr="0092094B">
        <w:rPr>
          <w:rFonts w:ascii="Times New Roman" w:hAnsi="Times New Roman" w:cs="Times New Roman"/>
          <w:color w:val="000000" w:themeColor="text1"/>
        </w:rPr>
        <w:tab/>
      </w:r>
      <w:r w:rsidR="00216CD0">
        <w:rPr>
          <w:rFonts w:ascii="Times New Roman" w:hAnsi="Times New Roman" w:cs="Times New Roman"/>
          <w:color w:val="000000" w:themeColor="text1"/>
        </w:rPr>
        <w:t>GEO and NGSO (LEO and MEO)</w:t>
      </w:r>
    </w:p>
    <w:p w14:paraId="36E4F820" w14:textId="77777777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 w:rsidRPr="0092094B">
        <w:rPr>
          <w:rFonts w:ascii="Times New Roman" w:hAnsi="Times New Roman" w:cs="Times New Roman"/>
          <w:color w:val="000000" w:themeColor="text1"/>
        </w:rPr>
        <w:t>-</w:t>
      </w:r>
      <w:r w:rsidRPr="0092094B">
        <w:rPr>
          <w:rFonts w:ascii="Times New Roman" w:hAnsi="Times New Roman" w:cs="Times New Roman"/>
          <w:color w:val="000000" w:themeColor="text1"/>
        </w:rPr>
        <w:tab/>
      </w:r>
      <w:r w:rsidRPr="0092094B">
        <w:rPr>
          <w:rFonts w:ascii="Times New Roman" w:hAnsi="Times New Roman" w:cs="Times New Roman"/>
          <w:bCs/>
          <w:color w:val="000000" w:themeColor="text1"/>
        </w:rPr>
        <w:t>Earth fixed Tracking area. Earth fixed &amp; Earth moving cells for NGSO</w:t>
      </w:r>
    </w:p>
    <w:p w14:paraId="090FA5CA" w14:textId="0E3D2CB4" w:rsid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 w:rsidRPr="0092094B">
        <w:rPr>
          <w:rFonts w:ascii="Times New Roman" w:hAnsi="Times New Roman" w:cs="Times New Roman"/>
          <w:bCs/>
          <w:color w:val="000000" w:themeColor="text1"/>
        </w:rPr>
        <w:t>-</w:t>
      </w:r>
      <w:r w:rsidRPr="0092094B">
        <w:rPr>
          <w:rFonts w:ascii="Times New Roman" w:hAnsi="Times New Roman" w:cs="Times New Roman"/>
          <w:bCs/>
          <w:color w:val="000000" w:themeColor="text1"/>
        </w:rPr>
        <w:tab/>
        <w:t>FDD mode</w:t>
      </w:r>
    </w:p>
    <w:p w14:paraId="70E6D0A7" w14:textId="2A4C712E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-</w:t>
      </w:r>
      <w:r>
        <w:rPr>
          <w:rFonts w:ascii="Times New Roman" w:hAnsi="Times New Roman" w:cs="Times New Roman"/>
          <w:bCs/>
          <w:color w:val="000000" w:themeColor="text1"/>
        </w:rPr>
        <w:tab/>
      </w:r>
      <w:r w:rsidRPr="0092094B">
        <w:rPr>
          <w:rFonts w:ascii="Times New Roman" w:hAnsi="Times New Roman" w:cs="Times New Roman"/>
          <w:bCs/>
          <w:color w:val="000000" w:themeColor="text1"/>
        </w:rPr>
        <w:t>UEs with GNSS capabilities</w:t>
      </w:r>
    </w:p>
    <w:p w14:paraId="15247F7B" w14:textId="08256FA4" w:rsidR="005F7814" w:rsidRPr="002614DE" w:rsidRDefault="000A132B" w:rsidP="002614DE">
      <w:pPr>
        <w:ind w:firstLineChars="0" w:firstLine="0"/>
      </w:pPr>
      <w:r>
        <w:rPr>
          <w:rFonts w:ascii="Times" w:hAnsi="Times" w:cs="Times"/>
          <w:lang w:eastAsia="x-none"/>
        </w:rPr>
        <w:t>The o</w:t>
      </w:r>
      <w:r w:rsidR="002614DE">
        <w:rPr>
          <w:rFonts w:ascii="Times" w:hAnsi="Times" w:cs="Times"/>
          <w:lang w:eastAsia="x-none"/>
        </w:rPr>
        <w:t xml:space="preserve">bjectives </w:t>
      </w:r>
      <w:r w:rsidR="00216CD0">
        <w:rPr>
          <w:rFonts w:ascii="Times" w:hAnsi="Times" w:cs="Times"/>
          <w:lang w:eastAsia="x-none"/>
        </w:rPr>
        <w:t xml:space="preserve">related to </w:t>
      </w:r>
      <w:r w:rsidR="00216CD0" w:rsidRPr="00C46EE3">
        <w:t>IoT-NTN Performance Enhancements in Rel-18 to address remaining issues from Rel-17</w:t>
      </w:r>
      <w:r w:rsidR="002614DE">
        <w:t xml:space="preserve"> </w:t>
      </w:r>
      <w:r>
        <w:t>are the following</w:t>
      </w:r>
      <w:r w:rsidR="002614D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B7171" w14:paraId="12AB433E" w14:textId="77777777" w:rsidTr="007B7171">
        <w:tc>
          <w:tcPr>
            <w:tcW w:w="9737" w:type="dxa"/>
          </w:tcPr>
          <w:p w14:paraId="1DC4BA91" w14:textId="77777777" w:rsidR="002614DE" w:rsidRPr="002614DE" w:rsidRDefault="002614DE" w:rsidP="002614DE">
            <w:pPr>
              <w:ind w:firstLineChars="0" w:firstLine="0"/>
              <w:rPr>
                <w:color w:val="000000" w:themeColor="text1"/>
              </w:rPr>
            </w:pPr>
            <w:r w:rsidRPr="002614DE">
              <w:rPr>
                <w:color w:val="000000" w:themeColor="text1"/>
              </w:rPr>
              <w:t>This work considers Rel-17 IoT-NTN as baseline as well as Rel-17 NR-NTN outcome and the further IoT-NTN performance enhancements objectives are listed below:</w:t>
            </w:r>
          </w:p>
          <w:p w14:paraId="1F360D31" w14:textId="2EDAA4DD" w:rsidR="002614DE" w:rsidRPr="002614DE" w:rsidRDefault="002614DE" w:rsidP="002614DE">
            <w:pPr>
              <w:pStyle w:val="B1"/>
              <w:numPr>
                <w:ilvl w:val="0"/>
                <w:numId w:val="47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color w:val="000000" w:themeColor="text1"/>
              </w:rPr>
              <w:t>Disabling of HARQ feedback to mitigate impact of HARQ stalling on UE data rates [RAN1,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14DE">
              <w:rPr>
                <w:rFonts w:ascii="Times New Roman" w:hAnsi="Times New Roman" w:cs="Times New Roman"/>
                <w:color w:val="000000" w:themeColor="text1"/>
              </w:rPr>
              <w:t>RAN2]</w:t>
            </w:r>
          </w:p>
          <w:p w14:paraId="379A1646" w14:textId="77777777" w:rsidR="002614DE" w:rsidRDefault="002614DE" w:rsidP="002614DE">
            <w:pPr>
              <w:pStyle w:val="B1"/>
              <w:numPr>
                <w:ilvl w:val="0"/>
                <w:numId w:val="47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color w:val="000000" w:themeColor="text1"/>
              </w:rPr>
              <w:t xml:space="preserve">Study and specify, if needed, improved GNSS operations for a new position fix for UE pre-compensation during long connection times and for reduced power consumption. </w:t>
            </w:r>
            <w:r w:rsidRPr="002614DE">
              <w:rPr>
                <w:rFonts w:ascii="Times New Roman" w:hAnsi="Times New Roman" w:cs="Times New Roman"/>
                <w:color w:val="000000" w:themeColor="text1"/>
                <w:lang w:eastAsia="zh-CN"/>
              </w:rPr>
              <w:t>Simultaneous GNSS and NTN NB-IoT/eMTC operation is not assumed</w:t>
            </w:r>
            <w:r w:rsidRPr="002614D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zh-CN"/>
              </w:rPr>
              <w:t>.</w:t>
            </w:r>
            <w:r w:rsidRPr="002614DE">
              <w:rPr>
                <w:rFonts w:ascii="Times New Roman" w:hAnsi="Times New Roman" w:cs="Times New Roman"/>
                <w:color w:val="000000" w:themeColor="text1"/>
              </w:rPr>
              <w:t xml:space="preserve"> [RAN1]</w:t>
            </w:r>
          </w:p>
          <w:p w14:paraId="23F1EA03" w14:textId="6BB5C6D7" w:rsidR="007B7171" w:rsidRPr="002614DE" w:rsidRDefault="002614DE" w:rsidP="002614DE">
            <w:pPr>
              <w:pStyle w:val="B1"/>
              <w:numPr>
                <w:ilvl w:val="1"/>
                <w:numId w:val="47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i/>
                <w:color w:val="000000" w:themeColor="text1"/>
              </w:rPr>
              <w:t>NOTE: The need for RAN4 Core requirements for this objective will be identified after the conclusion on the need for improvements.</w:t>
            </w:r>
          </w:p>
        </w:tc>
      </w:tr>
    </w:tbl>
    <w:bookmarkEnd w:id="1"/>
    <w:p w14:paraId="7916EE99" w14:textId="26C5D696" w:rsidR="00B27BD2" w:rsidRPr="00525224" w:rsidRDefault="00B80E10" w:rsidP="002B5C14">
      <w:pPr>
        <w:spacing w:before="120" w:after="120"/>
        <w:ind w:firstLineChars="0" w:firstLine="0"/>
      </w:pPr>
      <w:r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B30E86" w:rsidRPr="00525224">
        <w:rPr>
          <w:rFonts w:eastAsia="DengXian"/>
          <w:lang w:eastAsia="zh-CN"/>
        </w:rPr>
        <w:t xml:space="preserve">discusses </w:t>
      </w:r>
      <w:r w:rsidR="009C6BE9" w:rsidRPr="00525224">
        <w:rPr>
          <w:rFonts w:eastAsia="DengXian"/>
          <w:lang w:eastAsia="zh-CN"/>
        </w:rPr>
        <w:t xml:space="preserve">aspects </w:t>
      </w:r>
      <w:r w:rsidR="007B7171">
        <w:rPr>
          <w:rFonts w:eastAsia="DengXian"/>
          <w:lang w:eastAsia="zh-CN"/>
        </w:rPr>
        <w:t>of</w:t>
      </w:r>
      <w:r w:rsidR="009C6BE9" w:rsidRPr="00525224">
        <w:rPr>
          <w:rFonts w:eastAsia="DengXian"/>
          <w:lang w:eastAsia="zh-CN"/>
        </w:rPr>
        <w:t xml:space="preserve"> </w:t>
      </w:r>
      <w:r w:rsidR="002614DE">
        <w:rPr>
          <w:rFonts w:eastAsia="DengXian"/>
          <w:lang w:eastAsia="zh-CN"/>
        </w:rPr>
        <w:t>disabling HARQ feedback</w:t>
      </w:r>
      <w:r w:rsidR="003C0D4B" w:rsidRPr="00525224">
        <w:rPr>
          <w:rFonts w:eastAsia="DengXian"/>
          <w:lang w:eastAsia="zh-CN"/>
        </w:rPr>
        <w:t xml:space="preserve">. </w:t>
      </w:r>
    </w:p>
    <w:p w14:paraId="6A0410F2" w14:textId="6C132807" w:rsidR="003C36C0" w:rsidRPr="00000065" w:rsidRDefault="00593F02" w:rsidP="00000065">
      <w:pPr>
        <w:pStyle w:val="Heading1"/>
      </w:pPr>
      <w:r>
        <w:t>Disabling HARQ feedback</w:t>
      </w:r>
    </w:p>
    <w:p w14:paraId="274E66E7" w14:textId="33FE2C0B" w:rsidR="004B6A77" w:rsidRDefault="004B6A77" w:rsidP="005A5BDA">
      <w:pPr>
        <w:spacing w:after="120" w:line="240" w:lineRule="auto"/>
        <w:ind w:firstLineChars="0" w:firstLine="0"/>
        <w:rPr>
          <w:rFonts w:eastAsia="DengXian"/>
          <w:lang w:eastAsia="zh-CN" w:bidi="ar"/>
        </w:rPr>
      </w:pPr>
      <w:r>
        <w:t>Disabling HARQ feedback</w:t>
      </w:r>
      <w:r w:rsidR="00E01E25">
        <w:t xml:space="preserve"> for a DL transmission</w:t>
      </w:r>
      <w:r>
        <w:t xml:space="preserve"> was discussed during the </w:t>
      </w:r>
      <w:r w:rsidR="002854D7">
        <w:t xml:space="preserve">Rel-17 SI on </w:t>
      </w:r>
      <w:r>
        <w:t>IoT NTN</w:t>
      </w:r>
      <w:r w:rsidR="002854D7">
        <w:t xml:space="preserve"> </w:t>
      </w:r>
      <w:r w:rsidR="00634C36">
        <w:t xml:space="preserve">[2] </w:t>
      </w:r>
      <w:r>
        <w:t>but it was not included as an objective in the Rel-17 WI on IoT NTN, partially due to support</w:t>
      </w:r>
      <w:r w:rsidR="000A132B">
        <w:t>ing</w:t>
      </w:r>
      <w:r>
        <w:t xml:space="preserve"> only </w:t>
      </w:r>
      <w:r w:rsidR="00267B14">
        <w:t xml:space="preserve">few </w:t>
      </w:r>
      <w:r>
        <w:t>essential functionalities in Rel-</w:t>
      </w:r>
      <w:proofErr w:type="gramStart"/>
      <w:r>
        <w:t>17</w:t>
      </w:r>
      <w:r w:rsidR="000B66CA">
        <w:t xml:space="preserve"> </w:t>
      </w:r>
      <w:r w:rsidR="00267B14">
        <w:t xml:space="preserve"> and</w:t>
      </w:r>
      <w:proofErr w:type="gramEnd"/>
      <w:r w:rsidR="00267B14">
        <w:t xml:space="preserve"> companies not reach</w:t>
      </w:r>
      <w:r w:rsidR="000B66CA">
        <w:t>ing</w:t>
      </w:r>
      <w:r w:rsidR="00267B14">
        <w:t xml:space="preserve"> consensus</w:t>
      </w:r>
      <w:r w:rsidR="000B66CA">
        <w:t xml:space="preserve"> on the essentiality of </w:t>
      </w:r>
      <w:r w:rsidR="00267B14">
        <w:t>disabling HARQ feedback</w:t>
      </w:r>
      <w:r>
        <w:t xml:space="preserve">. </w:t>
      </w:r>
      <w:r w:rsidR="00267B14">
        <w:t>Several discussion points were raised</w:t>
      </w:r>
      <w:r w:rsidR="000B66CA">
        <w:t xml:space="preserve"> during the study</w:t>
      </w:r>
      <w:r w:rsidR="00267B14">
        <w:t xml:space="preserve">: </w:t>
      </w:r>
      <w:r w:rsidR="00836E9C">
        <w:t xml:space="preserve">whether </w:t>
      </w:r>
      <w:r w:rsidR="00836E9C">
        <w:rPr>
          <w:rFonts w:eastAsia="DengXian"/>
          <w:lang w:eastAsia="zh-CN" w:bidi="ar"/>
        </w:rPr>
        <w:t xml:space="preserve">it is </w:t>
      </w:r>
      <w:r w:rsidRPr="00675026">
        <w:rPr>
          <w:rFonts w:eastAsia="DengXian"/>
          <w:lang w:eastAsia="zh-CN" w:bidi="ar"/>
        </w:rPr>
        <w:t>necessary to introduce it for the purpose of maintaining uplink throughput in NTN</w:t>
      </w:r>
      <w:r w:rsidR="00E01E25">
        <w:rPr>
          <w:rFonts w:eastAsia="DengXian"/>
          <w:lang w:eastAsia="zh-CN" w:bidi="ar"/>
        </w:rPr>
        <w:t xml:space="preserve"> (avoid stalling)</w:t>
      </w:r>
      <w:r w:rsidRPr="00675026">
        <w:rPr>
          <w:rFonts w:eastAsia="DengXian"/>
          <w:lang w:eastAsia="zh-CN" w:bidi="ar"/>
        </w:rPr>
        <w:t xml:space="preserve"> </w:t>
      </w:r>
      <w:r w:rsidR="00836E9C">
        <w:rPr>
          <w:rFonts w:eastAsia="DengXian"/>
          <w:lang w:eastAsia="zh-CN" w:bidi="ar"/>
        </w:rPr>
        <w:t>or</w:t>
      </w:r>
      <w:r w:rsidRPr="00675026">
        <w:rPr>
          <w:rFonts w:eastAsia="DengXian"/>
          <w:lang w:eastAsia="zh-CN" w:bidi="ar"/>
        </w:rPr>
        <w:t xml:space="preserve"> a </w:t>
      </w:r>
      <w:r w:rsidRPr="00675026">
        <w:rPr>
          <w:rFonts w:eastAsiaTheme="minorHAnsi"/>
        </w:rPr>
        <w:t>gNB can ensure that by scheduling new UL TB for a given HARQ process without waiting for reception of the previous TB of that HARQ process</w:t>
      </w:r>
      <w:r w:rsidR="00267B14">
        <w:rPr>
          <w:rFonts w:eastAsiaTheme="minorHAnsi"/>
        </w:rPr>
        <w:t xml:space="preserve">, </w:t>
      </w:r>
      <w:r w:rsidR="00836E9C">
        <w:rPr>
          <w:rFonts w:eastAsiaTheme="minorHAnsi"/>
        </w:rPr>
        <w:t xml:space="preserve">whether the </w:t>
      </w:r>
      <w:r w:rsidRPr="00267B14">
        <w:rPr>
          <w:rFonts w:eastAsiaTheme="minorHAnsi"/>
        </w:rPr>
        <w:t>reliability of the downlink due to the lack of feedback</w:t>
      </w:r>
      <w:r w:rsidR="00267B14" w:rsidRPr="00267B14">
        <w:rPr>
          <w:rFonts w:eastAsiaTheme="minorHAnsi"/>
        </w:rPr>
        <w:t xml:space="preserve"> </w:t>
      </w:r>
      <w:r w:rsidR="00836E9C">
        <w:rPr>
          <w:rFonts w:eastAsiaTheme="minorHAnsi"/>
        </w:rPr>
        <w:t>is impacted</w:t>
      </w:r>
      <w:r w:rsidR="00267B14" w:rsidRPr="00267B14">
        <w:rPr>
          <w:rFonts w:eastAsiaTheme="minorHAnsi"/>
        </w:rPr>
        <w:t xml:space="preserve">, </w:t>
      </w:r>
      <w:r w:rsidR="00267B14">
        <w:rPr>
          <w:rFonts w:eastAsiaTheme="minorHAnsi"/>
        </w:rPr>
        <w:t xml:space="preserve">whether there can be benefits </w:t>
      </w:r>
      <w:r w:rsidRPr="00675026">
        <w:rPr>
          <w:rFonts w:eastAsia="DengXian"/>
          <w:lang w:eastAsia="zh-CN" w:bidi="ar"/>
        </w:rPr>
        <w:t>for UE power consumption and/or latency</w:t>
      </w:r>
      <w:r>
        <w:rPr>
          <w:rFonts w:eastAsia="DengXian"/>
          <w:lang w:eastAsia="zh-CN" w:bidi="ar"/>
        </w:rPr>
        <w:t xml:space="preserve"> if disabling HARQ</w:t>
      </w:r>
      <w:r w:rsidR="00C44660">
        <w:rPr>
          <w:rFonts w:eastAsia="DengXian"/>
          <w:lang w:eastAsia="zh-CN" w:bidi="ar"/>
        </w:rPr>
        <w:t xml:space="preserve"> feedback</w:t>
      </w:r>
      <w:r>
        <w:rPr>
          <w:rFonts w:eastAsia="DengXian"/>
          <w:lang w:eastAsia="zh-CN" w:bidi="ar"/>
        </w:rPr>
        <w:t xml:space="preserve"> is introduced</w:t>
      </w:r>
      <w:r w:rsidR="00E01E25">
        <w:rPr>
          <w:rFonts w:eastAsia="DengXian"/>
          <w:lang w:eastAsia="zh-CN" w:bidi="ar"/>
        </w:rPr>
        <w:t xml:space="preserve">, whether it improves uplink throughput as more resources would be available for </w:t>
      </w:r>
      <w:r w:rsidR="000B66CA">
        <w:rPr>
          <w:rFonts w:eastAsia="DengXian"/>
          <w:lang w:eastAsia="zh-CN" w:bidi="ar"/>
        </w:rPr>
        <w:t xml:space="preserve">other </w:t>
      </w:r>
      <w:r w:rsidR="00E01E25">
        <w:rPr>
          <w:rFonts w:eastAsia="DengXian"/>
          <w:lang w:eastAsia="zh-CN" w:bidi="ar"/>
        </w:rPr>
        <w:t>uplink</w:t>
      </w:r>
      <w:r w:rsidR="000B66CA">
        <w:rPr>
          <w:rFonts w:eastAsia="DengXian"/>
          <w:lang w:eastAsia="zh-CN" w:bidi="ar"/>
        </w:rPr>
        <w:t xml:space="preserve"> transmissions</w:t>
      </w:r>
      <w:r>
        <w:rPr>
          <w:rFonts w:eastAsia="DengXian"/>
          <w:lang w:eastAsia="zh-CN" w:bidi="ar"/>
        </w:rPr>
        <w:t>.</w:t>
      </w:r>
    </w:p>
    <w:p w14:paraId="10E601E6" w14:textId="38EC7C10" w:rsidR="00836E9C" w:rsidRPr="005A7AB1" w:rsidRDefault="00836E9C" w:rsidP="005A5BDA">
      <w:pPr>
        <w:spacing w:after="120" w:line="240" w:lineRule="auto"/>
        <w:ind w:firstLineChars="0" w:firstLine="0"/>
        <w:rPr>
          <w:rFonts w:eastAsia="DengXian"/>
          <w:lang w:eastAsia="zh-CN" w:bidi="ar"/>
        </w:rPr>
      </w:pPr>
      <w:r>
        <w:t>Disabling HARQ feedback</w:t>
      </w:r>
      <w:r w:rsidR="00E01E25">
        <w:t xml:space="preserve"> for a DL transmission</w:t>
      </w:r>
      <w:r>
        <w:t xml:space="preserve"> was introduced in </w:t>
      </w:r>
      <w:r w:rsidR="00E01E25">
        <w:t xml:space="preserve">Rel-17 </w:t>
      </w:r>
      <w:r w:rsidR="005A7AB1">
        <w:t>NR NTN with the understanding that</w:t>
      </w:r>
      <w:r>
        <w:t xml:space="preserve"> </w:t>
      </w:r>
      <w:r w:rsidR="005A7AB1">
        <w:t xml:space="preserve">it </w:t>
      </w:r>
      <w:r w:rsidR="005A7AB1" w:rsidRPr="009A28FB">
        <w:t>can avoid HARQ stalling and consequently throughput degradation</w:t>
      </w:r>
      <w:r w:rsidR="005A7AB1">
        <w:t xml:space="preserve">. </w:t>
      </w:r>
      <w:r w:rsidR="005A7AB1" w:rsidRPr="005A7AB1">
        <w:rPr>
          <w:lang w:eastAsia="x-none"/>
        </w:rPr>
        <w:t>Enabling/disabling HARQ feedback for downlink transmission was agreed to be configurable per HARQ process via UE</w:t>
      </w:r>
      <w:r w:rsidR="000B66CA">
        <w:rPr>
          <w:lang w:eastAsia="x-none"/>
        </w:rPr>
        <w:t>-</w:t>
      </w:r>
      <w:r w:rsidR="005A7AB1" w:rsidRPr="005A7AB1">
        <w:rPr>
          <w:lang w:eastAsia="x-none"/>
        </w:rPr>
        <w:t>specific RRC signalling</w:t>
      </w:r>
      <w:r w:rsidR="005A7AB1" w:rsidRPr="005A7AB1">
        <w:t>.</w:t>
      </w:r>
    </w:p>
    <w:p w14:paraId="628038F6" w14:textId="33E12E09" w:rsidR="00C44660" w:rsidRPr="005A5BDA" w:rsidRDefault="00F7362F" w:rsidP="005A5BDA">
      <w:pPr>
        <w:pStyle w:val="BodyText"/>
        <w:spacing w:line="240" w:lineRule="auto"/>
        <w:ind w:firstLineChars="0" w:firstLine="0"/>
        <w:rPr>
          <w:rFonts w:eastAsiaTheme="minorHAnsi"/>
        </w:rPr>
      </w:pPr>
      <w:r>
        <w:t xml:space="preserve">Similar </w:t>
      </w:r>
      <w:r w:rsidR="00833ECC">
        <w:t xml:space="preserve">as for </w:t>
      </w:r>
      <w:r>
        <w:t xml:space="preserve">NR NTN, disabling HARQ feedback is beneficial </w:t>
      </w:r>
      <w:r w:rsidR="00833ECC">
        <w:t xml:space="preserve">for IoT NTN </w:t>
      </w:r>
      <w:r>
        <w:t xml:space="preserve">and the configurability per HARQ process gives flexibility to the network to </w:t>
      </w:r>
      <w:r w:rsidR="00634C36">
        <w:t>disable all or some of the feedbacks based on a prioritization of DL reliability or UL throughput or overall latency</w:t>
      </w:r>
      <w:r w:rsidR="00833ECC">
        <w:t xml:space="preserve"> or UE power consumption. </w:t>
      </w:r>
      <w:r w:rsidR="00717CDD">
        <w:t>An</w:t>
      </w:r>
      <w:r w:rsidR="00C44660">
        <w:t xml:space="preserve"> eNB </w:t>
      </w:r>
      <w:r w:rsidR="00717CDD">
        <w:t>not needing</w:t>
      </w:r>
      <w:r w:rsidR="00C44660">
        <w:t xml:space="preserve"> </w:t>
      </w:r>
      <w:r w:rsidR="00C44660" w:rsidRPr="00DF6205">
        <w:rPr>
          <w:rFonts w:eastAsiaTheme="minorHAnsi"/>
        </w:rPr>
        <w:t>to</w:t>
      </w:r>
      <w:r w:rsidR="00C44660">
        <w:rPr>
          <w:rFonts w:eastAsiaTheme="minorHAnsi"/>
        </w:rPr>
        <w:t xml:space="preserve"> wait for reception of HARQ feedback corresponding to </w:t>
      </w:r>
      <w:r w:rsidR="00C44660" w:rsidRPr="00DF6205">
        <w:rPr>
          <w:rFonts w:eastAsiaTheme="minorHAnsi"/>
        </w:rPr>
        <w:t>a DL HARQ process before scheduling a new TB for that HARQ process</w:t>
      </w:r>
      <w:r w:rsidR="00C44660">
        <w:rPr>
          <w:rFonts w:eastAsiaTheme="minorHAnsi"/>
        </w:rPr>
        <w:t xml:space="preserve"> </w:t>
      </w:r>
      <w:r w:rsidR="00190CAF">
        <w:rPr>
          <w:rFonts w:eastAsiaTheme="minorHAnsi"/>
        </w:rPr>
        <w:t xml:space="preserve">can be beneficial </w:t>
      </w:r>
      <w:r w:rsidR="00C44660">
        <w:rPr>
          <w:rFonts w:eastAsiaTheme="minorHAnsi"/>
        </w:rPr>
        <w:t xml:space="preserve">regardless of whether </w:t>
      </w:r>
      <w:r w:rsidR="00190CAF">
        <w:rPr>
          <w:rFonts w:eastAsiaTheme="minorHAnsi"/>
        </w:rPr>
        <w:t xml:space="preserve">disabling </w:t>
      </w:r>
      <w:r w:rsidR="00C44660">
        <w:rPr>
          <w:rFonts w:eastAsiaTheme="minorHAnsi"/>
        </w:rPr>
        <w:t>HARQ</w:t>
      </w:r>
      <w:r w:rsidR="00190CAF">
        <w:rPr>
          <w:rFonts w:eastAsiaTheme="minorHAnsi"/>
        </w:rPr>
        <w:t xml:space="preserve"> feedback</w:t>
      </w:r>
      <w:r w:rsidR="00C44660">
        <w:rPr>
          <w:rFonts w:eastAsiaTheme="minorHAnsi"/>
        </w:rPr>
        <w:t xml:space="preserve"> is </w:t>
      </w:r>
      <w:r w:rsidR="00190CAF">
        <w:rPr>
          <w:rFonts w:eastAsiaTheme="minorHAnsi"/>
        </w:rPr>
        <w:t xml:space="preserve">configured </w:t>
      </w:r>
      <w:r w:rsidR="00C44660">
        <w:rPr>
          <w:rFonts w:eastAsiaTheme="minorHAnsi"/>
        </w:rPr>
        <w:t>or not, but if configured</w:t>
      </w:r>
      <w:r w:rsidR="00717CDD">
        <w:rPr>
          <w:rFonts w:eastAsiaTheme="minorHAnsi"/>
        </w:rPr>
        <w:t>,</w:t>
      </w:r>
      <w:r w:rsidR="00C44660">
        <w:rPr>
          <w:rFonts w:eastAsiaTheme="minorHAnsi"/>
        </w:rPr>
        <w:t xml:space="preserve"> the UE does not need to transmit the HARQ-ACK and then saves power.</w:t>
      </w:r>
      <w:r w:rsidR="00711495">
        <w:rPr>
          <w:rFonts w:eastAsiaTheme="minorHAnsi"/>
        </w:rPr>
        <w:t xml:space="preserve"> </w:t>
      </w:r>
    </w:p>
    <w:p w14:paraId="234C7482" w14:textId="15E56AB7" w:rsidR="005A5BDA" w:rsidRPr="005A5BDA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 w:rsidRPr="00234B6D">
        <w:rPr>
          <w:b/>
        </w:rPr>
        <w:lastRenderedPageBreak/>
        <w:t xml:space="preserve">Proposal 1: For IoT NTN, </w:t>
      </w:r>
      <w:r>
        <w:rPr>
          <w:b/>
          <w:lang w:eastAsia="x-none"/>
        </w:rPr>
        <w:t>e</w:t>
      </w:r>
      <w:r w:rsidR="006E58A4">
        <w:rPr>
          <w:b/>
          <w:lang w:eastAsia="x-none"/>
        </w:rPr>
        <w:t xml:space="preserve">nabling/disabling </w:t>
      </w:r>
      <w:r w:rsidRPr="00234B6D">
        <w:rPr>
          <w:b/>
          <w:lang w:eastAsia="x-none"/>
        </w:rPr>
        <w:t>HARQ feedback for downlink transmission should be at least configurable per HARQ process via UE</w:t>
      </w:r>
      <w:r w:rsidR="00190CAF">
        <w:rPr>
          <w:b/>
          <w:lang w:eastAsia="x-none"/>
        </w:rPr>
        <w:t>-</w:t>
      </w:r>
      <w:r w:rsidRPr="00234B6D">
        <w:rPr>
          <w:b/>
          <w:lang w:eastAsia="x-none"/>
        </w:rPr>
        <w:t>specific RRC signalling</w:t>
      </w:r>
      <w:r>
        <w:rPr>
          <w:b/>
          <w:lang w:eastAsia="x-none"/>
        </w:rPr>
        <w:t>.</w:t>
      </w:r>
    </w:p>
    <w:p w14:paraId="7CC98278" w14:textId="77777777" w:rsidR="0080550A" w:rsidRDefault="0080550A" w:rsidP="005A5BDA">
      <w:pPr>
        <w:spacing w:after="120" w:line="240" w:lineRule="auto"/>
        <w:ind w:firstLineChars="0" w:firstLine="0"/>
      </w:pPr>
    </w:p>
    <w:p w14:paraId="3A561FC0" w14:textId="77C28732" w:rsidR="00BE59EC" w:rsidRDefault="00C44660" w:rsidP="005A5BDA">
      <w:pPr>
        <w:spacing w:after="120" w:line="240" w:lineRule="auto"/>
        <w:ind w:firstLineChars="0" w:firstLine="0"/>
      </w:pPr>
      <w:r>
        <w:t xml:space="preserve">The number of HARQ processes for NB-IoT </w:t>
      </w:r>
      <w:r w:rsidRPr="00595FDB">
        <w:t>can be 1 or 2, hence the benefits of disabling HARQ feedback might be smaller than for eMTC or NR</w:t>
      </w:r>
      <w:r w:rsidR="00711495" w:rsidRPr="00595FDB">
        <w:t xml:space="preserve"> and the feature might be </w:t>
      </w:r>
      <w:r w:rsidR="003C052B" w:rsidRPr="00595FDB">
        <w:t>less useful. Also</w:t>
      </w:r>
      <w:r w:rsidR="003C052B">
        <w:t xml:space="preserve"> whether to allow disabling the HARQ feedback for the case of single HARQ process needs further consideration</w:t>
      </w:r>
      <w:r w:rsidR="00711495">
        <w:t>.</w:t>
      </w:r>
      <w:r w:rsidR="00874C2F">
        <w:t xml:space="preserve"> </w:t>
      </w:r>
      <w:r w:rsidR="00BE59EC">
        <w:t xml:space="preserve">Similarly, it needs to be discussed whether to allow disabling HARQ feedback for all processes when more than one HARQ process is configured. </w:t>
      </w:r>
    </w:p>
    <w:p w14:paraId="7558CC43" w14:textId="6FC98480" w:rsidR="005A5BDA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2</w:t>
      </w:r>
      <w:r w:rsidRPr="00234B6D">
        <w:rPr>
          <w:b/>
        </w:rPr>
        <w:t xml:space="preserve">: </w:t>
      </w:r>
      <w:r>
        <w:rPr>
          <w:b/>
        </w:rPr>
        <w:t>Further discuss</w:t>
      </w:r>
      <w:r w:rsidR="003E3EC2">
        <w:rPr>
          <w:b/>
        </w:rPr>
        <w:t xml:space="preserve"> whether to allow disabling of HARQ feedback for </w:t>
      </w:r>
      <w:r w:rsidR="002E2502">
        <w:rPr>
          <w:b/>
        </w:rPr>
        <w:t xml:space="preserve">NB-IoT with a single HARQ process, and whether to allow disabling HARQ feedback for all HARQ processes when </w:t>
      </w:r>
      <w:r w:rsidR="00AA1AA4">
        <w:rPr>
          <w:b/>
        </w:rPr>
        <w:t>multiple</w:t>
      </w:r>
      <w:r w:rsidR="002E2502">
        <w:rPr>
          <w:b/>
        </w:rPr>
        <w:t xml:space="preserve"> HARQ process</w:t>
      </w:r>
      <w:r w:rsidR="00AA1AA4">
        <w:rPr>
          <w:b/>
        </w:rPr>
        <w:t xml:space="preserve">es are </w:t>
      </w:r>
      <w:r w:rsidR="00190CAF">
        <w:rPr>
          <w:b/>
        </w:rPr>
        <w:t>configured</w:t>
      </w:r>
      <w:r w:rsidR="00AA1AA4">
        <w:rPr>
          <w:b/>
        </w:rPr>
        <w:t xml:space="preserve">. </w:t>
      </w:r>
      <w:r w:rsidR="002E2502">
        <w:rPr>
          <w:b/>
        </w:rPr>
        <w:t xml:space="preserve"> </w:t>
      </w:r>
    </w:p>
    <w:p w14:paraId="2B54C970" w14:textId="77777777" w:rsidR="00753A6E" w:rsidRDefault="00753A6E" w:rsidP="005A5BDA">
      <w:pPr>
        <w:spacing w:after="120" w:line="240" w:lineRule="auto"/>
        <w:ind w:firstLineChars="0" w:firstLine="0"/>
      </w:pPr>
    </w:p>
    <w:p w14:paraId="13343E07" w14:textId="20ED02C9" w:rsidR="007E5B2A" w:rsidRDefault="0080550A" w:rsidP="007E5B2A">
      <w:pPr>
        <w:spacing w:after="120" w:line="240" w:lineRule="auto"/>
        <w:ind w:firstLineChars="0" w:firstLine="0"/>
        <w:rPr>
          <w:color w:val="0D0D0D"/>
        </w:rPr>
      </w:pPr>
      <w:r>
        <w:t>Another aspect to consider is</w:t>
      </w:r>
      <w:r w:rsidR="007E5B2A">
        <w:t xml:space="preserve"> </w:t>
      </w:r>
      <w:r w:rsidR="00AA1AA4">
        <w:t xml:space="preserve">the need to </w:t>
      </w:r>
      <w:r w:rsidR="007E5B2A">
        <w:t>r</w:t>
      </w:r>
      <w:r w:rsidR="00AA1AA4">
        <w:rPr>
          <w:color w:val="0D0D0D"/>
        </w:rPr>
        <w:t xml:space="preserve">eport </w:t>
      </w:r>
      <w:r w:rsidR="007E5B2A" w:rsidRPr="003D1BFF">
        <w:rPr>
          <w:color w:val="0D0D0D"/>
        </w:rPr>
        <w:t xml:space="preserve">additional information by a UE </w:t>
      </w:r>
      <w:r w:rsidR="007E5B2A">
        <w:rPr>
          <w:color w:val="0D0D0D"/>
        </w:rPr>
        <w:t xml:space="preserve">in order to assist the network in configuring </w:t>
      </w:r>
      <w:r w:rsidR="00AA1AA4">
        <w:rPr>
          <w:color w:val="0D0D0D"/>
        </w:rPr>
        <w:t>enabling/</w:t>
      </w:r>
      <w:r w:rsidR="007E5B2A">
        <w:rPr>
          <w:color w:val="0D0D0D"/>
        </w:rPr>
        <w:t xml:space="preserve">disabling HARQ feedback. </w:t>
      </w:r>
      <w:r w:rsidR="00AA1AA4">
        <w:rPr>
          <w:color w:val="0D0D0D"/>
        </w:rPr>
        <w:t>As discussed during the Rel-17 SI [2], t</w:t>
      </w:r>
      <w:r w:rsidR="002E2502">
        <w:rPr>
          <w:color w:val="0D0D0D"/>
        </w:rPr>
        <w:t>he additional information can be signaling that a</w:t>
      </w:r>
      <w:r w:rsidR="007E5B2A" w:rsidRPr="003D1BFF">
        <w:rPr>
          <w:color w:val="0D0D0D"/>
        </w:rPr>
        <w:t xml:space="preserve"> sufficient number of repetitions has </w:t>
      </w:r>
      <w:r w:rsidR="002E2502">
        <w:rPr>
          <w:color w:val="0D0D0D"/>
        </w:rPr>
        <w:t xml:space="preserve">already </w:t>
      </w:r>
      <w:r w:rsidR="00595FDB">
        <w:rPr>
          <w:color w:val="0D0D0D"/>
        </w:rPr>
        <w:t xml:space="preserve">been transmitted, </w:t>
      </w:r>
      <w:r w:rsidR="002E2502">
        <w:rPr>
          <w:color w:val="0D0D0D"/>
        </w:rPr>
        <w:t>requesting a</w:t>
      </w:r>
      <w:r w:rsidR="007E5B2A" w:rsidRPr="003D1BFF">
        <w:rPr>
          <w:color w:val="0D0D0D"/>
        </w:rPr>
        <w:t xml:space="preserve"> number of repetition, </w:t>
      </w:r>
      <w:r w:rsidR="002E2502">
        <w:rPr>
          <w:color w:val="0D0D0D"/>
        </w:rPr>
        <w:t>reporting</w:t>
      </w:r>
      <w:r w:rsidR="007E5B2A" w:rsidRPr="003D1BFF">
        <w:rPr>
          <w:color w:val="0D0D0D"/>
        </w:rPr>
        <w:t xml:space="preserve"> buffer status</w:t>
      </w:r>
      <w:r w:rsidR="002E2502">
        <w:rPr>
          <w:color w:val="0D0D0D"/>
        </w:rPr>
        <w:t xml:space="preserve"> for HARQ operation</w:t>
      </w:r>
      <w:r w:rsidR="007E5B2A" w:rsidRPr="003D1BFF">
        <w:rPr>
          <w:color w:val="0D0D0D"/>
        </w:rPr>
        <w:t xml:space="preserve">, </w:t>
      </w:r>
      <w:r w:rsidR="002E2502">
        <w:rPr>
          <w:color w:val="0D0D0D"/>
        </w:rPr>
        <w:t xml:space="preserve">explicit indication to request </w:t>
      </w:r>
      <w:r w:rsidR="007E5B2A" w:rsidRPr="003D1BFF">
        <w:rPr>
          <w:color w:val="0D0D0D"/>
        </w:rPr>
        <w:t>enabling/disabling HARQ feedback, etc</w:t>
      </w:r>
      <w:r w:rsidR="002E2502">
        <w:rPr>
          <w:color w:val="0D0D0D"/>
        </w:rPr>
        <w:t>.</w:t>
      </w:r>
    </w:p>
    <w:p w14:paraId="3ECCA4F9" w14:textId="6BA835FA" w:rsidR="002E2502" w:rsidRDefault="002E2502" w:rsidP="002E2502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AA1AA4">
        <w:rPr>
          <w:b/>
        </w:rPr>
        <w:t>3</w:t>
      </w:r>
      <w:r w:rsidRPr="00234B6D">
        <w:rPr>
          <w:b/>
        </w:rPr>
        <w:t xml:space="preserve">: </w:t>
      </w:r>
      <w:r>
        <w:rPr>
          <w:b/>
        </w:rPr>
        <w:t xml:space="preserve">Further discuss </w:t>
      </w:r>
      <w:r w:rsidR="00595FDB">
        <w:rPr>
          <w:b/>
        </w:rPr>
        <w:t>the reporting</w:t>
      </w:r>
      <w:r w:rsidR="00751584">
        <w:rPr>
          <w:b/>
        </w:rPr>
        <w:t xml:space="preserve"> </w:t>
      </w:r>
      <w:r w:rsidR="00595FDB">
        <w:rPr>
          <w:b/>
        </w:rPr>
        <w:t xml:space="preserve">of </w:t>
      </w:r>
      <w:r w:rsidR="00751584">
        <w:rPr>
          <w:b/>
        </w:rPr>
        <w:t>additional information by the UE</w:t>
      </w:r>
      <w:r>
        <w:rPr>
          <w:b/>
          <w:lang w:eastAsia="x-none"/>
        </w:rPr>
        <w:t>.</w:t>
      </w:r>
    </w:p>
    <w:p w14:paraId="76B4F7AE" w14:textId="05F9015C" w:rsidR="00E70992" w:rsidRDefault="00E70992" w:rsidP="003C1730">
      <w:pPr>
        <w:spacing w:after="120" w:line="24" w:lineRule="atLeast"/>
        <w:ind w:firstLineChars="0" w:firstLine="0"/>
        <w:rPr>
          <w:b/>
        </w:rPr>
      </w:pPr>
    </w:p>
    <w:p w14:paraId="14F2906F" w14:textId="77777777" w:rsidR="00BA1D3B" w:rsidRPr="001E4399" w:rsidRDefault="00BA1D3B" w:rsidP="003C1730">
      <w:pPr>
        <w:pStyle w:val="Heading1"/>
        <w:pBdr>
          <w:top w:val="single" w:sz="12" w:space="6" w:color="auto"/>
        </w:pBdr>
        <w:spacing w:before="60" w:after="120" w:line="24" w:lineRule="atLeast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t>Conclusion</w:t>
      </w:r>
    </w:p>
    <w:p w14:paraId="0C4D2EAB" w14:textId="043F6AB5" w:rsidR="004119A9" w:rsidRPr="00595FDB" w:rsidRDefault="00BA1D3B" w:rsidP="003C1730">
      <w:pPr>
        <w:spacing w:after="120" w:line="24" w:lineRule="atLeast"/>
        <w:ind w:firstLineChars="0" w:firstLine="0"/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524CABBD" w14:textId="3F909C3B" w:rsidR="00AA1AA4" w:rsidRPr="005A5BDA" w:rsidRDefault="00AA1AA4" w:rsidP="00AA1AA4">
      <w:pPr>
        <w:spacing w:after="120" w:line="240" w:lineRule="auto"/>
        <w:ind w:firstLineChars="0" w:firstLine="0"/>
        <w:rPr>
          <w:b/>
          <w:lang w:eastAsia="x-none"/>
        </w:rPr>
      </w:pPr>
      <w:r w:rsidRPr="00234B6D">
        <w:rPr>
          <w:b/>
        </w:rPr>
        <w:t xml:space="preserve">Proposal 1: For IoT NTN, </w:t>
      </w:r>
      <w:r>
        <w:rPr>
          <w:b/>
          <w:lang w:eastAsia="x-none"/>
        </w:rPr>
        <w:t>e</w:t>
      </w:r>
      <w:r w:rsidR="006E58A4">
        <w:rPr>
          <w:b/>
          <w:lang w:eastAsia="x-none"/>
        </w:rPr>
        <w:t>nabling/disabling</w:t>
      </w:r>
      <w:r w:rsidRPr="00234B6D">
        <w:rPr>
          <w:b/>
          <w:lang w:eastAsia="x-none"/>
        </w:rPr>
        <w:t xml:space="preserve"> HARQ feedback for downlink transmission should be at least configurable per HARQ process via UE</w:t>
      </w:r>
      <w:r w:rsidR="00190CAF">
        <w:rPr>
          <w:b/>
          <w:lang w:eastAsia="x-none"/>
        </w:rPr>
        <w:t>-</w:t>
      </w:r>
      <w:r w:rsidRPr="00234B6D">
        <w:rPr>
          <w:b/>
          <w:lang w:eastAsia="x-none"/>
        </w:rPr>
        <w:t>specific RRC signalling</w:t>
      </w:r>
      <w:r>
        <w:rPr>
          <w:b/>
          <w:lang w:eastAsia="x-none"/>
        </w:rPr>
        <w:t>.</w:t>
      </w:r>
    </w:p>
    <w:p w14:paraId="036726E9" w14:textId="29C65AA7" w:rsidR="00AA1AA4" w:rsidRDefault="00AA1AA4" w:rsidP="00AA1AA4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2</w:t>
      </w:r>
      <w:r w:rsidRPr="00234B6D">
        <w:rPr>
          <w:b/>
        </w:rPr>
        <w:t xml:space="preserve">: </w:t>
      </w:r>
      <w:r>
        <w:rPr>
          <w:b/>
        </w:rPr>
        <w:t xml:space="preserve">Further discuss whether to allow disabling of HARQ feedback for NB-IoT with a single HARQ process, and whether to allow disabling HARQ feedback for all HARQ processes when multiple HARQ processes are </w:t>
      </w:r>
      <w:r w:rsidR="00190CAF">
        <w:rPr>
          <w:b/>
        </w:rPr>
        <w:t>configured</w:t>
      </w:r>
      <w:r>
        <w:rPr>
          <w:b/>
        </w:rPr>
        <w:t xml:space="preserve">.  </w:t>
      </w:r>
    </w:p>
    <w:p w14:paraId="64E6D3F9" w14:textId="77777777" w:rsidR="00817C09" w:rsidRDefault="00817C09" w:rsidP="00817C09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3</w:t>
      </w:r>
      <w:r w:rsidRPr="00234B6D">
        <w:rPr>
          <w:b/>
        </w:rPr>
        <w:t xml:space="preserve">: </w:t>
      </w:r>
      <w:r>
        <w:rPr>
          <w:b/>
        </w:rPr>
        <w:t>Further discuss the reporting of additional information by the UE</w:t>
      </w:r>
      <w:r>
        <w:rPr>
          <w:b/>
          <w:lang w:eastAsia="x-none"/>
        </w:rPr>
        <w:t>.</w:t>
      </w:r>
    </w:p>
    <w:p w14:paraId="58B7AE5D" w14:textId="77777777" w:rsidR="00A35616" w:rsidRPr="00FD2BB7" w:rsidRDefault="00A35616" w:rsidP="003C1730">
      <w:pPr>
        <w:spacing w:after="120" w:line="24" w:lineRule="atLeast"/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14A609AC" w14:textId="20A025A0" w:rsidR="003B1204" w:rsidRDefault="00574194" w:rsidP="0057419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3B1204">
        <w:rPr>
          <w:rFonts w:ascii="Times New Roman" w:hAnsi="Times New Roman" w:cs="Times New Roman"/>
          <w:color w:val="auto"/>
          <w:lang w:eastAsia="ko-KR"/>
        </w:rPr>
        <w:t>-</w:t>
      </w:r>
      <w:r w:rsidR="0092094B">
        <w:rPr>
          <w:rFonts w:ascii="Times New Roman" w:hAnsi="Times New Roman" w:cs="Times New Roman"/>
          <w:color w:val="auto"/>
          <w:lang w:eastAsia="ko-KR"/>
        </w:rPr>
        <w:t>220979</w:t>
      </w:r>
      <w:r w:rsidR="003B1204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92094B" w:rsidRPr="0092094B">
        <w:rPr>
          <w:rFonts w:ascii="Times New Roman" w:hAnsi="Times New Roman" w:cs="Times New Roman"/>
          <w:iCs/>
          <w:color w:val="auto"/>
          <w:lang w:val="en-US" w:eastAsia="ko-KR"/>
        </w:rPr>
        <w:t>WID on IoT NTN enhancements</w:t>
      </w:r>
      <w:r>
        <w:rPr>
          <w:rFonts w:ascii="Times New Roman" w:hAnsi="Times New Roman" w:cs="Times New Roman"/>
          <w:color w:val="auto"/>
          <w:lang w:eastAsia="ko-KR"/>
        </w:rPr>
        <w:t>, RAN#9</w:t>
      </w:r>
      <w:r w:rsidR="0092094B">
        <w:rPr>
          <w:rFonts w:ascii="Times New Roman" w:hAnsi="Times New Roman" w:cs="Times New Roman"/>
          <w:color w:val="auto"/>
          <w:lang w:eastAsia="ko-KR"/>
        </w:rPr>
        <w:t>5</w:t>
      </w:r>
      <w:r>
        <w:rPr>
          <w:rFonts w:ascii="Times New Roman" w:hAnsi="Times New Roman" w:cs="Times New Roman"/>
          <w:color w:val="auto"/>
          <w:lang w:eastAsia="ko-KR"/>
        </w:rPr>
        <w:t xml:space="preserve">-e, </w:t>
      </w:r>
      <w:r w:rsidR="0092094B">
        <w:rPr>
          <w:rFonts w:ascii="Times New Roman" w:hAnsi="Times New Roman" w:cs="Times New Roman"/>
          <w:color w:val="auto"/>
          <w:lang w:eastAsia="ko-KR"/>
        </w:rPr>
        <w:t>March 2022</w:t>
      </w:r>
      <w:r>
        <w:rPr>
          <w:rFonts w:ascii="Times New Roman" w:hAnsi="Times New Roman" w:cs="Times New Roman"/>
          <w:color w:val="auto"/>
          <w:lang w:eastAsia="ko-KR"/>
        </w:rPr>
        <w:t>.</w:t>
      </w:r>
    </w:p>
    <w:p w14:paraId="53FD49E5" w14:textId="03B33957" w:rsidR="00177A0D" w:rsidRPr="00AA1AA4" w:rsidRDefault="00574194" w:rsidP="00AA1AA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F7362F">
        <w:rPr>
          <w:rFonts w:ascii="Times New Roman" w:hAnsi="Times New Roman" w:cs="Times New Roman"/>
          <w:color w:val="auto"/>
          <w:lang w:eastAsia="ko-KR"/>
        </w:rPr>
        <w:t>RP-211456, 3GPP TR 36.763 V1.0.0 (2021-05).</w:t>
      </w:r>
    </w:p>
    <w:sectPr w:rsidR="00177A0D" w:rsidRPr="00AA1AA4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A8941" w14:textId="77777777" w:rsidR="009322C8" w:rsidRDefault="009322C8" w:rsidP="007378B8">
      <w:r>
        <w:separator/>
      </w:r>
    </w:p>
  </w:endnote>
  <w:endnote w:type="continuationSeparator" w:id="0">
    <w:p w14:paraId="6704902E" w14:textId="77777777" w:rsidR="009322C8" w:rsidRDefault="009322C8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425F4FFE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D001ED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B4ECA" w14:textId="77777777" w:rsidR="009322C8" w:rsidRDefault="009322C8" w:rsidP="007378B8">
      <w:r>
        <w:separator/>
      </w:r>
    </w:p>
  </w:footnote>
  <w:footnote w:type="continuationSeparator" w:id="0">
    <w:p w14:paraId="0EEDB1B4" w14:textId="77777777" w:rsidR="009322C8" w:rsidRDefault="009322C8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F1C4B"/>
    <w:multiLevelType w:val="hybridMultilevel"/>
    <w:tmpl w:val="92B49746"/>
    <w:lvl w:ilvl="0" w:tplc="181C4DF8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 w15:restartNumberingAfterBreak="0">
    <w:nsid w:val="055240A6"/>
    <w:multiLevelType w:val="hybridMultilevel"/>
    <w:tmpl w:val="09D8E0A0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B2FCE"/>
    <w:multiLevelType w:val="hybridMultilevel"/>
    <w:tmpl w:val="9FF85DF0"/>
    <w:lvl w:ilvl="0" w:tplc="652E1308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7759F"/>
    <w:multiLevelType w:val="hybridMultilevel"/>
    <w:tmpl w:val="15F6E928"/>
    <w:lvl w:ilvl="0" w:tplc="F0E40A1C">
      <w:start w:val="5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8" w15:restartNumberingAfterBreak="0">
    <w:nsid w:val="14F6513F"/>
    <w:multiLevelType w:val="hybridMultilevel"/>
    <w:tmpl w:val="2BA4B02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58A06EB"/>
    <w:multiLevelType w:val="hybridMultilevel"/>
    <w:tmpl w:val="62E6B1A0"/>
    <w:lvl w:ilvl="0" w:tplc="8E000266"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B341E3"/>
    <w:multiLevelType w:val="hybridMultilevel"/>
    <w:tmpl w:val="E7344F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862723A"/>
    <w:multiLevelType w:val="hybridMultilevel"/>
    <w:tmpl w:val="E0C43A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6594B"/>
    <w:multiLevelType w:val="hybridMultilevel"/>
    <w:tmpl w:val="1116E80E"/>
    <w:lvl w:ilvl="0" w:tplc="CF660884"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5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C4903C4"/>
    <w:multiLevelType w:val="hybridMultilevel"/>
    <w:tmpl w:val="3DBA7F12"/>
    <w:lvl w:ilvl="0" w:tplc="AAF043BA"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8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87A3F67"/>
    <w:multiLevelType w:val="hybridMultilevel"/>
    <w:tmpl w:val="163A324A"/>
    <w:lvl w:ilvl="0" w:tplc="3782D6C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57536F5"/>
    <w:multiLevelType w:val="hybridMultilevel"/>
    <w:tmpl w:val="A42EE29A"/>
    <w:lvl w:ilvl="0" w:tplc="B75A8DC8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803862"/>
    <w:multiLevelType w:val="hybridMultilevel"/>
    <w:tmpl w:val="6DE42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0148A7"/>
    <w:multiLevelType w:val="hybridMultilevel"/>
    <w:tmpl w:val="2A42B25C"/>
    <w:lvl w:ilvl="0" w:tplc="393AC716">
      <w:start w:val="5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2" w15:restartNumberingAfterBreak="0">
    <w:nsid w:val="64990D01"/>
    <w:multiLevelType w:val="hybridMultilevel"/>
    <w:tmpl w:val="890AD6BA"/>
    <w:lvl w:ilvl="0" w:tplc="EF2025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6648C"/>
    <w:multiLevelType w:val="hybridMultilevel"/>
    <w:tmpl w:val="4DD65FC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4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9E69F0"/>
    <w:multiLevelType w:val="hybridMultilevel"/>
    <w:tmpl w:val="CD4A1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8"/>
  </w:num>
  <w:num w:numId="3">
    <w:abstractNumId w:val="21"/>
  </w:num>
  <w:num w:numId="4">
    <w:abstractNumId w:val="35"/>
  </w:num>
  <w:num w:numId="5">
    <w:abstractNumId w:val="1"/>
  </w:num>
  <w:num w:numId="6">
    <w:abstractNumId w:val="13"/>
  </w:num>
  <w:num w:numId="7">
    <w:abstractNumId w:val="46"/>
  </w:num>
  <w:num w:numId="8">
    <w:abstractNumId w:val="2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40"/>
  </w:num>
  <w:num w:numId="12">
    <w:abstractNumId w:val="39"/>
  </w:num>
  <w:num w:numId="13">
    <w:abstractNumId w:val="6"/>
  </w:num>
  <w:num w:numId="14">
    <w:abstractNumId w:val="15"/>
  </w:num>
  <w:num w:numId="15">
    <w:abstractNumId w:val="26"/>
  </w:num>
  <w:num w:numId="16">
    <w:abstractNumId w:val="12"/>
  </w:num>
  <w:num w:numId="17">
    <w:abstractNumId w:val="10"/>
  </w:num>
  <w:num w:numId="18">
    <w:abstractNumId w:val="36"/>
  </w:num>
  <w:num w:numId="19">
    <w:abstractNumId w:val="28"/>
  </w:num>
  <w:num w:numId="20">
    <w:abstractNumId w:val="32"/>
  </w:num>
  <w:num w:numId="21">
    <w:abstractNumId w:val="29"/>
  </w:num>
  <w:num w:numId="22">
    <w:abstractNumId w:val="25"/>
  </w:num>
  <w:num w:numId="23">
    <w:abstractNumId w:val="11"/>
  </w:num>
  <w:num w:numId="24">
    <w:abstractNumId w:val="38"/>
  </w:num>
  <w:num w:numId="25">
    <w:abstractNumId w:val="19"/>
  </w:num>
  <w:num w:numId="26">
    <w:abstractNumId w:val="8"/>
  </w:num>
  <w:num w:numId="27">
    <w:abstractNumId w:val="3"/>
  </w:num>
  <w:num w:numId="28">
    <w:abstractNumId w:val="7"/>
  </w:num>
  <w:num w:numId="29">
    <w:abstractNumId w:val="45"/>
  </w:num>
  <w:num w:numId="30">
    <w:abstractNumId w:val="14"/>
  </w:num>
  <w:num w:numId="31">
    <w:abstractNumId w:val="27"/>
  </w:num>
  <w:num w:numId="32">
    <w:abstractNumId w:val="47"/>
  </w:num>
  <w:num w:numId="33">
    <w:abstractNumId w:val="18"/>
  </w:num>
  <w:num w:numId="34">
    <w:abstractNumId w:val="34"/>
  </w:num>
  <w:num w:numId="35">
    <w:abstractNumId w:val="37"/>
  </w:num>
  <w:num w:numId="36">
    <w:abstractNumId w:val="42"/>
  </w:num>
  <w:num w:numId="37">
    <w:abstractNumId w:val="44"/>
  </w:num>
  <w:num w:numId="38">
    <w:abstractNumId w:val="23"/>
  </w:num>
  <w:num w:numId="39">
    <w:abstractNumId w:val="22"/>
  </w:num>
  <w:num w:numId="40">
    <w:abstractNumId w:val="5"/>
  </w:num>
  <w:num w:numId="41">
    <w:abstractNumId w:val="9"/>
  </w:num>
  <w:num w:numId="42">
    <w:abstractNumId w:val="33"/>
  </w:num>
  <w:num w:numId="43">
    <w:abstractNumId w:val="43"/>
  </w:num>
  <w:num w:numId="44">
    <w:abstractNumId w:val="24"/>
  </w:num>
  <w:num w:numId="45">
    <w:abstractNumId w:val="41"/>
  </w:num>
  <w:num w:numId="46">
    <w:abstractNumId w:val="31"/>
  </w:num>
  <w:num w:numId="47">
    <w:abstractNumId w:val="4"/>
  </w:num>
  <w:num w:numId="48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32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0D6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6CA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0CAF"/>
    <w:rsid w:val="001918B4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D0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58A"/>
    <w:rsid w:val="00234B64"/>
    <w:rsid w:val="00234B6D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4D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4B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B14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4D7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48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502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197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F66"/>
    <w:rsid w:val="003430DB"/>
    <w:rsid w:val="00343659"/>
    <w:rsid w:val="00343883"/>
    <w:rsid w:val="003438E3"/>
    <w:rsid w:val="0034391D"/>
    <w:rsid w:val="00343FC4"/>
    <w:rsid w:val="00344123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52B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3EC2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A77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0B8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3F02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5FDB"/>
    <w:rsid w:val="005962BA"/>
    <w:rsid w:val="005965C9"/>
    <w:rsid w:val="00596725"/>
    <w:rsid w:val="005968F8"/>
    <w:rsid w:val="00596D78"/>
    <w:rsid w:val="00596DF2"/>
    <w:rsid w:val="00596F8D"/>
    <w:rsid w:val="00597152"/>
    <w:rsid w:val="00597197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816"/>
    <w:rsid w:val="005A5BDA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AB1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36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8A4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90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555"/>
    <w:rsid w:val="007108BC"/>
    <w:rsid w:val="00710A5D"/>
    <w:rsid w:val="00710B84"/>
    <w:rsid w:val="00710DEA"/>
    <w:rsid w:val="007110F2"/>
    <w:rsid w:val="00711495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17CDD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584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A6E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6309"/>
    <w:rsid w:val="007B66F7"/>
    <w:rsid w:val="007B673B"/>
    <w:rsid w:val="007B6A52"/>
    <w:rsid w:val="007B7171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B2A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50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09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1A1C"/>
    <w:rsid w:val="00831FD6"/>
    <w:rsid w:val="008322CE"/>
    <w:rsid w:val="008322E0"/>
    <w:rsid w:val="008323BA"/>
    <w:rsid w:val="00832A1F"/>
    <w:rsid w:val="00833317"/>
    <w:rsid w:val="00833348"/>
    <w:rsid w:val="00833817"/>
    <w:rsid w:val="00833ECC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9C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591"/>
    <w:rsid w:val="00873735"/>
    <w:rsid w:val="00873755"/>
    <w:rsid w:val="00873A0C"/>
    <w:rsid w:val="00873A11"/>
    <w:rsid w:val="00873A15"/>
    <w:rsid w:val="00874341"/>
    <w:rsid w:val="00874C2F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94B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2C8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A6"/>
    <w:rsid w:val="009B2F88"/>
    <w:rsid w:val="009B35BC"/>
    <w:rsid w:val="009B37AC"/>
    <w:rsid w:val="009B3B71"/>
    <w:rsid w:val="009B3CB2"/>
    <w:rsid w:val="009B40CA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77A4"/>
    <w:rsid w:val="00A07B5D"/>
    <w:rsid w:val="00A10216"/>
    <w:rsid w:val="00A1080F"/>
    <w:rsid w:val="00A10824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AA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7CB"/>
    <w:rsid w:val="00AC7848"/>
    <w:rsid w:val="00AC79B0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9EC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660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A23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1ED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33D"/>
    <w:rsid w:val="00D10646"/>
    <w:rsid w:val="00D10C73"/>
    <w:rsid w:val="00D10F41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3E6D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1E25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62F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9ACB-51E0-4306-B0E7-2FEFCFD4E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Samsung</cp:lastModifiedBy>
  <cp:revision>11</cp:revision>
  <dcterms:created xsi:type="dcterms:W3CDTF">2022-04-29T16:57:00Z</dcterms:created>
  <dcterms:modified xsi:type="dcterms:W3CDTF">2022-04-29T17:56:00Z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