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030D1" w14:textId="77777777" w:rsidR="003271F1" w:rsidRDefault="003271F1" w:rsidP="00873F07">
      <w:pPr>
        <w:pStyle w:val="3GPPHeader"/>
        <w:spacing w:after="60"/>
      </w:pPr>
    </w:p>
    <w:p w14:paraId="6F4388E5" w14:textId="2890E072" w:rsidR="00E90E49" w:rsidRPr="001E7AD0" w:rsidRDefault="00E90E49" w:rsidP="00873F07">
      <w:pPr>
        <w:pStyle w:val="3GPPHeader"/>
        <w:spacing w:after="60"/>
        <w:rPr>
          <w:sz w:val="32"/>
          <w:szCs w:val="32"/>
          <w:highlight w:val="yellow"/>
        </w:rPr>
      </w:pPr>
      <w:r w:rsidRPr="001E7AD0">
        <w:t>3GPP TSG-RAN WG</w:t>
      </w:r>
      <w:r w:rsidR="008F1C4E" w:rsidRPr="001E7AD0">
        <w:t>1</w:t>
      </w:r>
      <w:r w:rsidRPr="001E7AD0">
        <w:t xml:space="preserve"> </w:t>
      </w:r>
      <w:r w:rsidR="008F1C4E" w:rsidRPr="001E7AD0">
        <w:t xml:space="preserve">Meeting </w:t>
      </w:r>
      <w:r w:rsidRPr="001E7AD0">
        <w:t>#</w:t>
      </w:r>
      <w:r w:rsidR="00D66AD1" w:rsidRPr="001E7AD0">
        <w:t>10</w:t>
      </w:r>
      <w:r w:rsidR="005757C0">
        <w:t>9</w:t>
      </w:r>
      <w:r w:rsidR="007E4F91" w:rsidRPr="001E7AD0">
        <w:t>-e</w:t>
      </w:r>
      <w:r w:rsidRPr="001E7AD0">
        <w:tab/>
      </w:r>
      <w:r w:rsidR="005757C0" w:rsidRPr="007E6055">
        <w:rPr>
          <w:color w:val="000000" w:themeColor="text1"/>
          <w:sz w:val="32"/>
          <w:szCs w:val="32"/>
        </w:rPr>
        <w:t>R</w:t>
      </w:r>
      <w:r w:rsidR="001D6832" w:rsidRPr="007E6055">
        <w:rPr>
          <w:color w:val="000000" w:themeColor="text1"/>
          <w:sz w:val="32"/>
          <w:szCs w:val="32"/>
        </w:rPr>
        <w:t>1-2</w:t>
      </w:r>
      <w:r w:rsidR="005757C0" w:rsidRPr="007E6055">
        <w:rPr>
          <w:color w:val="000000" w:themeColor="text1"/>
          <w:sz w:val="32"/>
          <w:szCs w:val="32"/>
        </w:rPr>
        <w:t>2</w:t>
      </w:r>
      <w:r w:rsidR="007E6055" w:rsidRPr="007E6055">
        <w:rPr>
          <w:color w:val="000000" w:themeColor="text1"/>
          <w:sz w:val="32"/>
          <w:szCs w:val="32"/>
        </w:rPr>
        <w:t>039</w:t>
      </w:r>
      <w:r w:rsidR="005137A6">
        <w:rPr>
          <w:color w:val="000000" w:themeColor="text1"/>
          <w:sz w:val="32"/>
          <w:szCs w:val="32"/>
        </w:rPr>
        <w:t>26</w:t>
      </w:r>
    </w:p>
    <w:p w14:paraId="0CE7B7E6" w14:textId="503239E1" w:rsidR="00E90E49" w:rsidRPr="001E7AD0" w:rsidRDefault="005757C0" w:rsidP="00873F07">
      <w:pPr>
        <w:pStyle w:val="3GPPHeader"/>
      </w:pPr>
      <w:r>
        <w:t>e-Meeting</w:t>
      </w:r>
      <w:r w:rsidR="0027144F" w:rsidRPr="001E7AD0">
        <w:t>,</w:t>
      </w:r>
      <w:r w:rsidR="007E4F91" w:rsidRPr="001E7AD0">
        <w:t xml:space="preserve"> </w:t>
      </w:r>
      <w:r>
        <w:t>May 9</w:t>
      </w:r>
      <w:r w:rsidR="001D53E7" w:rsidRPr="001E7AD0">
        <w:rPr>
          <w:vertAlign w:val="superscript"/>
        </w:rPr>
        <w:t>th</w:t>
      </w:r>
      <w:r w:rsidR="007E4F91" w:rsidRPr="001E7AD0">
        <w:t xml:space="preserve"> </w:t>
      </w:r>
      <w:r w:rsidR="001D53E7" w:rsidRPr="001E7AD0">
        <w:t xml:space="preserve">– </w:t>
      </w:r>
      <w:r>
        <w:t>20</w:t>
      </w:r>
      <w:r w:rsidR="001D53E7" w:rsidRPr="001E7AD0">
        <w:rPr>
          <w:vertAlign w:val="superscript"/>
        </w:rPr>
        <w:t>th</w:t>
      </w:r>
      <w:r w:rsidR="007E4F91" w:rsidRPr="001E7AD0">
        <w:t xml:space="preserve"> </w:t>
      </w:r>
      <w:r w:rsidR="0027144F" w:rsidRPr="001E7AD0">
        <w:t>20</w:t>
      </w:r>
      <w:r w:rsidR="007E4F91" w:rsidRPr="001E7AD0">
        <w:t>2</w:t>
      </w:r>
      <w:r>
        <w:t>2</w:t>
      </w:r>
    </w:p>
    <w:p w14:paraId="3086AC07" w14:textId="77777777" w:rsidR="00E90E49" w:rsidRPr="001E7AD0" w:rsidRDefault="00E90E49" w:rsidP="00873F07">
      <w:pPr>
        <w:pStyle w:val="3GPPHeader"/>
      </w:pPr>
    </w:p>
    <w:p w14:paraId="3982483C" w14:textId="7D85A6AE" w:rsidR="00E90E49" w:rsidRPr="001E7AD0" w:rsidRDefault="00E90E49" w:rsidP="00873F07">
      <w:pPr>
        <w:pStyle w:val="3GPPHeader"/>
        <w:rPr>
          <w:sz w:val="22"/>
        </w:rPr>
      </w:pPr>
      <w:r w:rsidRPr="001E7AD0">
        <w:rPr>
          <w:sz w:val="22"/>
        </w:rPr>
        <w:t>Agenda Item:</w:t>
      </w:r>
      <w:r w:rsidRPr="001E7AD0">
        <w:rPr>
          <w:sz w:val="22"/>
        </w:rPr>
        <w:tab/>
      </w:r>
      <w:r w:rsidR="005757C0">
        <w:rPr>
          <w:sz w:val="22"/>
        </w:rPr>
        <w:t>9.</w:t>
      </w:r>
      <w:r w:rsidR="005137A6">
        <w:rPr>
          <w:sz w:val="22"/>
        </w:rPr>
        <w:t>10</w:t>
      </w:r>
      <w:r w:rsidR="005757C0">
        <w:rPr>
          <w:sz w:val="22"/>
        </w:rPr>
        <w:t>.</w:t>
      </w:r>
      <w:r w:rsidR="005137A6">
        <w:rPr>
          <w:sz w:val="22"/>
        </w:rPr>
        <w:t>2</w:t>
      </w:r>
    </w:p>
    <w:p w14:paraId="5619E868" w14:textId="1938667D" w:rsidR="00E90E49" w:rsidRPr="001E7AD0" w:rsidRDefault="003D3C45" w:rsidP="00873F07">
      <w:pPr>
        <w:pStyle w:val="3GPPHeader"/>
        <w:rPr>
          <w:sz w:val="22"/>
        </w:rPr>
      </w:pPr>
      <w:r w:rsidRPr="001E7AD0">
        <w:rPr>
          <w:sz w:val="22"/>
        </w:rPr>
        <w:t>Source:</w:t>
      </w:r>
      <w:r w:rsidR="00E90E49" w:rsidRPr="001E7AD0">
        <w:rPr>
          <w:sz w:val="22"/>
        </w:rPr>
        <w:tab/>
      </w:r>
      <w:r w:rsidR="005757C0">
        <w:rPr>
          <w:sz w:val="22"/>
        </w:rPr>
        <w:t>Samsung</w:t>
      </w:r>
    </w:p>
    <w:p w14:paraId="3AF5C9FA" w14:textId="3BCDEC33" w:rsidR="00E90E49" w:rsidRPr="007E6055" w:rsidRDefault="003D3C45" w:rsidP="00873F07">
      <w:pPr>
        <w:pStyle w:val="3GPPHeader"/>
        <w:rPr>
          <w:color w:val="000000" w:themeColor="text1"/>
          <w:sz w:val="22"/>
        </w:rPr>
      </w:pPr>
      <w:r w:rsidRPr="001E7AD0">
        <w:rPr>
          <w:sz w:val="22"/>
        </w:rPr>
        <w:t>Title:</w:t>
      </w:r>
      <w:r w:rsidR="00E90E49" w:rsidRPr="001E7AD0">
        <w:rPr>
          <w:sz w:val="22"/>
        </w:rPr>
        <w:tab/>
      </w:r>
      <w:r w:rsidR="005137A6">
        <w:rPr>
          <w:color w:val="000000" w:themeColor="text1"/>
          <w:sz w:val="22"/>
        </w:rPr>
        <w:t xml:space="preserve">UL </w:t>
      </w:r>
      <w:r w:rsidR="00D8077E">
        <w:rPr>
          <w:color w:val="000000" w:themeColor="text1"/>
          <w:sz w:val="22"/>
        </w:rPr>
        <w:t xml:space="preserve">Tx </w:t>
      </w:r>
      <w:r w:rsidR="005137A6">
        <w:rPr>
          <w:color w:val="000000" w:themeColor="text1"/>
          <w:sz w:val="22"/>
        </w:rPr>
        <w:t>switching for 3 or 4 bands</w:t>
      </w:r>
    </w:p>
    <w:p w14:paraId="2D5672ED" w14:textId="3DF0229C" w:rsidR="00E90E49" w:rsidRPr="00E031BD" w:rsidRDefault="00E90E49" w:rsidP="00873F07">
      <w:pPr>
        <w:pStyle w:val="3GPPHeader"/>
        <w:rPr>
          <w:sz w:val="22"/>
        </w:rPr>
      </w:pPr>
      <w:r w:rsidRPr="001E7AD0">
        <w:rPr>
          <w:sz w:val="22"/>
        </w:rPr>
        <w:t>Document for:</w:t>
      </w:r>
      <w:r w:rsidRPr="001E7AD0">
        <w:rPr>
          <w:sz w:val="22"/>
        </w:rPr>
        <w:tab/>
        <w:t>Discussion</w:t>
      </w:r>
    </w:p>
    <w:p w14:paraId="6883CB62" w14:textId="6D5A3D3C" w:rsidR="00E90E49" w:rsidRPr="001E7AD0" w:rsidRDefault="00E90E49" w:rsidP="00873F07">
      <w:pPr>
        <w:pStyle w:val="Heading1"/>
        <w:jc w:val="both"/>
        <w:rPr>
          <w:lang w:val="en-US"/>
        </w:rPr>
      </w:pPr>
      <w:r w:rsidRPr="001E7AD0">
        <w:rPr>
          <w:lang w:val="en-US"/>
        </w:rPr>
        <w:t>Introduction</w:t>
      </w:r>
    </w:p>
    <w:p w14:paraId="58C93D23" w14:textId="78ACDE13" w:rsidR="004855CA" w:rsidRDefault="00B621D2" w:rsidP="00873F07">
      <w:pPr>
        <w:pStyle w:val="BodyText"/>
        <w:rPr>
          <w:rFonts w:cs="Arial"/>
          <w:szCs w:val="20"/>
          <w:lang w:val="en-GB"/>
        </w:rPr>
      </w:pPr>
      <w:r>
        <w:rPr>
          <w:rFonts w:cs="Arial"/>
          <w:szCs w:val="20"/>
          <w:lang w:val="en-GB"/>
        </w:rPr>
        <w:t xml:space="preserve">The </w:t>
      </w:r>
      <w:r w:rsidR="00D8077E">
        <w:rPr>
          <w:rFonts w:cs="Arial"/>
          <w:szCs w:val="20"/>
          <w:lang w:val="en-GB"/>
        </w:rPr>
        <w:t xml:space="preserve">R18 WID on multi-carrier enhancements </w:t>
      </w:r>
      <w:r w:rsidR="004855CA">
        <w:rPr>
          <w:rFonts w:cs="Arial"/>
          <w:szCs w:val="20"/>
          <w:lang w:val="en-GB"/>
        </w:rPr>
        <w:t>has as second objective to study and if necessary, then specify support for UL Tx switching across up to 3 or 4 bands [1].</w:t>
      </w:r>
    </w:p>
    <w:p w14:paraId="07A1E1B5" w14:textId="0771C465" w:rsidR="00BC4D87" w:rsidRDefault="004855CA" w:rsidP="00873F07">
      <w:pPr>
        <w:pStyle w:val="BodyText"/>
        <w:rPr>
          <w:rFonts w:cs="Arial"/>
          <w:szCs w:val="20"/>
          <w:lang w:val="en-GB"/>
        </w:rPr>
      </w:pPr>
      <w:r>
        <w:rPr>
          <w:rFonts w:cs="Arial"/>
          <w:szCs w:val="20"/>
          <w:lang w:val="en-GB"/>
        </w:rPr>
        <w:t xml:space="preserve">In this contribution, we provide our views on </w:t>
      </w:r>
      <w:r w:rsidR="00921E4B">
        <w:rPr>
          <w:rFonts w:cs="Arial"/>
          <w:szCs w:val="20"/>
          <w:lang w:val="en-GB"/>
        </w:rPr>
        <w:t>the need</w:t>
      </w:r>
      <w:r w:rsidR="008F5277">
        <w:rPr>
          <w:rFonts w:cs="Arial"/>
          <w:szCs w:val="20"/>
          <w:lang w:val="en-GB"/>
        </w:rPr>
        <w:t xml:space="preserve"> and benefits</w:t>
      </w:r>
      <w:r w:rsidR="00D0428C">
        <w:rPr>
          <w:rFonts w:cs="Arial"/>
          <w:szCs w:val="20"/>
          <w:lang w:val="en-GB"/>
        </w:rPr>
        <w:t xml:space="preserve"> </w:t>
      </w:r>
      <w:r w:rsidR="00921E4B">
        <w:rPr>
          <w:rFonts w:cs="Arial"/>
          <w:szCs w:val="20"/>
          <w:lang w:val="en-GB"/>
        </w:rPr>
        <w:t>to extend the existing R16 and R17 UL Tx switching features to the 3 or 4 band case</w:t>
      </w:r>
      <w:r w:rsidR="00047BD2">
        <w:rPr>
          <w:rFonts w:cs="Arial"/>
          <w:szCs w:val="20"/>
          <w:lang w:val="en-GB"/>
        </w:rPr>
        <w:t>.</w:t>
      </w:r>
    </w:p>
    <w:p w14:paraId="305859BB" w14:textId="77777777" w:rsidR="00921E4B" w:rsidRPr="00921E4B" w:rsidRDefault="00921E4B" w:rsidP="00873F07">
      <w:pPr>
        <w:pStyle w:val="BodyText"/>
        <w:rPr>
          <w:rFonts w:cs="Arial"/>
          <w:szCs w:val="20"/>
          <w:lang w:val="en-GB"/>
        </w:rPr>
      </w:pPr>
    </w:p>
    <w:tbl>
      <w:tblPr>
        <w:tblStyle w:val="TableGrid"/>
        <w:tblW w:w="0" w:type="auto"/>
        <w:tblLook w:val="04A0" w:firstRow="1" w:lastRow="0" w:firstColumn="1" w:lastColumn="0" w:noHBand="0" w:noVBand="1"/>
      </w:tblPr>
      <w:tblGrid>
        <w:gridCol w:w="9629"/>
      </w:tblGrid>
      <w:tr w:rsidR="00942CC2" w:rsidRPr="00857873" w14:paraId="20091D11" w14:textId="77777777" w:rsidTr="00EF24FC">
        <w:tc>
          <w:tcPr>
            <w:tcW w:w="9629" w:type="dxa"/>
          </w:tcPr>
          <w:p w14:paraId="33803FA8" w14:textId="77777777" w:rsidR="00D8077E" w:rsidRPr="00D8077E" w:rsidRDefault="00D8077E" w:rsidP="00D8077E">
            <w:pPr>
              <w:overflowPunct w:val="0"/>
              <w:autoSpaceDE w:val="0"/>
              <w:autoSpaceDN w:val="0"/>
              <w:adjustRightInd w:val="0"/>
              <w:spacing w:after="180" w:line="240" w:lineRule="auto"/>
              <w:textAlignment w:val="baseline"/>
              <w:rPr>
                <w:rFonts w:eastAsia="Malgun Gothic" w:cs="Arial"/>
                <w:i/>
                <w:iCs/>
                <w:sz w:val="20"/>
                <w:szCs w:val="20"/>
                <w:lang w:val="en-GB" w:eastAsia="ko-KR"/>
              </w:rPr>
            </w:pPr>
            <w:r w:rsidRPr="00D8077E">
              <w:rPr>
                <w:rFonts w:eastAsia="Malgun Gothic" w:cs="Arial" w:hint="eastAsia"/>
                <w:i/>
                <w:iCs/>
                <w:sz w:val="20"/>
                <w:szCs w:val="20"/>
                <w:lang w:val="en-GB" w:eastAsia="ko-KR"/>
              </w:rPr>
              <w:t>2</w:t>
            </w:r>
            <w:r w:rsidRPr="00D8077E">
              <w:rPr>
                <w:rFonts w:eastAsia="Malgun Gothic" w:cs="Arial"/>
                <w:i/>
                <w:iCs/>
                <w:sz w:val="20"/>
                <w:szCs w:val="20"/>
                <w:lang w:val="en-GB" w:eastAsia="ko-KR"/>
              </w:rPr>
              <w:t xml:space="preserve">. Study and if </w:t>
            </w:r>
            <w:proofErr w:type="gramStart"/>
            <w:r w:rsidRPr="00D8077E">
              <w:rPr>
                <w:rFonts w:eastAsia="Malgun Gothic" w:cs="Arial"/>
                <w:i/>
                <w:iCs/>
                <w:sz w:val="20"/>
                <w:szCs w:val="20"/>
                <w:lang w:val="en-GB" w:eastAsia="ko-KR"/>
              </w:rPr>
              <w:t>necessary</w:t>
            </w:r>
            <w:proofErr w:type="gramEnd"/>
            <w:r w:rsidRPr="00D8077E">
              <w:rPr>
                <w:rFonts w:eastAsia="Malgun Gothic" w:cs="Arial"/>
                <w:i/>
                <w:iCs/>
                <w:sz w:val="20"/>
                <w:szCs w:val="20"/>
                <w:lang w:val="en-GB" w:eastAsia="ko-KR"/>
              </w:rPr>
              <w:t xml:space="preserve"> specify following enhancements for multi-carrier UL operation [RAN1, RAN2, RAN4]</w:t>
            </w:r>
          </w:p>
          <w:p w14:paraId="5A16CFDE" w14:textId="77777777" w:rsidR="00D8077E" w:rsidRPr="00D8077E" w:rsidRDefault="00D8077E" w:rsidP="00D8077E">
            <w:pPr>
              <w:numPr>
                <w:ilvl w:val="0"/>
                <w:numId w:val="32"/>
              </w:numPr>
              <w:overflowPunct w:val="0"/>
              <w:autoSpaceDE w:val="0"/>
              <w:autoSpaceDN w:val="0"/>
              <w:adjustRightInd w:val="0"/>
              <w:spacing w:after="180" w:line="240" w:lineRule="auto"/>
              <w:textAlignment w:val="baseline"/>
              <w:rPr>
                <w:rFonts w:eastAsia="Malgun Gothic" w:cs="Arial"/>
                <w:i/>
                <w:iCs/>
                <w:sz w:val="20"/>
                <w:szCs w:val="20"/>
                <w:lang w:val="en-GB" w:eastAsia="ko-KR"/>
              </w:rPr>
            </w:pPr>
            <w:r w:rsidRPr="00D8077E">
              <w:rPr>
                <w:rFonts w:eastAsia="Malgun Gothic" w:cs="Arial"/>
                <w:i/>
                <w:iCs/>
                <w:sz w:val="20"/>
                <w:szCs w:val="20"/>
                <w:lang w:val="en-GB" w:eastAsia="ko-KR"/>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38316E8F" w14:textId="77777777" w:rsidR="00D8077E" w:rsidRPr="00D8077E" w:rsidRDefault="00D8077E" w:rsidP="00D8077E">
            <w:pPr>
              <w:numPr>
                <w:ilvl w:val="1"/>
                <w:numId w:val="32"/>
              </w:numPr>
              <w:overflowPunct w:val="0"/>
              <w:autoSpaceDE w:val="0"/>
              <w:autoSpaceDN w:val="0"/>
              <w:adjustRightInd w:val="0"/>
              <w:spacing w:after="180" w:line="240" w:lineRule="auto"/>
              <w:textAlignment w:val="baseline"/>
              <w:rPr>
                <w:rFonts w:eastAsia="Malgun Gothic" w:cs="Arial"/>
                <w:i/>
                <w:iCs/>
                <w:sz w:val="20"/>
                <w:szCs w:val="20"/>
                <w:lang w:val="en-GB" w:eastAsia="ko-KR"/>
              </w:rPr>
            </w:pPr>
            <w:r w:rsidRPr="00D8077E">
              <w:rPr>
                <w:rFonts w:eastAsia="Malgun Gothic" w:cs="Arial" w:hint="eastAsia"/>
                <w:i/>
                <w:iCs/>
                <w:sz w:val="20"/>
                <w:szCs w:val="20"/>
                <w:lang w:val="en-GB" w:eastAsia="ko-KR"/>
              </w:rPr>
              <w:t>U</w:t>
            </w:r>
            <w:r w:rsidRPr="00D8077E">
              <w:rPr>
                <w:rFonts w:eastAsia="Malgun Gothic" w:cs="Arial"/>
                <w:i/>
                <w:iCs/>
                <w:sz w:val="20"/>
                <w:szCs w:val="20"/>
                <w:lang w:val="en-GB" w:eastAsia="ko-KR"/>
              </w:rPr>
              <w:t>E capability and RRC configuration related signalling (RAN2)</w:t>
            </w:r>
          </w:p>
          <w:p w14:paraId="5B6B47E7" w14:textId="77777777" w:rsidR="00D8077E" w:rsidRPr="00D8077E" w:rsidRDefault="00D8077E" w:rsidP="00D8077E">
            <w:pPr>
              <w:numPr>
                <w:ilvl w:val="1"/>
                <w:numId w:val="32"/>
              </w:numPr>
              <w:overflowPunct w:val="0"/>
              <w:autoSpaceDE w:val="0"/>
              <w:autoSpaceDN w:val="0"/>
              <w:adjustRightInd w:val="0"/>
              <w:spacing w:after="180" w:line="240" w:lineRule="auto"/>
              <w:textAlignment w:val="baseline"/>
              <w:rPr>
                <w:rFonts w:eastAsia="Malgun Gothic" w:cs="Arial"/>
                <w:i/>
                <w:iCs/>
                <w:sz w:val="20"/>
                <w:szCs w:val="20"/>
                <w:lang w:val="en-GB" w:eastAsia="ko-KR"/>
              </w:rPr>
            </w:pPr>
            <w:r w:rsidRPr="00D8077E">
              <w:rPr>
                <w:rFonts w:eastAsia="Malgun Gothic" w:cs="Arial" w:hint="eastAsia"/>
                <w:i/>
                <w:iCs/>
                <w:sz w:val="20"/>
                <w:szCs w:val="20"/>
                <w:lang w:val="en-GB" w:eastAsia="ko-KR"/>
              </w:rPr>
              <w:t>N</w:t>
            </w:r>
            <w:r w:rsidRPr="00D8077E">
              <w:rPr>
                <w:rFonts w:eastAsia="Malgun Gothic" w:cs="Arial"/>
                <w:i/>
                <w:iCs/>
                <w:sz w:val="20"/>
                <w:szCs w:val="20"/>
                <w:lang w:val="en-GB" w:eastAsia="ko-KR"/>
              </w:rPr>
              <w:t>ote: strive for RAN1/2 design agnostic with the number of bands, i.e., common design between 3 and 4 bands</w:t>
            </w:r>
          </w:p>
          <w:p w14:paraId="3DB24E99" w14:textId="77777777" w:rsidR="00D8077E" w:rsidRPr="00D8077E" w:rsidRDefault="00D8077E" w:rsidP="00D8077E">
            <w:pPr>
              <w:numPr>
                <w:ilvl w:val="1"/>
                <w:numId w:val="32"/>
              </w:numPr>
              <w:overflowPunct w:val="0"/>
              <w:autoSpaceDE w:val="0"/>
              <w:autoSpaceDN w:val="0"/>
              <w:adjustRightInd w:val="0"/>
              <w:spacing w:after="180" w:line="240" w:lineRule="auto"/>
              <w:textAlignment w:val="baseline"/>
              <w:rPr>
                <w:rFonts w:eastAsia="Malgun Gothic" w:cs="Arial"/>
                <w:i/>
                <w:iCs/>
                <w:sz w:val="20"/>
                <w:szCs w:val="20"/>
                <w:lang w:val="en-GB" w:eastAsia="ko-KR"/>
              </w:rPr>
            </w:pPr>
            <w:r w:rsidRPr="00D8077E">
              <w:rPr>
                <w:rFonts w:eastAsia="Malgun Gothic" w:cs="Arial" w:hint="eastAsia"/>
                <w:i/>
                <w:iCs/>
                <w:sz w:val="20"/>
                <w:szCs w:val="20"/>
                <w:lang w:val="en-GB" w:eastAsia="ko-KR"/>
              </w:rPr>
              <w:t>N</w:t>
            </w:r>
            <w:r w:rsidRPr="00D8077E">
              <w:rPr>
                <w:rFonts w:eastAsia="Malgun Gothic" w:cs="Arial"/>
                <w:i/>
                <w:iCs/>
                <w:sz w:val="20"/>
                <w:szCs w:val="20"/>
                <w:lang w:val="en-GB" w:eastAsia="ko-KR"/>
              </w:rPr>
              <w:t>ote: no additional TAG is introduced for UL transmission on a carrier without corresponding DL carrier</w:t>
            </w:r>
          </w:p>
          <w:p w14:paraId="7C7E09B6" w14:textId="77777777" w:rsidR="00D8077E" w:rsidRPr="00D8077E" w:rsidRDefault="00D8077E" w:rsidP="00D8077E">
            <w:pPr>
              <w:numPr>
                <w:ilvl w:val="1"/>
                <w:numId w:val="32"/>
              </w:numPr>
              <w:overflowPunct w:val="0"/>
              <w:autoSpaceDE w:val="0"/>
              <w:autoSpaceDN w:val="0"/>
              <w:adjustRightInd w:val="0"/>
              <w:spacing w:after="180" w:line="240" w:lineRule="auto"/>
              <w:textAlignment w:val="baseline"/>
              <w:rPr>
                <w:rFonts w:eastAsia="Malgun Gothic" w:cs="Arial"/>
                <w:i/>
                <w:iCs/>
                <w:sz w:val="20"/>
                <w:szCs w:val="20"/>
                <w:lang w:val="en-GB" w:eastAsia="ko-KR"/>
              </w:rPr>
            </w:pPr>
            <w:r w:rsidRPr="00D8077E">
              <w:rPr>
                <w:rFonts w:eastAsia="Malgun Gothic" w:cs="Arial" w:hint="eastAsia"/>
                <w:i/>
                <w:iCs/>
                <w:sz w:val="20"/>
                <w:szCs w:val="20"/>
                <w:lang w:val="en-GB" w:eastAsia="ko-KR"/>
              </w:rPr>
              <w:t>N</w:t>
            </w:r>
            <w:r w:rsidRPr="00D8077E">
              <w:rPr>
                <w:rFonts w:eastAsia="Malgun Gothic" w:cs="Arial"/>
                <w:i/>
                <w:iCs/>
                <w:sz w:val="20"/>
                <w:szCs w:val="20"/>
                <w:lang w:val="en-GB" w:eastAsia="ko-KR"/>
              </w:rPr>
              <w:t>ote: this objective does not target to extend the SUL framework to support more than 1 SUL for 1 NUL</w:t>
            </w:r>
          </w:p>
          <w:p w14:paraId="0A478BEC" w14:textId="77777777" w:rsidR="00D8077E" w:rsidRPr="00D8077E" w:rsidRDefault="00D8077E" w:rsidP="00D8077E">
            <w:pPr>
              <w:numPr>
                <w:ilvl w:val="0"/>
                <w:numId w:val="32"/>
              </w:numPr>
              <w:overflowPunct w:val="0"/>
              <w:autoSpaceDE w:val="0"/>
              <w:autoSpaceDN w:val="0"/>
              <w:adjustRightInd w:val="0"/>
              <w:spacing w:after="180" w:line="240" w:lineRule="auto"/>
              <w:textAlignment w:val="baseline"/>
              <w:rPr>
                <w:rFonts w:eastAsia="Malgun Gothic" w:cs="Arial"/>
                <w:i/>
                <w:iCs/>
                <w:sz w:val="20"/>
                <w:szCs w:val="20"/>
                <w:lang w:val="en-GB" w:eastAsia="ko-KR"/>
              </w:rPr>
            </w:pPr>
            <w:r w:rsidRPr="00D8077E">
              <w:rPr>
                <w:rFonts w:eastAsia="Malgun Gothic" w:cs="Arial"/>
                <w:i/>
                <w:iCs/>
                <w:sz w:val="20"/>
                <w:szCs w:val="20"/>
                <w:lang w:val="en-GB" w:eastAsia="ko-KR"/>
              </w:rPr>
              <w:t>Switching time and other RF aspects, and RRM requirements for above UL Tx switching schemes across up to 3 or 4 bands (RAN4)</w:t>
            </w:r>
          </w:p>
          <w:p w14:paraId="538A0827" w14:textId="2DF5C969" w:rsidR="00EC0F82" w:rsidRPr="00D8077E" w:rsidRDefault="00D8077E" w:rsidP="00D8077E">
            <w:pPr>
              <w:numPr>
                <w:ilvl w:val="1"/>
                <w:numId w:val="32"/>
              </w:numPr>
              <w:overflowPunct w:val="0"/>
              <w:autoSpaceDE w:val="0"/>
              <w:autoSpaceDN w:val="0"/>
              <w:adjustRightInd w:val="0"/>
              <w:spacing w:after="180" w:line="240" w:lineRule="auto"/>
              <w:textAlignment w:val="baseline"/>
              <w:rPr>
                <w:rFonts w:eastAsia="Malgun Gothic" w:cs="Arial"/>
                <w:szCs w:val="20"/>
                <w:lang w:val="en-GB" w:eastAsia="ko-KR"/>
              </w:rPr>
            </w:pPr>
            <w:r w:rsidRPr="00D8077E">
              <w:rPr>
                <w:rFonts w:eastAsia="Malgun Gothic" w:cs="Arial" w:hint="eastAsia"/>
                <w:i/>
                <w:iCs/>
                <w:sz w:val="20"/>
                <w:szCs w:val="20"/>
                <w:lang w:val="en-GB" w:eastAsia="ko-KR"/>
              </w:rPr>
              <w:t>N</w:t>
            </w:r>
            <w:r w:rsidRPr="00D8077E">
              <w:rPr>
                <w:rFonts w:eastAsia="Malgun Gothic" w:cs="Arial"/>
                <w:i/>
                <w:iCs/>
                <w:sz w:val="20"/>
                <w:szCs w:val="20"/>
                <w:lang w:val="en-GB" w:eastAsia="ko-KR"/>
              </w:rPr>
              <w:t>ote: Prioritize UL Tx switching across up to 3 bands is to be addressed first and then that for up to 4 bands can also be addressed</w:t>
            </w:r>
          </w:p>
        </w:tc>
      </w:tr>
    </w:tbl>
    <w:p w14:paraId="60123794" w14:textId="37D9E6F7" w:rsidR="004000E8" w:rsidRPr="001E7AD0" w:rsidRDefault="00EC18AE" w:rsidP="00873F07">
      <w:pPr>
        <w:pStyle w:val="Heading1"/>
        <w:jc w:val="both"/>
        <w:rPr>
          <w:lang w:val="en-US"/>
        </w:rPr>
      </w:pPr>
      <w:r>
        <w:rPr>
          <w:lang w:val="en-US"/>
        </w:rPr>
        <w:t>Discussion</w:t>
      </w:r>
    </w:p>
    <w:p w14:paraId="0CF7B136" w14:textId="13086A2F" w:rsidR="00866B89" w:rsidRDefault="00866B89" w:rsidP="00866B89">
      <w:pPr>
        <w:pStyle w:val="BodyText"/>
        <w:spacing w:before="120"/>
      </w:pPr>
      <w:r>
        <w:t xml:space="preserve">Support for UL Tx switching between 2 configured bands </w:t>
      </w:r>
      <w:r w:rsidR="00EC18AE">
        <w:t xml:space="preserve">by UEs implementing 2 TX </w:t>
      </w:r>
      <w:r>
        <w:t>was introduced in R16. The feature was then extended in R17 to</w:t>
      </w:r>
      <w:r w:rsidR="00EC18AE">
        <w:t xml:space="preserve"> also</w:t>
      </w:r>
      <w:r>
        <w:t xml:space="preserve"> allow for UL MIMO operation using </w:t>
      </w:r>
      <w:proofErr w:type="gramStart"/>
      <w:r>
        <w:t xml:space="preserve">both </w:t>
      </w:r>
      <w:r w:rsidR="00EC18AE">
        <w:t>UE</w:t>
      </w:r>
      <w:proofErr w:type="gramEnd"/>
      <w:r w:rsidR="00EC18AE">
        <w:t xml:space="preserve"> </w:t>
      </w:r>
      <w:r>
        <w:t xml:space="preserve">TX on any one of the two bands during UL Tx switching. </w:t>
      </w:r>
      <w:r w:rsidR="00EC18AE">
        <w:t xml:space="preserve">The benefit of allowing for UL MIMO during carrier switching as by R17 is increased UL throughput. The </w:t>
      </w:r>
      <w:r w:rsidR="008A18EB">
        <w:t xml:space="preserve">resulting </w:t>
      </w:r>
      <w:r w:rsidR="00EC18AE">
        <w:t xml:space="preserve">number of </w:t>
      </w:r>
      <w:r w:rsidR="008A18EB">
        <w:t xml:space="preserve">possible </w:t>
      </w:r>
      <w:r w:rsidR="00EC18AE">
        <w:t xml:space="preserve">switching combinations, e.g., 0/1/2p </w:t>
      </w:r>
      <w:r w:rsidR="008A18EB">
        <w:t xml:space="preserve">switching </w:t>
      </w:r>
      <w:r w:rsidR="005E6191">
        <w:t xml:space="preserve">cases </w:t>
      </w:r>
      <w:r w:rsidR="003C04DA">
        <w:t xml:space="preserve">which must be supported by the UE implementation </w:t>
      </w:r>
      <w:r w:rsidR="005E6191">
        <w:t xml:space="preserve">increases. </w:t>
      </w:r>
      <w:r w:rsidR="00EC18AE">
        <w:t>Existing UE</w:t>
      </w:r>
      <w:r w:rsidR="003C04DA">
        <w:t>s</w:t>
      </w:r>
      <w:r w:rsidR="00EC18AE">
        <w:t xml:space="preserve"> in many cases only support </w:t>
      </w:r>
      <w:r w:rsidR="00EC18AE">
        <w:lastRenderedPageBreak/>
        <w:t xml:space="preserve">at most 2 TX. Few commercially available UEs currently support 3 TX and then </w:t>
      </w:r>
      <w:r w:rsidR="005E6191">
        <w:t xml:space="preserve">mostly for purpose of </w:t>
      </w:r>
      <w:r w:rsidR="003C04DA">
        <w:t xml:space="preserve">few selected </w:t>
      </w:r>
      <w:r w:rsidR="005E6191">
        <w:t>EN-DC band combinations</w:t>
      </w:r>
      <w:r w:rsidR="003C04DA">
        <w:t xml:space="preserve"> where RF isolation is more easily </w:t>
      </w:r>
      <w:r w:rsidR="008A18EB">
        <w:t>achievable</w:t>
      </w:r>
      <w:r w:rsidR="005E6191">
        <w:t>. When considering the smartphone form factor</w:t>
      </w:r>
      <w:r w:rsidR="009D44E9">
        <w:t xml:space="preserve"> and current silicon design, </w:t>
      </w:r>
      <w:r w:rsidR="005E6191">
        <w:t xml:space="preserve">heat dissipation and IMD </w:t>
      </w:r>
      <w:r w:rsidR="009D44E9">
        <w:t xml:space="preserve">generated by concurrently operating TX paths impose constraints. The </w:t>
      </w:r>
      <w:r w:rsidR="005E6191">
        <w:t xml:space="preserve">continued support of up to 2 TX by the UE </w:t>
      </w:r>
      <w:r w:rsidR="009D44E9">
        <w:t xml:space="preserve">can be expected to </w:t>
      </w:r>
      <w:r w:rsidR="005E6191">
        <w:t xml:space="preserve">remain the mainstream solution for some time to come. </w:t>
      </w:r>
      <w:r w:rsidR="009D44E9">
        <w:t>In this sense, the R18 WID aims to introduce UL TX switching for the 2 TX UEs in terms of the number of supported NR bands, e.g., at least 3, but possibly up to 4 NR bands.</w:t>
      </w:r>
    </w:p>
    <w:p w14:paraId="4DF51948" w14:textId="38A63091" w:rsidR="0024192D" w:rsidRDefault="00020479" w:rsidP="00866B89">
      <w:pPr>
        <w:pStyle w:val="BodyText"/>
        <w:spacing w:before="120"/>
      </w:pPr>
      <w:r>
        <w:t xml:space="preserve">The potential usefulness </w:t>
      </w:r>
      <w:r w:rsidR="001E303A">
        <w:t>of e</w:t>
      </w:r>
      <w:r>
        <w:t xml:space="preserve">xtending </w:t>
      </w:r>
      <w:r w:rsidR="001E303A">
        <w:t xml:space="preserve">R17 specifications to also </w:t>
      </w:r>
      <w:r>
        <w:t xml:space="preserve">support </w:t>
      </w:r>
      <w:r w:rsidR="001E303A">
        <w:t xml:space="preserve">the </w:t>
      </w:r>
      <w:r>
        <w:t xml:space="preserve">UL TX switching </w:t>
      </w:r>
      <w:r w:rsidR="001E303A">
        <w:t xml:space="preserve">feature for </w:t>
      </w:r>
      <w:r>
        <w:t xml:space="preserve">3 or 4 </w:t>
      </w:r>
      <w:r w:rsidR="001E303A">
        <w:t xml:space="preserve">configured NR </w:t>
      </w:r>
      <w:r>
        <w:t xml:space="preserve">bands </w:t>
      </w:r>
      <w:r w:rsidR="001E303A">
        <w:t xml:space="preserve">should be </w:t>
      </w:r>
      <w:r>
        <w:t xml:space="preserve">considered </w:t>
      </w:r>
      <w:r w:rsidR="001E303A">
        <w:t xml:space="preserve">first. Prerequisite to the use of 3 or 4 bands for UL Tx switching is that operators hold corresponding spectrum allocations which </w:t>
      </w:r>
      <w:r w:rsidR="00B1360C">
        <w:t>often is the case</w:t>
      </w:r>
      <w:r w:rsidR="001E303A">
        <w:t>.</w:t>
      </w:r>
      <w:r w:rsidR="00FE20C6">
        <w:t xml:space="preserve"> However, </w:t>
      </w:r>
      <w:r w:rsidR="001E303A">
        <w:t xml:space="preserve">UL Tx switching imposes requirements with respect to co-siting of </w:t>
      </w:r>
      <w:r w:rsidR="008E6F78">
        <w:t xml:space="preserve">the base station, e.g., integrated scheduling across the </w:t>
      </w:r>
      <w:r w:rsidR="00FE20C6">
        <w:t xml:space="preserve">up to </w:t>
      </w:r>
      <w:r w:rsidR="008E6F78">
        <w:t>3 or 4 NR bands</w:t>
      </w:r>
      <w:r w:rsidR="00FE20C6">
        <w:t xml:space="preserve"> must be possible which is significantly harder to achieve</w:t>
      </w:r>
      <w:r w:rsidR="008E6F78">
        <w:t>. TTI level carrier switching, e.g., fully dynamic allocation of UL transmission resources to the UE by the gNB schedulers is particularly demanding with respect to stringent synchronization on the network side.</w:t>
      </w:r>
    </w:p>
    <w:p w14:paraId="11FEEB60" w14:textId="77777777" w:rsidR="0047164D" w:rsidRDefault="0047164D" w:rsidP="0047164D">
      <w:pPr>
        <w:pStyle w:val="BodyText"/>
        <w:spacing w:before="120"/>
      </w:pPr>
      <w:r>
        <w:t>It is also important to consider that UL coverage and site dimensioning in the operator grid often does not allow to fully exploit UL Tx switching across arbitrary band combinations in the entire cell area. It is easier to deploy UL Tx switching using 2 NR bands both in the capacity layer with comparable coverage than using UL Tx switching using 3 or 4 carriers from the coverage layer, e.g., NR low bands and carriers in the capacity layer, e.g., higher NR mid-band. During the evaluation phase, it is therefore important to account for practical TDD deployment aspects, e.g., gains with UL Tx switching when assuming same and matching UL coverage for the 3 or 4 configured NR bands are not representative.</w:t>
      </w:r>
    </w:p>
    <w:p w14:paraId="3F42A190" w14:textId="70988DF4" w:rsidR="0024192D" w:rsidRDefault="00056323" w:rsidP="0024192D">
      <w:pPr>
        <w:pStyle w:val="Proposal"/>
        <w:numPr>
          <w:ilvl w:val="0"/>
          <w:numId w:val="29"/>
        </w:numPr>
        <w:spacing w:before="120"/>
        <w:rPr>
          <w:color w:val="000000" w:themeColor="text1"/>
        </w:rPr>
      </w:pPr>
      <w:r>
        <w:rPr>
          <w:color w:val="000000" w:themeColor="text1"/>
        </w:rPr>
        <w:t xml:space="preserve">The ability to fully exploit </w:t>
      </w:r>
      <w:r w:rsidR="00FA5970">
        <w:rPr>
          <w:color w:val="000000" w:themeColor="text1"/>
        </w:rPr>
        <w:t xml:space="preserve">the </w:t>
      </w:r>
      <w:r>
        <w:rPr>
          <w:color w:val="000000" w:themeColor="text1"/>
        </w:rPr>
        <w:t xml:space="preserve">UL Tx switching </w:t>
      </w:r>
      <w:r w:rsidR="00FA5970">
        <w:rPr>
          <w:color w:val="000000" w:themeColor="text1"/>
        </w:rPr>
        <w:t xml:space="preserve">feature </w:t>
      </w:r>
      <w:r>
        <w:rPr>
          <w:color w:val="000000" w:themeColor="text1"/>
        </w:rPr>
        <w:t>across 3 or 4 bands is limited</w:t>
      </w:r>
    </w:p>
    <w:p w14:paraId="4184B8E5" w14:textId="1AFA4364" w:rsidR="0024192D" w:rsidRDefault="0024192D" w:rsidP="00AF25F3">
      <w:pPr>
        <w:jc w:val="both"/>
        <w:rPr>
          <w:rFonts w:cs="Arial"/>
          <w:szCs w:val="20"/>
        </w:rPr>
      </w:pPr>
    </w:p>
    <w:p w14:paraId="0DF81E7C" w14:textId="6C7E6BDE" w:rsidR="008A6B00" w:rsidRDefault="008A6B00" w:rsidP="00AF25F3">
      <w:pPr>
        <w:jc w:val="both"/>
        <w:rPr>
          <w:rFonts w:cs="Arial"/>
          <w:szCs w:val="20"/>
        </w:rPr>
      </w:pPr>
      <w:r>
        <w:rPr>
          <w:rFonts w:cs="Arial"/>
          <w:szCs w:val="20"/>
        </w:rPr>
        <w:t xml:space="preserve">UL Tx switching can provide gains from load balancing across the UL carriers. The UE is scheduled in the band where RBs are available in good channel conditions and where the UL slot can provide a higher instantaneous UL data rate to the UE with respect to other co-scheduled UEs. Another gain factor is the ability to UL schedule the UE </w:t>
      </w:r>
      <w:r w:rsidR="00BA5AE9">
        <w:rPr>
          <w:rFonts w:cs="Arial"/>
          <w:szCs w:val="20"/>
        </w:rPr>
        <w:t xml:space="preserve">more frequently than a single TDD UL-DL configuration allows. The TDD cells in the 2 bands can both be configured with the same frame configuration, e.g., DDDSU, and use the slot offset, or they can </w:t>
      </w:r>
      <w:r w:rsidR="00FA5970">
        <w:rPr>
          <w:rFonts w:cs="Arial"/>
          <w:szCs w:val="20"/>
        </w:rPr>
        <w:t xml:space="preserve">be configured with </w:t>
      </w:r>
      <w:r w:rsidR="00BA5AE9">
        <w:rPr>
          <w:rFonts w:cs="Arial"/>
          <w:szCs w:val="20"/>
        </w:rPr>
        <w:t xml:space="preserve">different frame configurations, e.g., DFFSU and DDDSU. In both cases, the UE can be UL scheduled more frequently </w:t>
      </w:r>
      <w:r w:rsidR="00FA5970">
        <w:rPr>
          <w:rFonts w:cs="Arial"/>
          <w:szCs w:val="20"/>
        </w:rPr>
        <w:t xml:space="preserve">than using only one cell </w:t>
      </w:r>
      <w:r w:rsidR="00BA5AE9">
        <w:rPr>
          <w:rFonts w:cs="Arial"/>
          <w:szCs w:val="20"/>
        </w:rPr>
        <w:t xml:space="preserve">which reduces the average </w:t>
      </w:r>
      <w:r w:rsidR="005D094C">
        <w:rPr>
          <w:rFonts w:cs="Arial"/>
          <w:szCs w:val="20"/>
        </w:rPr>
        <w:t xml:space="preserve">UL </w:t>
      </w:r>
      <w:r w:rsidR="00BA5AE9">
        <w:rPr>
          <w:rFonts w:cs="Arial"/>
          <w:szCs w:val="20"/>
        </w:rPr>
        <w:t xml:space="preserve">frame alignment delay, e.g., </w:t>
      </w:r>
      <w:r w:rsidR="00FA5970">
        <w:rPr>
          <w:rFonts w:cs="Arial"/>
          <w:szCs w:val="20"/>
        </w:rPr>
        <w:t xml:space="preserve">the </w:t>
      </w:r>
      <w:r w:rsidR="00BA5AE9">
        <w:rPr>
          <w:rFonts w:cs="Arial"/>
          <w:szCs w:val="20"/>
        </w:rPr>
        <w:t xml:space="preserve">delay incurred between the UL packet becoming available for transmission and the next UL </w:t>
      </w:r>
      <w:r w:rsidR="00FA5970">
        <w:rPr>
          <w:rFonts w:cs="Arial"/>
          <w:szCs w:val="20"/>
        </w:rPr>
        <w:t>transmission opportunity. User plane latency is reduced.</w:t>
      </w:r>
    </w:p>
    <w:p w14:paraId="0FCD937B" w14:textId="442653BF" w:rsidR="00FA5970" w:rsidRDefault="005D094C" w:rsidP="00AF25F3">
      <w:pPr>
        <w:jc w:val="both"/>
        <w:rPr>
          <w:rFonts w:cs="Arial"/>
          <w:szCs w:val="20"/>
        </w:rPr>
      </w:pPr>
      <w:r>
        <w:rPr>
          <w:rFonts w:cs="Arial"/>
          <w:szCs w:val="20"/>
        </w:rPr>
        <w:t xml:space="preserve">It must be considered that most system level gains from UL Tx switching can be harvested already when two bands are available. The additional relative benefit of UL Tx switching using carriers in 3 bands is </w:t>
      </w:r>
      <w:r w:rsidR="00461DC1">
        <w:rPr>
          <w:rFonts w:cs="Arial"/>
          <w:szCs w:val="20"/>
        </w:rPr>
        <w:t xml:space="preserve">more </w:t>
      </w:r>
      <w:r>
        <w:rPr>
          <w:rFonts w:cs="Arial"/>
          <w:szCs w:val="20"/>
        </w:rPr>
        <w:t xml:space="preserve">incremental when compared to the 2-band case. For example, the </w:t>
      </w:r>
      <w:r w:rsidR="00461DC1">
        <w:rPr>
          <w:rFonts w:cs="Arial"/>
          <w:szCs w:val="20"/>
        </w:rPr>
        <w:t xml:space="preserve">average </w:t>
      </w:r>
      <w:r>
        <w:rPr>
          <w:rFonts w:cs="Arial"/>
          <w:szCs w:val="20"/>
        </w:rPr>
        <w:t xml:space="preserve">UL frame alignment delay with 30 kHz DDDSU is 1.25ms. When UL Tx switching across 2 bands is configured and the UE can </w:t>
      </w:r>
      <w:r w:rsidR="00F7419C">
        <w:rPr>
          <w:rFonts w:cs="Arial"/>
          <w:szCs w:val="20"/>
        </w:rPr>
        <w:t xml:space="preserve">also </w:t>
      </w:r>
      <w:r>
        <w:rPr>
          <w:rFonts w:cs="Arial"/>
          <w:szCs w:val="20"/>
        </w:rPr>
        <w:t xml:space="preserve">be UL scheduled in the </w:t>
      </w:r>
      <w:r w:rsidR="009B52A6">
        <w:rPr>
          <w:rFonts w:cs="Arial"/>
          <w:szCs w:val="20"/>
        </w:rPr>
        <w:t>2</w:t>
      </w:r>
      <w:r w:rsidR="009B52A6" w:rsidRPr="005D094C">
        <w:rPr>
          <w:rFonts w:cs="Arial"/>
          <w:szCs w:val="20"/>
          <w:vertAlign w:val="superscript"/>
        </w:rPr>
        <w:t>nd</w:t>
      </w:r>
      <w:r>
        <w:rPr>
          <w:rFonts w:cs="Arial"/>
          <w:szCs w:val="20"/>
        </w:rPr>
        <w:t xml:space="preserve"> slot of the other cell, </w:t>
      </w:r>
      <w:r w:rsidR="00F7419C">
        <w:rPr>
          <w:rFonts w:cs="Arial"/>
          <w:szCs w:val="20"/>
        </w:rPr>
        <w:t>average UL frame alignment delay for both cells is reduced to 0.65 ms. The overall RTT</w:t>
      </w:r>
      <w:r w:rsidR="00461DC1">
        <w:rPr>
          <w:rFonts w:cs="Arial"/>
          <w:szCs w:val="20"/>
        </w:rPr>
        <w:t xml:space="preserve"> (</w:t>
      </w:r>
      <w:r w:rsidR="00F7419C">
        <w:rPr>
          <w:rFonts w:cs="Arial"/>
          <w:szCs w:val="20"/>
        </w:rPr>
        <w:t>2-way user plane latency) when accounting for PDSCH and PUSCH processing capability 1 and the BTS and UE processing delays is then reduced from ~3.8 ms to 3.2 ms. Using UL Tx switching across 3 bands with the possibility to UL schedule the UE in the 2</w:t>
      </w:r>
      <w:r w:rsidR="00F7419C" w:rsidRPr="00F7419C">
        <w:rPr>
          <w:rFonts w:cs="Arial"/>
          <w:szCs w:val="20"/>
          <w:vertAlign w:val="superscript"/>
        </w:rPr>
        <w:t>nd</w:t>
      </w:r>
      <w:r w:rsidR="00F7419C">
        <w:rPr>
          <w:rFonts w:cs="Arial"/>
          <w:szCs w:val="20"/>
        </w:rPr>
        <w:t xml:space="preserve"> and 3</w:t>
      </w:r>
      <w:r w:rsidR="00F7419C" w:rsidRPr="00F7419C">
        <w:rPr>
          <w:rFonts w:cs="Arial"/>
          <w:szCs w:val="20"/>
          <w:vertAlign w:val="superscript"/>
        </w:rPr>
        <w:t>rd</w:t>
      </w:r>
      <w:r w:rsidR="00F7419C">
        <w:rPr>
          <w:rFonts w:cs="Arial"/>
          <w:szCs w:val="20"/>
        </w:rPr>
        <w:t xml:space="preserve"> slot (in addition to the U slot), </w:t>
      </w:r>
      <w:r w:rsidR="00CD0967">
        <w:rPr>
          <w:rFonts w:cs="Arial"/>
          <w:szCs w:val="20"/>
        </w:rPr>
        <w:t xml:space="preserve">the </w:t>
      </w:r>
      <w:r w:rsidR="00951C39">
        <w:rPr>
          <w:rFonts w:cs="Arial"/>
          <w:szCs w:val="20"/>
        </w:rPr>
        <w:t xml:space="preserve">average </w:t>
      </w:r>
      <w:r w:rsidR="00F7419C">
        <w:rPr>
          <w:rFonts w:cs="Arial"/>
          <w:szCs w:val="20"/>
        </w:rPr>
        <w:t xml:space="preserve">UL frame alignment delay is further reduced to ~0.4 ms, but </w:t>
      </w:r>
      <w:r w:rsidR="00951C39">
        <w:rPr>
          <w:rFonts w:cs="Arial"/>
          <w:szCs w:val="20"/>
        </w:rPr>
        <w:t xml:space="preserve">the overall RTT is </w:t>
      </w:r>
      <w:r w:rsidR="00461DC1">
        <w:rPr>
          <w:rFonts w:cs="Arial"/>
          <w:szCs w:val="20"/>
        </w:rPr>
        <w:t xml:space="preserve">then </w:t>
      </w:r>
      <w:r w:rsidR="00951C39">
        <w:rPr>
          <w:rFonts w:cs="Arial"/>
          <w:szCs w:val="20"/>
        </w:rPr>
        <w:t xml:space="preserve">still </w:t>
      </w:r>
      <w:r w:rsidR="00461DC1">
        <w:rPr>
          <w:rFonts w:cs="Arial"/>
          <w:szCs w:val="20"/>
        </w:rPr>
        <w:t>~</w:t>
      </w:r>
      <w:r w:rsidR="00951C39">
        <w:rPr>
          <w:rFonts w:cs="Arial"/>
          <w:szCs w:val="20"/>
        </w:rPr>
        <w:t>3 ms</w:t>
      </w:r>
      <w:r w:rsidR="00461DC1">
        <w:rPr>
          <w:rFonts w:cs="Arial"/>
          <w:szCs w:val="20"/>
        </w:rPr>
        <w:t xml:space="preserve">, because </w:t>
      </w:r>
      <w:r w:rsidR="00CD0967">
        <w:rPr>
          <w:rFonts w:cs="Arial"/>
          <w:szCs w:val="20"/>
        </w:rPr>
        <w:t xml:space="preserve">now </w:t>
      </w:r>
      <w:r w:rsidR="00461DC1">
        <w:rPr>
          <w:rFonts w:cs="Arial"/>
          <w:szCs w:val="20"/>
        </w:rPr>
        <w:t>dominated by the UE processing timeline</w:t>
      </w:r>
      <w:r w:rsidR="00951C39">
        <w:rPr>
          <w:rFonts w:cs="Arial"/>
          <w:szCs w:val="20"/>
        </w:rPr>
        <w:t>.</w:t>
      </w:r>
    </w:p>
    <w:p w14:paraId="0206CABE" w14:textId="17E9D139" w:rsidR="00951C39" w:rsidRDefault="00461DC1" w:rsidP="00951C39">
      <w:pPr>
        <w:pStyle w:val="Proposal"/>
        <w:numPr>
          <w:ilvl w:val="0"/>
          <w:numId w:val="29"/>
        </w:numPr>
        <w:spacing w:before="120"/>
        <w:rPr>
          <w:color w:val="000000" w:themeColor="text1"/>
        </w:rPr>
      </w:pPr>
      <w:r>
        <w:rPr>
          <w:color w:val="000000" w:themeColor="text1"/>
        </w:rPr>
        <w:t>Additional relative gains</w:t>
      </w:r>
      <w:r w:rsidR="00951C39">
        <w:rPr>
          <w:color w:val="000000" w:themeColor="text1"/>
        </w:rPr>
        <w:t xml:space="preserve"> </w:t>
      </w:r>
      <w:r>
        <w:rPr>
          <w:color w:val="000000" w:themeColor="text1"/>
        </w:rPr>
        <w:t>from</w:t>
      </w:r>
      <w:r w:rsidR="006A44A6">
        <w:rPr>
          <w:color w:val="000000" w:themeColor="text1"/>
        </w:rPr>
        <w:t xml:space="preserve"> </w:t>
      </w:r>
      <w:r w:rsidR="00951C39">
        <w:rPr>
          <w:color w:val="000000" w:themeColor="text1"/>
        </w:rPr>
        <w:t xml:space="preserve">UL Tx switching </w:t>
      </w:r>
      <w:r>
        <w:rPr>
          <w:color w:val="000000" w:themeColor="text1"/>
        </w:rPr>
        <w:t xml:space="preserve">when using </w:t>
      </w:r>
      <w:r w:rsidR="00951C39">
        <w:rPr>
          <w:color w:val="000000" w:themeColor="text1"/>
        </w:rPr>
        <w:t xml:space="preserve">3 or 4 bands </w:t>
      </w:r>
      <w:r>
        <w:rPr>
          <w:color w:val="000000" w:themeColor="text1"/>
        </w:rPr>
        <w:t>may be limited.</w:t>
      </w:r>
    </w:p>
    <w:p w14:paraId="2D984231" w14:textId="4B5F8581" w:rsidR="00FA5970" w:rsidRDefault="00FA5970" w:rsidP="00AF25F3">
      <w:pPr>
        <w:jc w:val="both"/>
        <w:rPr>
          <w:rFonts w:cs="Arial"/>
          <w:szCs w:val="20"/>
        </w:rPr>
      </w:pPr>
    </w:p>
    <w:p w14:paraId="78C48AAB" w14:textId="5C693802" w:rsidR="008F78A2" w:rsidRDefault="006A44A6" w:rsidP="006E0DE7">
      <w:pPr>
        <w:jc w:val="both"/>
        <w:rPr>
          <w:rFonts w:cs="Arial"/>
          <w:szCs w:val="20"/>
        </w:rPr>
      </w:pPr>
      <w:r>
        <w:rPr>
          <w:rFonts w:cs="Arial"/>
          <w:szCs w:val="20"/>
        </w:rPr>
        <w:t xml:space="preserve">For the UE implementation, </w:t>
      </w:r>
      <w:r w:rsidR="006E0DE7">
        <w:rPr>
          <w:rFonts w:cs="Arial"/>
          <w:szCs w:val="20"/>
        </w:rPr>
        <w:t xml:space="preserve">increasing the number of </w:t>
      </w:r>
      <w:r w:rsidR="00786936">
        <w:rPr>
          <w:rFonts w:cs="Arial"/>
          <w:szCs w:val="20"/>
        </w:rPr>
        <w:t xml:space="preserve">times the </w:t>
      </w:r>
      <w:r w:rsidR="006E0DE7">
        <w:rPr>
          <w:rFonts w:cs="Arial"/>
          <w:szCs w:val="20"/>
        </w:rPr>
        <w:t>Tx chain</w:t>
      </w:r>
      <w:r w:rsidR="00786936">
        <w:rPr>
          <w:rFonts w:cs="Arial"/>
          <w:szCs w:val="20"/>
        </w:rPr>
        <w:t>(s)</w:t>
      </w:r>
      <w:r w:rsidR="006E0DE7">
        <w:rPr>
          <w:rFonts w:cs="Arial"/>
          <w:szCs w:val="20"/>
        </w:rPr>
        <w:t xml:space="preserve"> </w:t>
      </w:r>
      <w:r w:rsidR="00786936">
        <w:rPr>
          <w:rFonts w:cs="Arial"/>
          <w:szCs w:val="20"/>
        </w:rPr>
        <w:t xml:space="preserve">must be switched </w:t>
      </w:r>
      <w:r w:rsidR="006E0DE7">
        <w:rPr>
          <w:rFonts w:cs="Arial"/>
          <w:szCs w:val="20"/>
        </w:rPr>
        <w:t xml:space="preserve">across the configured bands is undesirable from </w:t>
      </w:r>
      <w:r w:rsidR="00786936">
        <w:rPr>
          <w:rFonts w:cs="Arial"/>
          <w:szCs w:val="20"/>
        </w:rPr>
        <w:t>the</w:t>
      </w:r>
      <w:r w:rsidR="006E0DE7">
        <w:rPr>
          <w:rFonts w:cs="Arial"/>
          <w:szCs w:val="20"/>
        </w:rPr>
        <w:t xml:space="preserve"> complexity point of view. S</w:t>
      </w:r>
      <w:r w:rsidR="001D6062">
        <w:rPr>
          <w:rFonts w:cs="Arial"/>
          <w:szCs w:val="20"/>
        </w:rPr>
        <w:t xml:space="preserve">upport of </w:t>
      </w:r>
      <w:r w:rsidR="008F5277">
        <w:rPr>
          <w:rFonts w:cs="Arial"/>
          <w:szCs w:val="20"/>
        </w:rPr>
        <w:t xml:space="preserve">UL Tx switching </w:t>
      </w:r>
      <w:r w:rsidR="001D6062">
        <w:rPr>
          <w:rFonts w:cs="Arial"/>
          <w:szCs w:val="20"/>
        </w:rPr>
        <w:t xml:space="preserve">using </w:t>
      </w:r>
      <w:r w:rsidR="008F5277">
        <w:rPr>
          <w:rFonts w:cs="Arial"/>
          <w:szCs w:val="20"/>
        </w:rPr>
        <w:t xml:space="preserve">3 or 4 bands </w:t>
      </w:r>
      <w:r w:rsidR="001D6062">
        <w:rPr>
          <w:rFonts w:cs="Arial"/>
          <w:szCs w:val="20"/>
        </w:rPr>
        <w:t>would result in a significantly increased number of possible switching cases if the full flexibility provided by R17</w:t>
      </w:r>
      <w:r w:rsidR="009D1B3F">
        <w:rPr>
          <w:rFonts w:cs="Arial"/>
          <w:szCs w:val="20"/>
        </w:rPr>
        <w:t xml:space="preserve"> in the </w:t>
      </w:r>
      <w:r w:rsidR="009B52A6">
        <w:rPr>
          <w:rFonts w:cs="Arial"/>
          <w:szCs w:val="20"/>
        </w:rPr>
        <w:t>2-band</w:t>
      </w:r>
      <w:r w:rsidR="009D1B3F">
        <w:rPr>
          <w:rFonts w:cs="Arial"/>
          <w:szCs w:val="20"/>
        </w:rPr>
        <w:t xml:space="preserve"> case</w:t>
      </w:r>
      <w:r w:rsidR="001D6062">
        <w:rPr>
          <w:rFonts w:cs="Arial"/>
          <w:szCs w:val="20"/>
        </w:rPr>
        <w:t xml:space="preserve">, e.g., </w:t>
      </w:r>
      <w:r w:rsidR="009D1B3F">
        <w:rPr>
          <w:rFonts w:cs="Arial"/>
          <w:szCs w:val="20"/>
        </w:rPr>
        <w:t xml:space="preserve">all </w:t>
      </w:r>
      <w:r w:rsidR="006E0DE7">
        <w:rPr>
          <w:rFonts w:cs="Arial"/>
          <w:szCs w:val="20"/>
        </w:rPr>
        <w:t xml:space="preserve">Tx chain configurations </w:t>
      </w:r>
      <w:r w:rsidR="00991E4D">
        <w:rPr>
          <w:rFonts w:cs="Arial"/>
          <w:szCs w:val="20"/>
        </w:rPr>
        <w:t xml:space="preserve">on </w:t>
      </w:r>
      <w:r w:rsidR="009D1B3F">
        <w:rPr>
          <w:rFonts w:cs="Arial"/>
          <w:szCs w:val="20"/>
        </w:rPr>
        <w:t>any carrier,</w:t>
      </w:r>
      <w:r w:rsidR="001D6062">
        <w:rPr>
          <w:rFonts w:cs="Arial"/>
          <w:szCs w:val="20"/>
        </w:rPr>
        <w:t xml:space="preserve"> is extended</w:t>
      </w:r>
      <w:r w:rsidR="009D1B3F">
        <w:rPr>
          <w:rFonts w:cs="Arial"/>
          <w:szCs w:val="20"/>
        </w:rPr>
        <w:t xml:space="preserve"> to the 3 or 4 band case.</w:t>
      </w:r>
      <w:r w:rsidR="00A43ABD">
        <w:rPr>
          <w:rFonts w:cs="Arial"/>
          <w:szCs w:val="20"/>
        </w:rPr>
        <w:t xml:space="preserve"> We do not think this is desirable. For UEs supporting the UL Tx switching feature, support</w:t>
      </w:r>
      <w:r w:rsidR="008F78A2">
        <w:rPr>
          <w:rFonts w:cs="Arial"/>
          <w:szCs w:val="20"/>
        </w:rPr>
        <w:t>ing</w:t>
      </w:r>
      <w:r w:rsidR="00A43ABD">
        <w:rPr>
          <w:rFonts w:cs="Arial"/>
          <w:szCs w:val="20"/>
        </w:rPr>
        <w:t xml:space="preserve"> the R18 </w:t>
      </w:r>
      <w:r w:rsidR="008F78A2">
        <w:rPr>
          <w:rFonts w:cs="Arial"/>
          <w:szCs w:val="20"/>
        </w:rPr>
        <w:t xml:space="preserve">UL Tx </w:t>
      </w:r>
      <w:r w:rsidR="008F78A2">
        <w:rPr>
          <w:rFonts w:cs="Arial"/>
          <w:szCs w:val="20"/>
        </w:rPr>
        <w:lastRenderedPageBreak/>
        <w:t xml:space="preserve">switching feature with </w:t>
      </w:r>
      <w:r w:rsidR="00A43ABD">
        <w:rPr>
          <w:rFonts w:cs="Arial"/>
          <w:szCs w:val="20"/>
        </w:rPr>
        <w:t xml:space="preserve">3 or 4 configured bands should not </w:t>
      </w:r>
      <w:r w:rsidR="008F78A2">
        <w:rPr>
          <w:rFonts w:cs="Arial"/>
          <w:szCs w:val="20"/>
        </w:rPr>
        <w:t xml:space="preserve">result in increased implementation complexity </w:t>
      </w:r>
      <w:r w:rsidR="00A43ABD">
        <w:rPr>
          <w:rFonts w:cs="Arial"/>
          <w:szCs w:val="20"/>
        </w:rPr>
        <w:t>when compared to R17.</w:t>
      </w:r>
    </w:p>
    <w:p w14:paraId="591A1C5A" w14:textId="77777777" w:rsidR="009B52A6" w:rsidRDefault="00991E4D" w:rsidP="006E0DE7">
      <w:pPr>
        <w:jc w:val="both"/>
        <w:rPr>
          <w:rFonts w:cs="Arial"/>
          <w:szCs w:val="20"/>
        </w:rPr>
      </w:pPr>
      <w:r>
        <w:rPr>
          <w:rFonts w:cs="Arial"/>
          <w:szCs w:val="20"/>
        </w:rPr>
        <w:t xml:space="preserve">If meaningful gains </w:t>
      </w:r>
      <w:r w:rsidR="00A43ABD">
        <w:rPr>
          <w:rFonts w:cs="Arial"/>
          <w:szCs w:val="20"/>
        </w:rPr>
        <w:t xml:space="preserve">from </w:t>
      </w:r>
      <w:r>
        <w:rPr>
          <w:rFonts w:cs="Arial"/>
          <w:szCs w:val="20"/>
        </w:rPr>
        <w:t xml:space="preserve">UL Tx switching </w:t>
      </w:r>
      <w:r w:rsidR="009B52A6">
        <w:rPr>
          <w:rFonts w:cs="Arial"/>
          <w:szCs w:val="20"/>
        </w:rPr>
        <w:t>for</w:t>
      </w:r>
      <w:r>
        <w:rPr>
          <w:rFonts w:cs="Arial"/>
          <w:szCs w:val="20"/>
        </w:rPr>
        <w:t xml:space="preserve"> 3 or 4 configured bands </w:t>
      </w:r>
      <w:r w:rsidR="009B52A6">
        <w:rPr>
          <w:rFonts w:cs="Arial"/>
          <w:szCs w:val="20"/>
        </w:rPr>
        <w:t xml:space="preserve">with </w:t>
      </w:r>
      <w:r>
        <w:rPr>
          <w:rFonts w:cs="Arial"/>
          <w:szCs w:val="20"/>
        </w:rPr>
        <w:t>2 TX UEs can be shown,</w:t>
      </w:r>
      <w:r w:rsidRPr="00991E4D">
        <w:rPr>
          <w:rFonts w:cs="Arial"/>
          <w:szCs w:val="20"/>
        </w:rPr>
        <w:t xml:space="preserve"> </w:t>
      </w:r>
      <w:r>
        <w:rPr>
          <w:rFonts w:cs="Arial"/>
          <w:szCs w:val="20"/>
        </w:rPr>
        <w:t>there are two possible options for the resulting R18 specification work to consider</w:t>
      </w:r>
      <w:r w:rsidR="00211491">
        <w:rPr>
          <w:rFonts w:cs="Arial"/>
          <w:szCs w:val="20"/>
        </w:rPr>
        <w:t>.</w:t>
      </w:r>
    </w:p>
    <w:p w14:paraId="358CF315" w14:textId="7F8980AB" w:rsidR="00786936" w:rsidRDefault="00991E4D" w:rsidP="006E0DE7">
      <w:pPr>
        <w:jc w:val="both"/>
        <w:rPr>
          <w:rFonts w:cs="Arial"/>
          <w:szCs w:val="20"/>
        </w:rPr>
      </w:pPr>
      <w:r>
        <w:rPr>
          <w:rFonts w:cs="Arial"/>
          <w:szCs w:val="20"/>
        </w:rPr>
        <w:t>Option 1 is to introduce support for UL T</w:t>
      </w:r>
      <w:r w:rsidR="008F78A2">
        <w:rPr>
          <w:rFonts w:cs="Arial"/>
          <w:szCs w:val="20"/>
        </w:rPr>
        <w:t>x</w:t>
      </w:r>
      <w:r>
        <w:rPr>
          <w:rFonts w:cs="Arial"/>
          <w:szCs w:val="20"/>
        </w:rPr>
        <w:t xml:space="preserve"> switching in 3 or 4 configured bands through RRC, but </w:t>
      </w:r>
      <w:r w:rsidR="00A43ABD">
        <w:rPr>
          <w:rFonts w:cs="Arial"/>
          <w:szCs w:val="20"/>
        </w:rPr>
        <w:t xml:space="preserve">then </w:t>
      </w:r>
      <w:r>
        <w:rPr>
          <w:rFonts w:cs="Arial"/>
          <w:szCs w:val="20"/>
        </w:rPr>
        <w:t xml:space="preserve">limit </w:t>
      </w:r>
      <w:r w:rsidR="00A43ABD">
        <w:rPr>
          <w:rFonts w:cs="Arial"/>
          <w:szCs w:val="20"/>
        </w:rPr>
        <w:t xml:space="preserve">the full </w:t>
      </w:r>
      <w:r>
        <w:rPr>
          <w:rFonts w:cs="Arial"/>
          <w:szCs w:val="20"/>
        </w:rPr>
        <w:t xml:space="preserve">port switching </w:t>
      </w:r>
      <w:r w:rsidR="00A43ABD">
        <w:rPr>
          <w:rFonts w:cs="Arial"/>
          <w:szCs w:val="20"/>
        </w:rPr>
        <w:t>flexibility</w:t>
      </w:r>
      <w:r w:rsidR="00DE40DD">
        <w:rPr>
          <w:rFonts w:cs="Arial"/>
          <w:szCs w:val="20"/>
        </w:rPr>
        <w:t xml:space="preserve"> from R17</w:t>
      </w:r>
      <w:r w:rsidR="00A43ABD">
        <w:rPr>
          <w:rFonts w:cs="Arial"/>
          <w:szCs w:val="20"/>
        </w:rPr>
        <w:t xml:space="preserve">, e.g., </w:t>
      </w:r>
      <w:r w:rsidR="00211491">
        <w:rPr>
          <w:rFonts w:cs="Arial"/>
          <w:szCs w:val="20"/>
        </w:rPr>
        <w:t xml:space="preserve">use of any </w:t>
      </w:r>
      <w:r w:rsidR="00A43ABD">
        <w:rPr>
          <w:rFonts w:cs="Arial"/>
          <w:szCs w:val="20"/>
        </w:rPr>
        <w:t>0/1/2 port</w:t>
      </w:r>
      <w:r w:rsidR="00211491">
        <w:rPr>
          <w:rFonts w:cs="Arial"/>
          <w:szCs w:val="20"/>
        </w:rPr>
        <w:t xml:space="preserve"> combination, </w:t>
      </w:r>
      <w:r>
        <w:rPr>
          <w:rFonts w:cs="Arial"/>
          <w:szCs w:val="20"/>
        </w:rPr>
        <w:t xml:space="preserve">to 2 (out of </w:t>
      </w:r>
      <w:r w:rsidR="00A43ABD">
        <w:rPr>
          <w:rFonts w:cs="Arial"/>
          <w:szCs w:val="20"/>
        </w:rPr>
        <w:t xml:space="preserve">the </w:t>
      </w:r>
      <w:r>
        <w:rPr>
          <w:rFonts w:cs="Arial"/>
          <w:szCs w:val="20"/>
        </w:rPr>
        <w:t xml:space="preserve">3 or 4) </w:t>
      </w:r>
      <w:r w:rsidR="00A43ABD">
        <w:rPr>
          <w:rFonts w:cs="Arial"/>
          <w:szCs w:val="20"/>
        </w:rPr>
        <w:t xml:space="preserve">RRC </w:t>
      </w:r>
      <w:r>
        <w:rPr>
          <w:rFonts w:cs="Arial"/>
          <w:szCs w:val="20"/>
        </w:rPr>
        <w:t>configured</w:t>
      </w:r>
      <w:r w:rsidR="00A43ABD">
        <w:rPr>
          <w:rFonts w:cs="Arial"/>
          <w:szCs w:val="20"/>
        </w:rPr>
        <w:t xml:space="preserve"> bands. </w:t>
      </w:r>
      <w:r w:rsidR="00DE40DD">
        <w:rPr>
          <w:rFonts w:cs="Arial"/>
          <w:szCs w:val="20"/>
        </w:rPr>
        <w:t>Option 2 is to extend port switching for all 3 or 4 configured bands, but then to limit port switching cases to 0/1p</w:t>
      </w:r>
      <w:r w:rsidR="008F78A2">
        <w:rPr>
          <w:rFonts w:cs="Arial"/>
          <w:szCs w:val="20"/>
        </w:rPr>
        <w:t xml:space="preserve"> if 3 or 4 bands are configured for the UE</w:t>
      </w:r>
      <w:r w:rsidR="00DE40DD">
        <w:rPr>
          <w:rFonts w:cs="Arial"/>
          <w:szCs w:val="20"/>
        </w:rPr>
        <w:t xml:space="preserve">. Option 2 would essentially extend </w:t>
      </w:r>
      <w:r w:rsidR="00786936">
        <w:rPr>
          <w:rFonts w:cs="Arial"/>
          <w:szCs w:val="20"/>
        </w:rPr>
        <w:t xml:space="preserve">the </w:t>
      </w:r>
      <w:r w:rsidR="00DE40DD">
        <w:rPr>
          <w:rFonts w:cs="Arial"/>
          <w:szCs w:val="20"/>
        </w:rPr>
        <w:t xml:space="preserve">R16 UL </w:t>
      </w:r>
      <w:r w:rsidR="008F78A2">
        <w:rPr>
          <w:rFonts w:cs="Arial"/>
          <w:szCs w:val="20"/>
        </w:rPr>
        <w:t xml:space="preserve">Tx </w:t>
      </w:r>
      <w:r w:rsidR="00DE40DD">
        <w:rPr>
          <w:rFonts w:cs="Arial"/>
          <w:szCs w:val="20"/>
        </w:rPr>
        <w:t xml:space="preserve">switching </w:t>
      </w:r>
      <w:r w:rsidR="00786936">
        <w:rPr>
          <w:rFonts w:cs="Arial"/>
          <w:szCs w:val="20"/>
        </w:rPr>
        <w:t xml:space="preserve">feature </w:t>
      </w:r>
      <w:r w:rsidR="00DE40DD">
        <w:rPr>
          <w:rFonts w:cs="Arial"/>
          <w:szCs w:val="20"/>
        </w:rPr>
        <w:t xml:space="preserve">from 2 </w:t>
      </w:r>
      <w:r w:rsidR="008F78A2">
        <w:rPr>
          <w:rFonts w:cs="Arial"/>
          <w:szCs w:val="20"/>
        </w:rPr>
        <w:t xml:space="preserve">(R16) </w:t>
      </w:r>
      <w:r w:rsidR="00DE40DD">
        <w:rPr>
          <w:rFonts w:cs="Arial"/>
          <w:szCs w:val="20"/>
        </w:rPr>
        <w:t>to 3 or 4 bands</w:t>
      </w:r>
      <w:r w:rsidR="008F78A2">
        <w:rPr>
          <w:rFonts w:cs="Arial"/>
          <w:szCs w:val="20"/>
        </w:rPr>
        <w:t xml:space="preserve"> (R18)</w:t>
      </w:r>
      <w:r w:rsidR="00DE40DD">
        <w:rPr>
          <w:rFonts w:cs="Arial"/>
          <w:szCs w:val="20"/>
        </w:rPr>
        <w:t>, e.g., no UL MIMO</w:t>
      </w:r>
      <w:r w:rsidR="00211491">
        <w:rPr>
          <w:rFonts w:cs="Arial"/>
          <w:szCs w:val="20"/>
        </w:rPr>
        <w:t xml:space="preserve"> (R17)</w:t>
      </w:r>
      <w:r w:rsidR="00DE40DD">
        <w:rPr>
          <w:rFonts w:cs="Arial"/>
          <w:szCs w:val="20"/>
        </w:rPr>
        <w:t>. Option 1 would restrict the possibility of using UL MIMO to at most 2 selected bands in the band combinations</w:t>
      </w:r>
      <w:r w:rsidR="00211491">
        <w:rPr>
          <w:rFonts w:cs="Arial"/>
          <w:szCs w:val="20"/>
        </w:rPr>
        <w:t xml:space="preserve"> even if 3 or 4 bands are configured</w:t>
      </w:r>
      <w:r w:rsidR="008F78A2">
        <w:rPr>
          <w:rFonts w:cs="Arial"/>
          <w:szCs w:val="20"/>
        </w:rPr>
        <w:t>.</w:t>
      </w:r>
    </w:p>
    <w:p w14:paraId="2E82810F" w14:textId="750DDF10" w:rsidR="001D6062" w:rsidRDefault="00786936" w:rsidP="00553F50">
      <w:pPr>
        <w:jc w:val="both"/>
        <w:rPr>
          <w:rFonts w:cs="Arial"/>
          <w:szCs w:val="20"/>
        </w:rPr>
      </w:pPr>
      <w:r>
        <w:rPr>
          <w:rFonts w:cs="Arial"/>
          <w:szCs w:val="20"/>
        </w:rPr>
        <w:t xml:space="preserve">With respect to the number of Tx chain switches required, </w:t>
      </w:r>
      <w:r w:rsidR="00553F50">
        <w:rPr>
          <w:rFonts w:cs="Arial"/>
          <w:szCs w:val="20"/>
        </w:rPr>
        <w:t xml:space="preserve">dependencies exist in terms of the NR band combinations in which UL Tx switching is supported by the UE. For a given set of </w:t>
      </w:r>
      <w:r w:rsidR="00553F50" w:rsidRPr="00553F50">
        <w:rPr>
          <w:rFonts w:cs="Arial"/>
          <w:szCs w:val="20"/>
        </w:rPr>
        <w:t xml:space="preserve">allowable Tx chain configurations </w:t>
      </w:r>
      <w:r w:rsidR="00553F50">
        <w:rPr>
          <w:rFonts w:cs="Arial"/>
          <w:szCs w:val="20"/>
        </w:rPr>
        <w:t>for</w:t>
      </w:r>
      <w:r w:rsidR="00553F50" w:rsidRPr="00553F50">
        <w:rPr>
          <w:rFonts w:cs="Arial"/>
          <w:szCs w:val="20"/>
        </w:rPr>
        <w:t xml:space="preserve"> </w:t>
      </w:r>
      <w:r w:rsidR="00553F50">
        <w:rPr>
          <w:rFonts w:cs="Arial"/>
          <w:szCs w:val="20"/>
        </w:rPr>
        <w:t xml:space="preserve">the </w:t>
      </w:r>
      <w:r w:rsidR="00553F50" w:rsidRPr="00553F50">
        <w:rPr>
          <w:rFonts w:cs="Arial"/>
          <w:szCs w:val="20"/>
        </w:rPr>
        <w:t>bands</w:t>
      </w:r>
      <w:r w:rsidR="00553F50">
        <w:rPr>
          <w:rFonts w:cs="Arial"/>
          <w:szCs w:val="20"/>
        </w:rPr>
        <w:t xml:space="preserve"> in the band combination</w:t>
      </w:r>
      <w:r w:rsidR="00553F50" w:rsidRPr="00553F50">
        <w:rPr>
          <w:rFonts w:cs="Arial"/>
          <w:szCs w:val="20"/>
        </w:rPr>
        <w:t xml:space="preserve">, the </w:t>
      </w:r>
      <w:r w:rsidR="00553F50">
        <w:rPr>
          <w:rFonts w:cs="Arial"/>
          <w:szCs w:val="20"/>
        </w:rPr>
        <w:t xml:space="preserve">number of </w:t>
      </w:r>
      <w:r w:rsidR="002F52B0">
        <w:rPr>
          <w:rFonts w:cs="Arial"/>
          <w:szCs w:val="20"/>
        </w:rPr>
        <w:t xml:space="preserve">required </w:t>
      </w:r>
      <w:r w:rsidR="00553F50">
        <w:rPr>
          <w:rFonts w:cs="Arial"/>
          <w:szCs w:val="20"/>
        </w:rPr>
        <w:t>Tx chain switches</w:t>
      </w:r>
      <w:r w:rsidR="00553F50" w:rsidRPr="00553F50">
        <w:rPr>
          <w:rFonts w:cs="Arial"/>
          <w:szCs w:val="20"/>
        </w:rPr>
        <w:t xml:space="preserve"> </w:t>
      </w:r>
      <w:r w:rsidR="00553F50">
        <w:rPr>
          <w:rFonts w:cs="Arial"/>
          <w:szCs w:val="20"/>
        </w:rPr>
        <w:t>is</w:t>
      </w:r>
      <w:r w:rsidR="00553F50" w:rsidRPr="00553F50">
        <w:rPr>
          <w:rFonts w:cs="Arial"/>
          <w:szCs w:val="20"/>
        </w:rPr>
        <w:t xml:space="preserve"> reduced </w:t>
      </w:r>
      <w:r w:rsidR="00553F50">
        <w:rPr>
          <w:rFonts w:cs="Arial"/>
          <w:szCs w:val="20"/>
        </w:rPr>
        <w:t>when</w:t>
      </w:r>
      <w:r w:rsidR="00553F50" w:rsidRPr="00553F50">
        <w:rPr>
          <w:rFonts w:cs="Arial"/>
          <w:szCs w:val="20"/>
        </w:rPr>
        <w:t xml:space="preserve"> increasing </w:t>
      </w:r>
      <w:r w:rsidR="002F52B0">
        <w:rPr>
          <w:rFonts w:cs="Arial"/>
          <w:szCs w:val="20"/>
        </w:rPr>
        <w:t xml:space="preserve">flexibility in </w:t>
      </w:r>
      <w:r w:rsidR="00553F50" w:rsidRPr="00553F50">
        <w:rPr>
          <w:rFonts w:cs="Arial"/>
          <w:szCs w:val="20"/>
        </w:rPr>
        <w:t>the allowed</w:t>
      </w:r>
      <w:r w:rsidR="00553F50">
        <w:rPr>
          <w:rFonts w:cs="Arial"/>
          <w:szCs w:val="20"/>
        </w:rPr>
        <w:t xml:space="preserve"> </w:t>
      </w:r>
      <w:r w:rsidR="002F52B0">
        <w:rPr>
          <w:rFonts w:cs="Arial"/>
          <w:szCs w:val="20"/>
        </w:rPr>
        <w:t xml:space="preserve">set of </w:t>
      </w:r>
      <w:r w:rsidR="00553F50" w:rsidRPr="00553F50">
        <w:rPr>
          <w:rFonts w:cs="Arial"/>
          <w:szCs w:val="20"/>
        </w:rPr>
        <w:t xml:space="preserve">port combinations. For example, if </w:t>
      </w:r>
      <w:r w:rsidR="00553F50">
        <w:rPr>
          <w:rFonts w:cs="Arial"/>
          <w:szCs w:val="20"/>
        </w:rPr>
        <w:t xml:space="preserve">the </w:t>
      </w:r>
      <w:r w:rsidR="00553F50" w:rsidRPr="00553F50">
        <w:rPr>
          <w:rFonts w:cs="Arial"/>
          <w:szCs w:val="20"/>
        </w:rPr>
        <w:t>1p</w:t>
      </w:r>
      <w:r w:rsidR="00553F50">
        <w:rPr>
          <w:rFonts w:cs="Arial"/>
          <w:szCs w:val="20"/>
        </w:rPr>
        <w:t xml:space="preserve"> </w:t>
      </w:r>
      <w:r w:rsidR="00553F50" w:rsidRPr="00553F50">
        <w:rPr>
          <w:rFonts w:cs="Arial"/>
          <w:szCs w:val="20"/>
        </w:rPr>
        <w:t>+</w:t>
      </w:r>
      <w:r w:rsidR="00553F50">
        <w:rPr>
          <w:rFonts w:cs="Arial"/>
          <w:szCs w:val="20"/>
        </w:rPr>
        <w:t xml:space="preserve"> </w:t>
      </w:r>
      <w:r w:rsidR="00553F50" w:rsidRPr="00553F50">
        <w:rPr>
          <w:rFonts w:cs="Arial"/>
          <w:szCs w:val="20"/>
        </w:rPr>
        <w:t>0p port combination is not allowed when 1</w:t>
      </w:r>
      <w:r w:rsidR="00553F50">
        <w:rPr>
          <w:rFonts w:cs="Arial"/>
          <w:szCs w:val="20"/>
        </w:rPr>
        <w:t xml:space="preserve"> </w:t>
      </w:r>
      <w:r w:rsidR="00553F50" w:rsidRPr="00553F50">
        <w:rPr>
          <w:rFonts w:cs="Arial"/>
          <w:szCs w:val="20"/>
        </w:rPr>
        <w:t>T</w:t>
      </w:r>
      <w:r w:rsidR="00553F50">
        <w:rPr>
          <w:rFonts w:cs="Arial"/>
          <w:szCs w:val="20"/>
        </w:rPr>
        <w:t xml:space="preserve">X </w:t>
      </w:r>
      <w:r w:rsidR="00553F50" w:rsidRPr="00553F50">
        <w:rPr>
          <w:rFonts w:cs="Arial"/>
          <w:szCs w:val="20"/>
        </w:rPr>
        <w:t>+</w:t>
      </w:r>
      <w:r w:rsidR="00553F50">
        <w:rPr>
          <w:rFonts w:cs="Arial"/>
          <w:szCs w:val="20"/>
        </w:rPr>
        <w:t xml:space="preserve"> </w:t>
      </w:r>
      <w:r w:rsidR="00553F50" w:rsidRPr="00553F50">
        <w:rPr>
          <w:rFonts w:cs="Arial"/>
          <w:szCs w:val="20"/>
        </w:rPr>
        <w:t>1T</w:t>
      </w:r>
      <w:r w:rsidR="00553F50">
        <w:rPr>
          <w:rFonts w:cs="Arial"/>
          <w:szCs w:val="20"/>
        </w:rPr>
        <w:t>X</w:t>
      </w:r>
      <w:r w:rsidR="00553F50" w:rsidRPr="00553F50">
        <w:rPr>
          <w:rFonts w:cs="Arial"/>
          <w:szCs w:val="20"/>
        </w:rPr>
        <w:t xml:space="preserve"> is configured, then every time a 1p transmission is scheduled </w:t>
      </w:r>
      <w:r w:rsidR="00553F50">
        <w:rPr>
          <w:rFonts w:cs="Arial"/>
          <w:szCs w:val="20"/>
        </w:rPr>
        <w:t>in the first NR band</w:t>
      </w:r>
      <w:r w:rsidR="00553F50" w:rsidRPr="00553F50">
        <w:rPr>
          <w:rFonts w:cs="Arial"/>
          <w:szCs w:val="20"/>
        </w:rPr>
        <w:t xml:space="preserve"> would lead to</w:t>
      </w:r>
      <w:r w:rsidR="00553F50">
        <w:rPr>
          <w:rFonts w:cs="Arial"/>
          <w:szCs w:val="20"/>
        </w:rPr>
        <w:t xml:space="preserve"> switching if only one </w:t>
      </w:r>
      <w:r w:rsidR="00553F50" w:rsidRPr="00553F50">
        <w:rPr>
          <w:rFonts w:cs="Arial"/>
          <w:szCs w:val="20"/>
        </w:rPr>
        <w:t>Tx</w:t>
      </w:r>
      <w:r w:rsidR="00553F50">
        <w:rPr>
          <w:rFonts w:cs="Arial"/>
          <w:szCs w:val="20"/>
        </w:rPr>
        <w:t xml:space="preserve"> chain is configured. On the other hand, if the port combination </w:t>
      </w:r>
      <w:r w:rsidR="00553F50" w:rsidRPr="00553F50">
        <w:rPr>
          <w:rFonts w:cs="Arial"/>
          <w:szCs w:val="20"/>
        </w:rPr>
        <w:t>is allowed</w:t>
      </w:r>
      <w:r w:rsidR="00553F50">
        <w:rPr>
          <w:rFonts w:cs="Arial"/>
          <w:szCs w:val="20"/>
        </w:rPr>
        <w:t xml:space="preserve">, the </w:t>
      </w:r>
      <w:r w:rsidR="002F52B0">
        <w:rPr>
          <w:rFonts w:cs="Arial"/>
          <w:szCs w:val="20"/>
        </w:rPr>
        <w:t xml:space="preserve">switch of the Tx chain </w:t>
      </w:r>
      <w:r w:rsidR="00553F50">
        <w:rPr>
          <w:rFonts w:cs="Arial"/>
          <w:szCs w:val="20"/>
        </w:rPr>
        <w:t>can be avoided</w:t>
      </w:r>
      <w:r w:rsidR="00553F50" w:rsidRPr="00553F50">
        <w:rPr>
          <w:rFonts w:cs="Arial"/>
          <w:szCs w:val="20"/>
        </w:rPr>
        <w:t>.</w:t>
      </w:r>
      <w:r w:rsidR="006E0DE7">
        <w:rPr>
          <w:rFonts w:cs="Arial"/>
          <w:szCs w:val="20"/>
        </w:rPr>
        <w:t xml:space="preserve"> </w:t>
      </w:r>
      <w:r w:rsidR="002F52B0">
        <w:rPr>
          <w:rFonts w:cs="Arial"/>
          <w:szCs w:val="20"/>
        </w:rPr>
        <w:t>Using either Option 1 or 2</w:t>
      </w:r>
      <w:r w:rsidR="006E0DE7">
        <w:rPr>
          <w:rFonts w:cs="Arial"/>
          <w:szCs w:val="20"/>
        </w:rPr>
        <w:t xml:space="preserve">, allowing all possible port combinations for a given Tx chain configuration can be helpful in reducing the number of </w:t>
      </w:r>
      <w:r w:rsidR="002F52B0">
        <w:rPr>
          <w:rFonts w:cs="Arial"/>
          <w:szCs w:val="20"/>
        </w:rPr>
        <w:t xml:space="preserve">required </w:t>
      </w:r>
      <w:r w:rsidR="006E0DE7">
        <w:rPr>
          <w:rFonts w:cs="Arial"/>
          <w:szCs w:val="20"/>
        </w:rPr>
        <w:t>UL Tx switch</w:t>
      </w:r>
      <w:r w:rsidR="002F52B0">
        <w:rPr>
          <w:rFonts w:cs="Arial"/>
          <w:szCs w:val="20"/>
        </w:rPr>
        <w:t>es</w:t>
      </w:r>
      <w:r w:rsidR="006E0DE7">
        <w:rPr>
          <w:rFonts w:cs="Arial"/>
          <w:szCs w:val="20"/>
        </w:rPr>
        <w:t>.</w:t>
      </w:r>
    </w:p>
    <w:p w14:paraId="7218DDA0" w14:textId="64C3C752" w:rsidR="007405AF" w:rsidRPr="009A6CA9" w:rsidRDefault="009A6CA9" w:rsidP="007405AF">
      <w:pPr>
        <w:pStyle w:val="Proposal"/>
        <w:spacing w:before="120"/>
      </w:pPr>
      <w:r>
        <w:rPr>
          <w:color w:val="000000" w:themeColor="text1"/>
        </w:rPr>
        <w:t>If UL Tx switching across 3 or 4 bands is specified in R18, RAN1 to decide amongst the following two options,</w:t>
      </w:r>
    </w:p>
    <w:p w14:paraId="0C639E7F" w14:textId="4B986A1D" w:rsidR="009A6CA9" w:rsidRPr="0062375E" w:rsidRDefault="0062375E" w:rsidP="009A6CA9">
      <w:pPr>
        <w:pStyle w:val="Proposal"/>
        <w:numPr>
          <w:ilvl w:val="1"/>
          <w:numId w:val="2"/>
        </w:numPr>
        <w:spacing w:before="120"/>
      </w:pPr>
      <w:r>
        <w:rPr>
          <w:color w:val="000000" w:themeColor="text1"/>
        </w:rPr>
        <w:t xml:space="preserve">Option 1: </w:t>
      </w:r>
      <w:r w:rsidR="009A6CA9">
        <w:rPr>
          <w:color w:val="000000" w:themeColor="text1"/>
        </w:rPr>
        <w:t xml:space="preserve">0/1/2 port switching is supported for only 2 out of 3 or 4 </w:t>
      </w:r>
      <w:r>
        <w:rPr>
          <w:color w:val="000000" w:themeColor="text1"/>
        </w:rPr>
        <w:t>configured bands</w:t>
      </w:r>
    </w:p>
    <w:p w14:paraId="312BA58A" w14:textId="30335BD4" w:rsidR="0062375E" w:rsidRDefault="0062375E" w:rsidP="009A6CA9">
      <w:pPr>
        <w:pStyle w:val="Proposal"/>
        <w:numPr>
          <w:ilvl w:val="1"/>
          <w:numId w:val="2"/>
        </w:numPr>
        <w:spacing w:before="120"/>
      </w:pPr>
      <w:r>
        <w:rPr>
          <w:color w:val="000000" w:themeColor="text1"/>
        </w:rPr>
        <w:t>Option 2: 0/1</w:t>
      </w:r>
      <w:r w:rsidR="00C565D9">
        <w:rPr>
          <w:color w:val="000000" w:themeColor="text1"/>
        </w:rPr>
        <w:t xml:space="preserve"> port switching is supported across all bands </w:t>
      </w:r>
      <w:r>
        <w:rPr>
          <w:color w:val="000000" w:themeColor="text1"/>
        </w:rPr>
        <w:t>when 3 or 4 bands are configured</w:t>
      </w:r>
    </w:p>
    <w:p w14:paraId="40E309E5" w14:textId="77777777" w:rsidR="00047BD2" w:rsidRPr="001E7AD0" w:rsidRDefault="00047BD2" w:rsidP="00873F07">
      <w:pPr>
        <w:jc w:val="both"/>
      </w:pPr>
    </w:p>
    <w:p w14:paraId="255D639B" w14:textId="149D3BA1" w:rsidR="00C01F33" w:rsidRPr="001E7AD0" w:rsidRDefault="00C01F33" w:rsidP="00873F07">
      <w:pPr>
        <w:pStyle w:val="Heading1"/>
        <w:jc w:val="both"/>
        <w:rPr>
          <w:lang w:val="en-US"/>
        </w:rPr>
      </w:pPr>
      <w:r w:rsidRPr="001E7AD0">
        <w:rPr>
          <w:lang w:val="en-US"/>
        </w:rPr>
        <w:t>Conclusion</w:t>
      </w:r>
    </w:p>
    <w:p w14:paraId="5A650F21" w14:textId="00ADA696" w:rsidR="00E031BD" w:rsidRPr="00373733" w:rsidRDefault="008E065E" w:rsidP="00873F07">
      <w:pPr>
        <w:pStyle w:val="BodyText"/>
      </w:pPr>
      <w:r w:rsidRPr="001E7AD0">
        <w:t xml:space="preserve">In </w:t>
      </w:r>
      <w:r w:rsidR="007729A2" w:rsidRPr="001E7AD0">
        <w:t xml:space="preserve">the previous </w:t>
      </w:r>
      <w:r w:rsidRPr="001E7AD0">
        <w:t>section</w:t>
      </w:r>
      <w:r w:rsidR="007729A2" w:rsidRPr="001E7AD0">
        <w:t>s</w:t>
      </w:r>
      <w:r w:rsidRPr="001E7AD0">
        <w:t xml:space="preserve"> we made the following observations</w:t>
      </w:r>
      <w:r w:rsidR="00D72FE6">
        <w:t xml:space="preserve"> </w:t>
      </w:r>
      <w:r w:rsidR="00D72FE6" w:rsidRPr="00373733">
        <w:t>and proposal</w:t>
      </w:r>
      <w:r w:rsidRPr="00373733">
        <w:t>:</w:t>
      </w:r>
    </w:p>
    <w:p w14:paraId="5633E863" w14:textId="58BD5D98" w:rsidR="009B3739" w:rsidRDefault="009B3739" w:rsidP="009B3739">
      <w:pPr>
        <w:pStyle w:val="Proposal"/>
        <w:numPr>
          <w:ilvl w:val="0"/>
          <w:numId w:val="33"/>
        </w:numPr>
        <w:spacing w:before="120"/>
        <w:rPr>
          <w:color w:val="000000" w:themeColor="text1"/>
        </w:rPr>
      </w:pPr>
      <w:r>
        <w:rPr>
          <w:color w:val="000000" w:themeColor="text1"/>
        </w:rPr>
        <w:t>The ability to fully exploit the UL Tx switching feature across 3 or 4 bands is limited</w:t>
      </w:r>
    </w:p>
    <w:p w14:paraId="205FBA8D" w14:textId="77777777" w:rsidR="009B3739" w:rsidRDefault="009B3739" w:rsidP="009B3739">
      <w:pPr>
        <w:pStyle w:val="Proposal"/>
        <w:numPr>
          <w:ilvl w:val="0"/>
          <w:numId w:val="33"/>
        </w:numPr>
        <w:spacing w:before="120"/>
        <w:rPr>
          <w:color w:val="000000" w:themeColor="text1"/>
        </w:rPr>
      </w:pPr>
      <w:r>
        <w:rPr>
          <w:color w:val="000000" w:themeColor="text1"/>
        </w:rPr>
        <w:t>Additional relative gains from UL Tx switching when using 3 or 4 bands may be limited.</w:t>
      </w:r>
    </w:p>
    <w:p w14:paraId="01C4D11F" w14:textId="77777777" w:rsidR="009B3739" w:rsidRPr="009B3739" w:rsidRDefault="009B3739" w:rsidP="009B3739">
      <w:pPr>
        <w:pStyle w:val="Proposal"/>
        <w:numPr>
          <w:ilvl w:val="0"/>
          <w:numId w:val="36"/>
        </w:numPr>
        <w:spacing w:before="120"/>
        <w:rPr>
          <w:color w:val="000000" w:themeColor="text1"/>
        </w:rPr>
      </w:pPr>
      <w:r w:rsidRPr="009B3739">
        <w:rPr>
          <w:color w:val="000000" w:themeColor="text1"/>
        </w:rPr>
        <w:t>If UL Tx switching across 3 or 4 bands is specified in R18, RAN1 to decide amongst the following two options,</w:t>
      </w:r>
    </w:p>
    <w:p w14:paraId="7697310E" w14:textId="77777777" w:rsidR="009B3739" w:rsidRPr="0062375E" w:rsidRDefault="009B3739" w:rsidP="009B3739">
      <w:pPr>
        <w:pStyle w:val="Proposal"/>
        <w:numPr>
          <w:ilvl w:val="1"/>
          <w:numId w:val="33"/>
        </w:numPr>
        <w:spacing w:before="120"/>
      </w:pPr>
      <w:r>
        <w:rPr>
          <w:color w:val="000000" w:themeColor="text1"/>
        </w:rPr>
        <w:t>Option 1: 0/1/2 port switching is supported for only 2 out of 3 or 4 configured bands</w:t>
      </w:r>
    </w:p>
    <w:p w14:paraId="2141D908" w14:textId="77777777" w:rsidR="009B3739" w:rsidRDefault="009B3739" w:rsidP="009B3739">
      <w:pPr>
        <w:pStyle w:val="Proposal"/>
        <w:numPr>
          <w:ilvl w:val="1"/>
          <w:numId w:val="33"/>
        </w:numPr>
        <w:spacing w:before="120"/>
      </w:pPr>
      <w:r>
        <w:rPr>
          <w:color w:val="000000" w:themeColor="text1"/>
        </w:rPr>
        <w:t>Option 2: 0/1 port switching is supported across all bands when 3 or 4 bands are configured</w:t>
      </w:r>
    </w:p>
    <w:p w14:paraId="747C743C" w14:textId="5A969339" w:rsidR="006E1C82" w:rsidRPr="001E7AD0" w:rsidRDefault="006E1C82" w:rsidP="00873F07">
      <w:pPr>
        <w:pStyle w:val="BodyText"/>
        <w:rPr>
          <w:b/>
          <w:bCs/>
        </w:rPr>
      </w:pPr>
    </w:p>
    <w:p w14:paraId="71D79D99" w14:textId="77777777" w:rsidR="00F507D1" w:rsidRPr="001E7AD0" w:rsidRDefault="00F507D1" w:rsidP="00191FD8">
      <w:pPr>
        <w:pStyle w:val="Heading1"/>
        <w:numPr>
          <w:ilvl w:val="0"/>
          <w:numId w:val="0"/>
        </w:numPr>
        <w:ind w:left="432" w:hanging="432"/>
        <w:jc w:val="both"/>
        <w:rPr>
          <w:lang w:val="en-US"/>
        </w:rPr>
      </w:pPr>
      <w:bookmarkStart w:id="0" w:name="_In-sequence_SDU_delivery"/>
      <w:bookmarkEnd w:id="0"/>
      <w:r w:rsidRPr="001E7AD0">
        <w:rPr>
          <w:lang w:val="en-US"/>
        </w:rPr>
        <w:t>References</w:t>
      </w:r>
    </w:p>
    <w:p w14:paraId="4BC58E35" w14:textId="506BD436" w:rsidR="00C60B65" w:rsidRPr="001E7AD0" w:rsidRDefault="00C60B65" w:rsidP="00873F07">
      <w:pPr>
        <w:pStyle w:val="Reference"/>
      </w:pPr>
      <w:bookmarkStart w:id="1" w:name="_Ref77157032"/>
      <w:bookmarkStart w:id="2" w:name="_Ref174151459"/>
      <w:bookmarkStart w:id="3" w:name="_Ref189809556"/>
      <w:r w:rsidRPr="001E7AD0">
        <w:t>RP-</w:t>
      </w:r>
      <w:r w:rsidR="00010625">
        <w:t>220</w:t>
      </w:r>
      <w:r w:rsidR="00D8077E">
        <w:t>834</w:t>
      </w:r>
      <w:r w:rsidRPr="001E7AD0">
        <w:t xml:space="preserve"> “</w:t>
      </w:r>
      <w:r w:rsidR="00D8077E" w:rsidRPr="00D8077E">
        <w:t>Revised WID on Multi-carrier enhancements</w:t>
      </w:r>
      <w:r w:rsidRPr="001E7AD0">
        <w:t>”</w:t>
      </w:r>
      <w:r w:rsidR="00010625">
        <w:t>;</w:t>
      </w:r>
      <w:r w:rsidRPr="001E7AD0">
        <w:t xml:space="preserve"> RAN#9</w:t>
      </w:r>
      <w:r w:rsidR="00010625">
        <w:t>5-</w:t>
      </w:r>
      <w:r w:rsidRPr="001E7AD0">
        <w:t>e</w:t>
      </w:r>
      <w:bookmarkEnd w:id="1"/>
    </w:p>
    <w:p w14:paraId="69A97732" w14:textId="56E01F1F" w:rsidR="00FF3480" w:rsidRDefault="0073723A" w:rsidP="00CE1484">
      <w:pPr>
        <w:pStyle w:val="Reference"/>
      </w:pPr>
      <w:bookmarkStart w:id="4" w:name="_Ref77157282"/>
      <w:r w:rsidRPr="007E6055">
        <w:rPr>
          <w:color w:val="000000" w:themeColor="text1"/>
        </w:rPr>
        <w:t>R1-2</w:t>
      </w:r>
      <w:r w:rsidR="005757C0" w:rsidRPr="007E6055">
        <w:rPr>
          <w:color w:val="000000" w:themeColor="text1"/>
        </w:rPr>
        <w:t>2</w:t>
      </w:r>
      <w:r w:rsidR="007E6055" w:rsidRPr="007E6055">
        <w:rPr>
          <w:color w:val="000000" w:themeColor="text1"/>
        </w:rPr>
        <w:t>039</w:t>
      </w:r>
      <w:r w:rsidR="00CE1484">
        <w:rPr>
          <w:color w:val="000000" w:themeColor="text1"/>
        </w:rPr>
        <w:t>25</w:t>
      </w:r>
      <w:r w:rsidR="00583F8B" w:rsidRPr="007E6055">
        <w:rPr>
          <w:color w:val="000000" w:themeColor="text1"/>
        </w:rPr>
        <w:t xml:space="preserve"> </w:t>
      </w:r>
      <w:bookmarkEnd w:id="2"/>
      <w:bookmarkEnd w:id="3"/>
      <w:bookmarkEnd w:id="4"/>
      <w:r w:rsidR="00CE1484">
        <w:rPr>
          <w:color w:val="000000" w:themeColor="text1"/>
        </w:rPr>
        <w:t>“</w:t>
      </w:r>
      <w:r w:rsidR="00CE1484" w:rsidRPr="00CE1484">
        <w:rPr>
          <w:color w:val="000000" w:themeColor="text1"/>
        </w:rPr>
        <w:t>Multi-cell PUSCH/PDSCH scheduling with a single DCI</w:t>
      </w:r>
      <w:r w:rsidR="00CE1484">
        <w:rPr>
          <w:color w:val="000000" w:themeColor="text1"/>
        </w:rPr>
        <w:t>”; Samsung</w:t>
      </w:r>
    </w:p>
    <w:sectPr w:rsidR="00FF348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B8D1B" w14:textId="77777777" w:rsidR="00194F4D" w:rsidRDefault="00194F4D">
      <w:r>
        <w:separator/>
      </w:r>
    </w:p>
  </w:endnote>
  <w:endnote w:type="continuationSeparator" w:id="0">
    <w:p w14:paraId="76048E8D" w14:textId="77777777" w:rsidR="00194F4D" w:rsidRDefault="00194F4D">
      <w:r>
        <w:continuationSeparator/>
      </w:r>
    </w:p>
  </w:endnote>
  <w:endnote w:type="continuationNotice" w:id="1">
    <w:p w14:paraId="7F5CC7B8" w14:textId="77777777" w:rsidR="00194F4D" w:rsidRDefault="00194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4723A988"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52B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52B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02927" w14:textId="77777777" w:rsidR="00194F4D" w:rsidRDefault="00194F4D">
      <w:r>
        <w:separator/>
      </w:r>
    </w:p>
  </w:footnote>
  <w:footnote w:type="continuationSeparator" w:id="0">
    <w:p w14:paraId="56E1D0D2" w14:textId="77777777" w:rsidR="00194F4D" w:rsidRDefault="00194F4D">
      <w:r>
        <w:continuationSeparator/>
      </w:r>
    </w:p>
  </w:footnote>
  <w:footnote w:type="continuationNotice" w:id="1">
    <w:p w14:paraId="2FAEF592" w14:textId="77777777" w:rsidR="00194F4D" w:rsidRDefault="00194F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F6343"/>
    <w:multiLevelType w:val="multilevel"/>
    <w:tmpl w:val="DDDE52AE"/>
    <w:styleLink w:val="CurrentList7"/>
    <w:lvl w:ilvl="0">
      <w:start w:val="1"/>
      <w:numFmt w:val="decimal"/>
      <w:lvlText w:val="Observation %1:"/>
      <w:lvlJc w:val="left"/>
      <w:pPr>
        <w:tabs>
          <w:tab w:val="num" w:pos="1474"/>
        </w:tabs>
        <w:ind w:left="1474" w:hanging="147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D4E6604"/>
    <w:multiLevelType w:val="hybridMultilevel"/>
    <w:tmpl w:val="52FCF676"/>
    <w:lvl w:ilvl="0" w:tplc="C108EC3C">
      <w:start w:val="4"/>
      <w:numFmt w:val="bullet"/>
      <w:lvlText w:val="-"/>
      <w:lvlJc w:val="left"/>
      <w:pPr>
        <w:ind w:left="927" w:hanging="360"/>
      </w:pPr>
      <w:rPr>
        <w:rFonts w:ascii="Times New Roman" w:eastAsia="Malgun Gothic"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E3A9E"/>
    <w:multiLevelType w:val="hybridMultilevel"/>
    <w:tmpl w:val="DDDE52AE"/>
    <w:lvl w:ilvl="0" w:tplc="47F056DC">
      <w:start w:val="1"/>
      <w:numFmt w:val="decimal"/>
      <w:lvlText w:val="Observation %1:"/>
      <w:lvlJc w:val="left"/>
      <w:pPr>
        <w:tabs>
          <w:tab w:val="num" w:pos="1474"/>
        </w:tabs>
        <w:ind w:left="1474" w:hanging="147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FE7EA2"/>
    <w:multiLevelType w:val="hybridMultilevel"/>
    <w:tmpl w:val="D75A1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0E5AF7"/>
    <w:multiLevelType w:val="hybridMultilevel"/>
    <w:tmpl w:val="DDDE52AE"/>
    <w:lvl w:ilvl="0" w:tplc="FFFFFFFF">
      <w:start w:val="1"/>
      <w:numFmt w:val="decimal"/>
      <w:lvlText w:val="Observation %1:"/>
      <w:lvlJc w:val="left"/>
      <w:pPr>
        <w:tabs>
          <w:tab w:val="num" w:pos="1474"/>
        </w:tabs>
        <w:ind w:left="1474" w:hanging="1474"/>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44346488">
    <w:abstractNumId w:val="21"/>
  </w:num>
  <w:num w:numId="2" w16cid:durableId="719747761">
    <w:abstractNumId w:val="17"/>
  </w:num>
  <w:num w:numId="3" w16cid:durableId="1934435581">
    <w:abstractNumId w:val="0"/>
  </w:num>
  <w:num w:numId="4" w16cid:durableId="623736316">
    <w:abstractNumId w:val="24"/>
  </w:num>
  <w:num w:numId="5" w16cid:durableId="892234415">
    <w:abstractNumId w:val="25"/>
  </w:num>
  <w:num w:numId="6" w16cid:durableId="977691140">
    <w:abstractNumId w:val="26"/>
  </w:num>
  <w:num w:numId="7" w16cid:durableId="462767976">
    <w:abstractNumId w:val="9"/>
  </w:num>
  <w:num w:numId="8" w16cid:durableId="1185552417">
    <w:abstractNumId w:val="12"/>
  </w:num>
  <w:num w:numId="9" w16cid:durableId="1341011169">
    <w:abstractNumId w:val="5"/>
  </w:num>
  <w:num w:numId="10" w16cid:durableId="1317415785">
    <w:abstractNumId w:val="30"/>
  </w:num>
  <w:num w:numId="11" w16cid:durableId="1776636982">
    <w:abstractNumId w:val="15"/>
  </w:num>
  <w:num w:numId="12" w16cid:durableId="1122725248">
    <w:abstractNumId w:val="29"/>
  </w:num>
  <w:num w:numId="13" w16cid:durableId="1991014295">
    <w:abstractNumId w:val="16"/>
  </w:num>
  <w:num w:numId="14" w16cid:durableId="2138182652">
    <w:abstractNumId w:val="8"/>
  </w:num>
  <w:num w:numId="15" w16cid:durableId="1020738204">
    <w:abstractNumId w:val="13"/>
  </w:num>
  <w:num w:numId="16" w16cid:durableId="1567908429">
    <w:abstractNumId w:val="18"/>
  </w:num>
  <w:num w:numId="17" w16cid:durableId="2043826691">
    <w:abstractNumId w:val="21"/>
  </w:num>
  <w:num w:numId="18" w16cid:durableId="364211017">
    <w:abstractNumId w:val="4"/>
  </w:num>
  <w:num w:numId="19" w16cid:durableId="360283004">
    <w:abstractNumId w:val="10"/>
  </w:num>
  <w:num w:numId="20" w16cid:durableId="597952608">
    <w:abstractNumId w:val="14"/>
  </w:num>
  <w:num w:numId="21" w16cid:durableId="757219350">
    <w:abstractNumId w:val="19"/>
  </w:num>
  <w:num w:numId="22" w16cid:durableId="664549495">
    <w:abstractNumId w:val="7"/>
  </w:num>
  <w:num w:numId="23" w16cid:durableId="1921333660">
    <w:abstractNumId w:val="1"/>
  </w:num>
  <w:num w:numId="24" w16cid:durableId="1630210152">
    <w:abstractNumId w:val="2"/>
  </w:num>
  <w:num w:numId="25" w16cid:durableId="1320308468">
    <w:abstractNumId w:val="3"/>
  </w:num>
  <w:num w:numId="26" w16cid:durableId="1128937135">
    <w:abstractNumId w:val="27"/>
  </w:num>
  <w:num w:numId="27" w16cid:durableId="229386040">
    <w:abstractNumId w:val="17"/>
  </w:num>
  <w:num w:numId="28" w16cid:durableId="1380741552">
    <w:abstractNumId w:val="28"/>
  </w:num>
  <w:num w:numId="29" w16cid:durableId="613630780">
    <w:abstractNumId w:val="11"/>
  </w:num>
  <w:num w:numId="30" w16cid:durableId="1881285852">
    <w:abstractNumId w:val="22"/>
  </w:num>
  <w:num w:numId="31" w16cid:durableId="1023482892">
    <w:abstractNumId w:val="20"/>
  </w:num>
  <w:num w:numId="32" w16cid:durableId="733241405">
    <w:abstractNumId w:val="23"/>
  </w:num>
  <w:num w:numId="33" w16cid:durableId="2083985741">
    <w:abstractNumId w:val="31"/>
  </w:num>
  <w:num w:numId="34" w16cid:durableId="1321036637">
    <w:abstractNumId w:val="6"/>
  </w:num>
  <w:num w:numId="35" w16cid:durableId="348066638">
    <w:abstractNumId w:val="17"/>
  </w:num>
  <w:num w:numId="36" w16cid:durableId="1980644817">
    <w:abstractNumId w:val="1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7E09"/>
    <w:rsid w:val="00020479"/>
    <w:rsid w:val="00021341"/>
    <w:rsid w:val="00021F86"/>
    <w:rsid w:val="00022008"/>
    <w:rsid w:val="0002357D"/>
    <w:rsid w:val="0002363C"/>
    <w:rsid w:val="000242AF"/>
    <w:rsid w:val="00024B50"/>
    <w:rsid w:val="00024DD6"/>
    <w:rsid w:val="0002564D"/>
    <w:rsid w:val="00025ECA"/>
    <w:rsid w:val="00026C90"/>
    <w:rsid w:val="000277BD"/>
    <w:rsid w:val="000306CB"/>
    <w:rsid w:val="000311FE"/>
    <w:rsid w:val="00031550"/>
    <w:rsid w:val="000325B8"/>
    <w:rsid w:val="000337AC"/>
    <w:rsid w:val="0003444C"/>
    <w:rsid w:val="00034AC7"/>
    <w:rsid w:val="00034C15"/>
    <w:rsid w:val="00034D97"/>
    <w:rsid w:val="000361B2"/>
    <w:rsid w:val="00036BA1"/>
    <w:rsid w:val="000405E1"/>
    <w:rsid w:val="00040E5A"/>
    <w:rsid w:val="000422E2"/>
    <w:rsid w:val="00042F22"/>
    <w:rsid w:val="000442CD"/>
    <w:rsid w:val="000444EF"/>
    <w:rsid w:val="00044BAA"/>
    <w:rsid w:val="00046142"/>
    <w:rsid w:val="00046387"/>
    <w:rsid w:val="000471AD"/>
    <w:rsid w:val="00047BBF"/>
    <w:rsid w:val="00047BD2"/>
    <w:rsid w:val="000500F0"/>
    <w:rsid w:val="000501C0"/>
    <w:rsid w:val="00050568"/>
    <w:rsid w:val="00050E8F"/>
    <w:rsid w:val="00051462"/>
    <w:rsid w:val="000514D9"/>
    <w:rsid w:val="0005195C"/>
    <w:rsid w:val="00052615"/>
    <w:rsid w:val="00052A07"/>
    <w:rsid w:val="000534E3"/>
    <w:rsid w:val="00053BBE"/>
    <w:rsid w:val="00053E67"/>
    <w:rsid w:val="0005516C"/>
    <w:rsid w:val="00055C58"/>
    <w:rsid w:val="0005606A"/>
    <w:rsid w:val="00056323"/>
    <w:rsid w:val="00056A50"/>
    <w:rsid w:val="00056FC9"/>
    <w:rsid w:val="00057117"/>
    <w:rsid w:val="00057129"/>
    <w:rsid w:val="0005719E"/>
    <w:rsid w:val="00057531"/>
    <w:rsid w:val="000604B0"/>
    <w:rsid w:val="00060870"/>
    <w:rsid w:val="00060E1A"/>
    <w:rsid w:val="000616E7"/>
    <w:rsid w:val="00062EEC"/>
    <w:rsid w:val="0006324F"/>
    <w:rsid w:val="000633C0"/>
    <w:rsid w:val="0006487E"/>
    <w:rsid w:val="00064956"/>
    <w:rsid w:val="00065BDC"/>
    <w:rsid w:val="00065C2E"/>
    <w:rsid w:val="00065E1A"/>
    <w:rsid w:val="000661CA"/>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4DF"/>
    <w:rsid w:val="00095A5A"/>
    <w:rsid w:val="000960AF"/>
    <w:rsid w:val="00096B9F"/>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A6F"/>
    <w:rsid w:val="000B0DA3"/>
    <w:rsid w:val="000B0F55"/>
    <w:rsid w:val="000B145F"/>
    <w:rsid w:val="000B266F"/>
    <w:rsid w:val="000B2719"/>
    <w:rsid w:val="000B3960"/>
    <w:rsid w:val="000B3A8F"/>
    <w:rsid w:val="000B3B8E"/>
    <w:rsid w:val="000B4409"/>
    <w:rsid w:val="000B4AB9"/>
    <w:rsid w:val="000B51B2"/>
    <w:rsid w:val="000B51C5"/>
    <w:rsid w:val="000B58C3"/>
    <w:rsid w:val="000B61E9"/>
    <w:rsid w:val="000C0AB1"/>
    <w:rsid w:val="000C0B2E"/>
    <w:rsid w:val="000C152F"/>
    <w:rsid w:val="000C165A"/>
    <w:rsid w:val="000C1AE3"/>
    <w:rsid w:val="000C1CB9"/>
    <w:rsid w:val="000C2E19"/>
    <w:rsid w:val="000C3307"/>
    <w:rsid w:val="000C4F15"/>
    <w:rsid w:val="000C6F69"/>
    <w:rsid w:val="000C7858"/>
    <w:rsid w:val="000D0D07"/>
    <w:rsid w:val="000D1DD6"/>
    <w:rsid w:val="000D2EDC"/>
    <w:rsid w:val="000D3138"/>
    <w:rsid w:val="000D35BA"/>
    <w:rsid w:val="000D3EC6"/>
    <w:rsid w:val="000D4797"/>
    <w:rsid w:val="000D5355"/>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DF3"/>
    <w:rsid w:val="000F6F43"/>
    <w:rsid w:val="000F73D3"/>
    <w:rsid w:val="001005FF"/>
    <w:rsid w:val="0010139C"/>
    <w:rsid w:val="00101867"/>
    <w:rsid w:val="0010186F"/>
    <w:rsid w:val="001022C6"/>
    <w:rsid w:val="00102EE8"/>
    <w:rsid w:val="001031E7"/>
    <w:rsid w:val="001033FE"/>
    <w:rsid w:val="00103AA5"/>
    <w:rsid w:val="00104732"/>
    <w:rsid w:val="0010494D"/>
    <w:rsid w:val="0010577B"/>
    <w:rsid w:val="001062FB"/>
    <w:rsid w:val="001063E6"/>
    <w:rsid w:val="00106411"/>
    <w:rsid w:val="0010646D"/>
    <w:rsid w:val="001066CD"/>
    <w:rsid w:val="00112156"/>
    <w:rsid w:val="00112D89"/>
    <w:rsid w:val="00113CF4"/>
    <w:rsid w:val="00114422"/>
    <w:rsid w:val="001144F1"/>
    <w:rsid w:val="001153EA"/>
    <w:rsid w:val="00115643"/>
    <w:rsid w:val="00116751"/>
    <w:rsid w:val="00116765"/>
    <w:rsid w:val="001178B6"/>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3036A"/>
    <w:rsid w:val="001305D3"/>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59A"/>
    <w:rsid w:val="001405B5"/>
    <w:rsid w:val="001406AF"/>
    <w:rsid w:val="00140BC2"/>
    <w:rsid w:val="00141BE3"/>
    <w:rsid w:val="00141FDD"/>
    <w:rsid w:val="00142C64"/>
    <w:rsid w:val="00143597"/>
    <w:rsid w:val="00143EDF"/>
    <w:rsid w:val="00146179"/>
    <w:rsid w:val="001463D8"/>
    <w:rsid w:val="0014662D"/>
    <w:rsid w:val="00146A53"/>
    <w:rsid w:val="00146BBD"/>
    <w:rsid w:val="00147D51"/>
    <w:rsid w:val="001501AC"/>
    <w:rsid w:val="00150551"/>
    <w:rsid w:val="0015085C"/>
    <w:rsid w:val="00150F6E"/>
    <w:rsid w:val="001513F1"/>
    <w:rsid w:val="001519B6"/>
    <w:rsid w:val="00151E23"/>
    <w:rsid w:val="00151F12"/>
    <w:rsid w:val="001526E0"/>
    <w:rsid w:val="00152E0E"/>
    <w:rsid w:val="0015325C"/>
    <w:rsid w:val="00153DBE"/>
    <w:rsid w:val="00153E1E"/>
    <w:rsid w:val="001543D3"/>
    <w:rsid w:val="00154A26"/>
    <w:rsid w:val="001551B5"/>
    <w:rsid w:val="001560C0"/>
    <w:rsid w:val="00156A8F"/>
    <w:rsid w:val="0016065A"/>
    <w:rsid w:val="00160ADE"/>
    <w:rsid w:val="001617E3"/>
    <w:rsid w:val="00161C5B"/>
    <w:rsid w:val="00163227"/>
    <w:rsid w:val="00164264"/>
    <w:rsid w:val="001659C1"/>
    <w:rsid w:val="001664BC"/>
    <w:rsid w:val="001667C1"/>
    <w:rsid w:val="00172ACB"/>
    <w:rsid w:val="00173119"/>
    <w:rsid w:val="001733A8"/>
    <w:rsid w:val="00173718"/>
    <w:rsid w:val="00173A8E"/>
    <w:rsid w:val="00174992"/>
    <w:rsid w:val="0017502C"/>
    <w:rsid w:val="0017563C"/>
    <w:rsid w:val="001758AB"/>
    <w:rsid w:val="001758D7"/>
    <w:rsid w:val="001768B3"/>
    <w:rsid w:val="001805B6"/>
    <w:rsid w:val="0018062B"/>
    <w:rsid w:val="00180724"/>
    <w:rsid w:val="00180C24"/>
    <w:rsid w:val="00180CF0"/>
    <w:rsid w:val="0018143F"/>
    <w:rsid w:val="0018165C"/>
    <w:rsid w:val="001816C0"/>
    <w:rsid w:val="00181EF5"/>
    <w:rsid w:val="00181EFA"/>
    <w:rsid w:val="00181FF8"/>
    <w:rsid w:val="00183C0B"/>
    <w:rsid w:val="00184BE5"/>
    <w:rsid w:val="001853DE"/>
    <w:rsid w:val="0018551A"/>
    <w:rsid w:val="0018568D"/>
    <w:rsid w:val="00186006"/>
    <w:rsid w:val="001863D4"/>
    <w:rsid w:val="00186AEF"/>
    <w:rsid w:val="001872D7"/>
    <w:rsid w:val="001874EA"/>
    <w:rsid w:val="00190AC1"/>
    <w:rsid w:val="00190D3D"/>
    <w:rsid w:val="00191FD8"/>
    <w:rsid w:val="00192280"/>
    <w:rsid w:val="00192312"/>
    <w:rsid w:val="001923E7"/>
    <w:rsid w:val="00192F63"/>
    <w:rsid w:val="0019341A"/>
    <w:rsid w:val="001934C4"/>
    <w:rsid w:val="00193625"/>
    <w:rsid w:val="0019425A"/>
    <w:rsid w:val="001943F4"/>
    <w:rsid w:val="00194949"/>
    <w:rsid w:val="00194F4D"/>
    <w:rsid w:val="001956C5"/>
    <w:rsid w:val="00195EF9"/>
    <w:rsid w:val="00196D2D"/>
    <w:rsid w:val="00196DBA"/>
    <w:rsid w:val="001971D6"/>
    <w:rsid w:val="001978FD"/>
    <w:rsid w:val="00197A65"/>
    <w:rsid w:val="00197DF9"/>
    <w:rsid w:val="001A0337"/>
    <w:rsid w:val="001A058D"/>
    <w:rsid w:val="001A12AC"/>
    <w:rsid w:val="001A1415"/>
    <w:rsid w:val="001A14BC"/>
    <w:rsid w:val="001A1651"/>
    <w:rsid w:val="001A1987"/>
    <w:rsid w:val="001A1B45"/>
    <w:rsid w:val="001A1CD6"/>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349F"/>
    <w:rsid w:val="001C3B81"/>
    <w:rsid w:val="001C3D2A"/>
    <w:rsid w:val="001C5892"/>
    <w:rsid w:val="001C6E6A"/>
    <w:rsid w:val="001C7333"/>
    <w:rsid w:val="001C7545"/>
    <w:rsid w:val="001C7732"/>
    <w:rsid w:val="001C7AB8"/>
    <w:rsid w:val="001D00E0"/>
    <w:rsid w:val="001D258A"/>
    <w:rsid w:val="001D308E"/>
    <w:rsid w:val="001D3352"/>
    <w:rsid w:val="001D37C4"/>
    <w:rsid w:val="001D39E5"/>
    <w:rsid w:val="001D498B"/>
    <w:rsid w:val="001D4B72"/>
    <w:rsid w:val="001D4EBC"/>
    <w:rsid w:val="001D50FD"/>
    <w:rsid w:val="001D51BA"/>
    <w:rsid w:val="001D53E7"/>
    <w:rsid w:val="001D5C85"/>
    <w:rsid w:val="001D5E0D"/>
    <w:rsid w:val="001D6062"/>
    <w:rsid w:val="001D6261"/>
    <w:rsid w:val="001D6342"/>
    <w:rsid w:val="001D6832"/>
    <w:rsid w:val="001D6C0C"/>
    <w:rsid w:val="001D6D53"/>
    <w:rsid w:val="001D6E57"/>
    <w:rsid w:val="001D75F7"/>
    <w:rsid w:val="001E05D9"/>
    <w:rsid w:val="001E189D"/>
    <w:rsid w:val="001E1942"/>
    <w:rsid w:val="001E2CB1"/>
    <w:rsid w:val="001E303A"/>
    <w:rsid w:val="001E3DBF"/>
    <w:rsid w:val="001E57D5"/>
    <w:rsid w:val="001E58E2"/>
    <w:rsid w:val="001E5B62"/>
    <w:rsid w:val="001E5B96"/>
    <w:rsid w:val="001E6206"/>
    <w:rsid w:val="001E74EE"/>
    <w:rsid w:val="001E7AD0"/>
    <w:rsid w:val="001E7AED"/>
    <w:rsid w:val="001E7BD7"/>
    <w:rsid w:val="001F029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1491"/>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9E4"/>
    <w:rsid w:val="0023214D"/>
    <w:rsid w:val="0023259B"/>
    <w:rsid w:val="00232883"/>
    <w:rsid w:val="002329DB"/>
    <w:rsid w:val="002341DC"/>
    <w:rsid w:val="002344F9"/>
    <w:rsid w:val="00235632"/>
    <w:rsid w:val="00235872"/>
    <w:rsid w:val="00236F90"/>
    <w:rsid w:val="00237DF1"/>
    <w:rsid w:val="00240576"/>
    <w:rsid w:val="002411C1"/>
    <w:rsid w:val="00241559"/>
    <w:rsid w:val="0024192D"/>
    <w:rsid w:val="00241B12"/>
    <w:rsid w:val="00242854"/>
    <w:rsid w:val="002435B3"/>
    <w:rsid w:val="002441DA"/>
    <w:rsid w:val="002441EF"/>
    <w:rsid w:val="00245227"/>
    <w:rsid w:val="002457A2"/>
    <w:rsid w:val="002458EB"/>
    <w:rsid w:val="00246A0B"/>
    <w:rsid w:val="00246E63"/>
    <w:rsid w:val="00247B9C"/>
    <w:rsid w:val="00247C58"/>
    <w:rsid w:val="002500C8"/>
    <w:rsid w:val="00250194"/>
    <w:rsid w:val="00250244"/>
    <w:rsid w:val="00252452"/>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333"/>
    <w:rsid w:val="0027144F"/>
    <w:rsid w:val="00271813"/>
    <w:rsid w:val="00271F3A"/>
    <w:rsid w:val="0027232B"/>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5AA"/>
    <w:rsid w:val="00284FC8"/>
    <w:rsid w:val="00285CED"/>
    <w:rsid w:val="002860F0"/>
    <w:rsid w:val="00286810"/>
    <w:rsid w:val="00286ACD"/>
    <w:rsid w:val="002875E2"/>
    <w:rsid w:val="00287838"/>
    <w:rsid w:val="00287884"/>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7B9"/>
    <w:rsid w:val="002A488A"/>
    <w:rsid w:val="002A6B83"/>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C9"/>
    <w:rsid w:val="002C0261"/>
    <w:rsid w:val="002C0575"/>
    <w:rsid w:val="002C162E"/>
    <w:rsid w:val="002C18AC"/>
    <w:rsid w:val="002C1E12"/>
    <w:rsid w:val="002C2E43"/>
    <w:rsid w:val="002C2EDF"/>
    <w:rsid w:val="002C2FF4"/>
    <w:rsid w:val="002C3B89"/>
    <w:rsid w:val="002C41E6"/>
    <w:rsid w:val="002C5726"/>
    <w:rsid w:val="002C5916"/>
    <w:rsid w:val="002C5BD9"/>
    <w:rsid w:val="002D067A"/>
    <w:rsid w:val="002D071A"/>
    <w:rsid w:val="002D2628"/>
    <w:rsid w:val="002D2740"/>
    <w:rsid w:val="002D304D"/>
    <w:rsid w:val="002D34B2"/>
    <w:rsid w:val="002D48B0"/>
    <w:rsid w:val="002D4BE9"/>
    <w:rsid w:val="002D58F6"/>
    <w:rsid w:val="002D5A23"/>
    <w:rsid w:val="002D5B37"/>
    <w:rsid w:val="002D7637"/>
    <w:rsid w:val="002D79C5"/>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379"/>
    <w:rsid w:val="002F04C7"/>
    <w:rsid w:val="002F0E85"/>
    <w:rsid w:val="002F1232"/>
    <w:rsid w:val="002F13E4"/>
    <w:rsid w:val="002F1625"/>
    <w:rsid w:val="002F2771"/>
    <w:rsid w:val="002F2D13"/>
    <w:rsid w:val="002F2DE6"/>
    <w:rsid w:val="002F37A9"/>
    <w:rsid w:val="002F3BEA"/>
    <w:rsid w:val="002F4B8D"/>
    <w:rsid w:val="002F52B0"/>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4C0A"/>
    <w:rsid w:val="0030501F"/>
    <w:rsid w:val="0030595D"/>
    <w:rsid w:val="003060C2"/>
    <w:rsid w:val="00306217"/>
    <w:rsid w:val="0030773F"/>
    <w:rsid w:val="00307BA1"/>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F52"/>
    <w:rsid w:val="00317085"/>
    <w:rsid w:val="00317AEF"/>
    <w:rsid w:val="003203ED"/>
    <w:rsid w:val="00320861"/>
    <w:rsid w:val="003214DE"/>
    <w:rsid w:val="00322C9F"/>
    <w:rsid w:val="00322CDB"/>
    <w:rsid w:val="0032359C"/>
    <w:rsid w:val="00323AE1"/>
    <w:rsid w:val="00324D23"/>
    <w:rsid w:val="00326336"/>
    <w:rsid w:val="003271F1"/>
    <w:rsid w:val="00327BD7"/>
    <w:rsid w:val="00330977"/>
    <w:rsid w:val="00330A3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40043"/>
    <w:rsid w:val="00342BD7"/>
    <w:rsid w:val="00342FCD"/>
    <w:rsid w:val="0034362E"/>
    <w:rsid w:val="003439C6"/>
    <w:rsid w:val="003444E8"/>
    <w:rsid w:val="00344645"/>
    <w:rsid w:val="00344A95"/>
    <w:rsid w:val="00345B9B"/>
    <w:rsid w:val="00345BBC"/>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209F"/>
    <w:rsid w:val="00363039"/>
    <w:rsid w:val="00363573"/>
    <w:rsid w:val="00363B73"/>
    <w:rsid w:val="00364CC8"/>
    <w:rsid w:val="00366503"/>
    <w:rsid w:val="00370362"/>
    <w:rsid w:val="003705AF"/>
    <w:rsid w:val="00370E47"/>
    <w:rsid w:val="0037124A"/>
    <w:rsid w:val="00371B3F"/>
    <w:rsid w:val="00371E8A"/>
    <w:rsid w:val="00372214"/>
    <w:rsid w:val="0037267B"/>
    <w:rsid w:val="00372751"/>
    <w:rsid w:val="0037292E"/>
    <w:rsid w:val="00372BAA"/>
    <w:rsid w:val="00373106"/>
    <w:rsid w:val="0037359F"/>
    <w:rsid w:val="00373733"/>
    <w:rsid w:val="00373951"/>
    <w:rsid w:val="00373986"/>
    <w:rsid w:val="00373CA1"/>
    <w:rsid w:val="00373FD4"/>
    <w:rsid w:val="003742AC"/>
    <w:rsid w:val="00374821"/>
    <w:rsid w:val="00375739"/>
    <w:rsid w:val="00376BFE"/>
    <w:rsid w:val="00377CE1"/>
    <w:rsid w:val="00382967"/>
    <w:rsid w:val="00382B53"/>
    <w:rsid w:val="00384D8B"/>
    <w:rsid w:val="0038587E"/>
    <w:rsid w:val="00385BF0"/>
    <w:rsid w:val="00386233"/>
    <w:rsid w:val="00386B96"/>
    <w:rsid w:val="00387C4C"/>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369F"/>
    <w:rsid w:val="003B36A3"/>
    <w:rsid w:val="003B630E"/>
    <w:rsid w:val="003B64BB"/>
    <w:rsid w:val="003B6797"/>
    <w:rsid w:val="003B69D0"/>
    <w:rsid w:val="003B7A95"/>
    <w:rsid w:val="003B7FE5"/>
    <w:rsid w:val="003C04DA"/>
    <w:rsid w:val="003C04F6"/>
    <w:rsid w:val="003C05F7"/>
    <w:rsid w:val="003C11C8"/>
    <w:rsid w:val="003C2702"/>
    <w:rsid w:val="003C28D7"/>
    <w:rsid w:val="003C4301"/>
    <w:rsid w:val="003C455A"/>
    <w:rsid w:val="003C4C3F"/>
    <w:rsid w:val="003C75A9"/>
    <w:rsid w:val="003C7659"/>
    <w:rsid w:val="003C7806"/>
    <w:rsid w:val="003C7EA0"/>
    <w:rsid w:val="003D0065"/>
    <w:rsid w:val="003D0DF0"/>
    <w:rsid w:val="003D0F6C"/>
    <w:rsid w:val="003D109F"/>
    <w:rsid w:val="003D2478"/>
    <w:rsid w:val="003D3810"/>
    <w:rsid w:val="003D3C45"/>
    <w:rsid w:val="003D3FB7"/>
    <w:rsid w:val="003D42F2"/>
    <w:rsid w:val="003D479F"/>
    <w:rsid w:val="003D495D"/>
    <w:rsid w:val="003D4EF6"/>
    <w:rsid w:val="003D51B2"/>
    <w:rsid w:val="003D54BC"/>
    <w:rsid w:val="003D5B1F"/>
    <w:rsid w:val="003D6BD3"/>
    <w:rsid w:val="003D7BC4"/>
    <w:rsid w:val="003D7EAA"/>
    <w:rsid w:val="003E03D3"/>
    <w:rsid w:val="003E0678"/>
    <w:rsid w:val="003E0C2E"/>
    <w:rsid w:val="003E0D0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CD4"/>
    <w:rsid w:val="003F3012"/>
    <w:rsid w:val="003F3602"/>
    <w:rsid w:val="003F3E24"/>
    <w:rsid w:val="003F4E22"/>
    <w:rsid w:val="003F5797"/>
    <w:rsid w:val="003F6AF9"/>
    <w:rsid w:val="003F6BBE"/>
    <w:rsid w:val="004000E8"/>
    <w:rsid w:val="004005A7"/>
    <w:rsid w:val="00400A7A"/>
    <w:rsid w:val="00401078"/>
    <w:rsid w:val="004010E8"/>
    <w:rsid w:val="0040149B"/>
    <w:rsid w:val="00402E2B"/>
    <w:rsid w:val="0040319F"/>
    <w:rsid w:val="004038CD"/>
    <w:rsid w:val="00403A55"/>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3545"/>
    <w:rsid w:val="004136A1"/>
    <w:rsid w:val="00413AAC"/>
    <w:rsid w:val="00413E92"/>
    <w:rsid w:val="004141DC"/>
    <w:rsid w:val="00414B6B"/>
    <w:rsid w:val="00414FB7"/>
    <w:rsid w:val="00415260"/>
    <w:rsid w:val="00415C25"/>
    <w:rsid w:val="00415CEF"/>
    <w:rsid w:val="00415D7D"/>
    <w:rsid w:val="00420470"/>
    <w:rsid w:val="00421105"/>
    <w:rsid w:val="00421991"/>
    <w:rsid w:val="00421BA1"/>
    <w:rsid w:val="00422AA4"/>
    <w:rsid w:val="004232B2"/>
    <w:rsid w:val="004242F4"/>
    <w:rsid w:val="0042480B"/>
    <w:rsid w:val="00424C05"/>
    <w:rsid w:val="004265E9"/>
    <w:rsid w:val="00426693"/>
    <w:rsid w:val="004269B0"/>
    <w:rsid w:val="00427248"/>
    <w:rsid w:val="0042733F"/>
    <w:rsid w:val="004279BB"/>
    <w:rsid w:val="00430390"/>
    <w:rsid w:val="004315A5"/>
    <w:rsid w:val="0043531F"/>
    <w:rsid w:val="00435A60"/>
    <w:rsid w:val="00435AFE"/>
    <w:rsid w:val="00437447"/>
    <w:rsid w:val="00437A2D"/>
    <w:rsid w:val="00437B51"/>
    <w:rsid w:val="00440294"/>
    <w:rsid w:val="00441849"/>
    <w:rsid w:val="00441A92"/>
    <w:rsid w:val="00442AA6"/>
    <w:rsid w:val="004431DC"/>
    <w:rsid w:val="00443289"/>
    <w:rsid w:val="004434B5"/>
    <w:rsid w:val="004439D8"/>
    <w:rsid w:val="00443C69"/>
    <w:rsid w:val="00444586"/>
    <w:rsid w:val="00444D61"/>
    <w:rsid w:val="00444F56"/>
    <w:rsid w:val="00446351"/>
    <w:rsid w:val="0044640E"/>
    <w:rsid w:val="00446488"/>
    <w:rsid w:val="00447429"/>
    <w:rsid w:val="00447D54"/>
    <w:rsid w:val="00447F55"/>
    <w:rsid w:val="00447FA5"/>
    <w:rsid w:val="004500CF"/>
    <w:rsid w:val="0045130A"/>
    <w:rsid w:val="004517AA"/>
    <w:rsid w:val="00451A76"/>
    <w:rsid w:val="00452C0C"/>
    <w:rsid w:val="00452CAC"/>
    <w:rsid w:val="00452E31"/>
    <w:rsid w:val="0045360D"/>
    <w:rsid w:val="0045484B"/>
    <w:rsid w:val="00454CCC"/>
    <w:rsid w:val="0045539B"/>
    <w:rsid w:val="0045554E"/>
    <w:rsid w:val="004568AF"/>
    <w:rsid w:val="00456E51"/>
    <w:rsid w:val="00456F51"/>
    <w:rsid w:val="004573FC"/>
    <w:rsid w:val="00457565"/>
    <w:rsid w:val="00457B71"/>
    <w:rsid w:val="00457D08"/>
    <w:rsid w:val="0046029A"/>
    <w:rsid w:val="004602DA"/>
    <w:rsid w:val="00460CE0"/>
    <w:rsid w:val="00461140"/>
    <w:rsid w:val="004612E2"/>
    <w:rsid w:val="004618F4"/>
    <w:rsid w:val="00461DC1"/>
    <w:rsid w:val="00461FB3"/>
    <w:rsid w:val="004627D4"/>
    <w:rsid w:val="004630AD"/>
    <w:rsid w:val="004635AA"/>
    <w:rsid w:val="004639A8"/>
    <w:rsid w:val="00464689"/>
    <w:rsid w:val="004646ED"/>
    <w:rsid w:val="00464DF1"/>
    <w:rsid w:val="00465BAE"/>
    <w:rsid w:val="004669E2"/>
    <w:rsid w:val="00467303"/>
    <w:rsid w:val="004673AB"/>
    <w:rsid w:val="00467C2D"/>
    <w:rsid w:val="004704CF"/>
    <w:rsid w:val="004704E0"/>
    <w:rsid w:val="00470C27"/>
    <w:rsid w:val="00470C31"/>
    <w:rsid w:val="0047164D"/>
    <w:rsid w:val="004718EB"/>
    <w:rsid w:val="00471C06"/>
    <w:rsid w:val="00471DE0"/>
    <w:rsid w:val="00471E3F"/>
    <w:rsid w:val="0047206C"/>
    <w:rsid w:val="00472A01"/>
    <w:rsid w:val="004734D0"/>
    <w:rsid w:val="00473DE8"/>
    <w:rsid w:val="00474289"/>
    <w:rsid w:val="00474364"/>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3A02"/>
    <w:rsid w:val="00483A1E"/>
    <w:rsid w:val="004846CA"/>
    <w:rsid w:val="00484A59"/>
    <w:rsid w:val="00484E74"/>
    <w:rsid w:val="00485356"/>
    <w:rsid w:val="004855CA"/>
    <w:rsid w:val="00486135"/>
    <w:rsid w:val="00486547"/>
    <w:rsid w:val="00486553"/>
    <w:rsid w:val="00486C09"/>
    <w:rsid w:val="00486D27"/>
    <w:rsid w:val="0048726A"/>
    <w:rsid w:val="004879C8"/>
    <w:rsid w:val="00491957"/>
    <w:rsid w:val="0049238F"/>
    <w:rsid w:val="00492BC5"/>
    <w:rsid w:val="00493204"/>
    <w:rsid w:val="00493214"/>
    <w:rsid w:val="00495395"/>
    <w:rsid w:val="00495BAC"/>
    <w:rsid w:val="004964F1"/>
    <w:rsid w:val="00497C4B"/>
    <w:rsid w:val="00497C69"/>
    <w:rsid w:val="00497E86"/>
    <w:rsid w:val="004A16B2"/>
    <w:rsid w:val="004A16BC"/>
    <w:rsid w:val="004A1959"/>
    <w:rsid w:val="004A1CF1"/>
    <w:rsid w:val="004A2B0B"/>
    <w:rsid w:val="004A2B94"/>
    <w:rsid w:val="004A332D"/>
    <w:rsid w:val="004A39C7"/>
    <w:rsid w:val="004A47FC"/>
    <w:rsid w:val="004A5701"/>
    <w:rsid w:val="004A57CC"/>
    <w:rsid w:val="004A73AD"/>
    <w:rsid w:val="004A73CE"/>
    <w:rsid w:val="004A7C26"/>
    <w:rsid w:val="004B03D3"/>
    <w:rsid w:val="004B08DD"/>
    <w:rsid w:val="004B15E0"/>
    <w:rsid w:val="004B1834"/>
    <w:rsid w:val="004B1BD1"/>
    <w:rsid w:val="004B2587"/>
    <w:rsid w:val="004B25E7"/>
    <w:rsid w:val="004B2B98"/>
    <w:rsid w:val="004B36CF"/>
    <w:rsid w:val="004B3C56"/>
    <w:rsid w:val="004B6314"/>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7E1"/>
    <w:rsid w:val="004D4950"/>
    <w:rsid w:val="004D498C"/>
    <w:rsid w:val="004D65BE"/>
    <w:rsid w:val="004D66B9"/>
    <w:rsid w:val="004D7A00"/>
    <w:rsid w:val="004D7EBD"/>
    <w:rsid w:val="004E0A12"/>
    <w:rsid w:val="004E23FF"/>
    <w:rsid w:val="004E2680"/>
    <w:rsid w:val="004E28F9"/>
    <w:rsid w:val="004E2F48"/>
    <w:rsid w:val="004E34E2"/>
    <w:rsid w:val="004E40B7"/>
    <w:rsid w:val="004E462E"/>
    <w:rsid w:val="004E485E"/>
    <w:rsid w:val="004E49DE"/>
    <w:rsid w:val="004E5044"/>
    <w:rsid w:val="004E56DC"/>
    <w:rsid w:val="004E6550"/>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37A6"/>
    <w:rsid w:val="005153A7"/>
    <w:rsid w:val="00515DDD"/>
    <w:rsid w:val="00516055"/>
    <w:rsid w:val="00516C50"/>
    <w:rsid w:val="005171E1"/>
    <w:rsid w:val="00520891"/>
    <w:rsid w:val="00520AAD"/>
    <w:rsid w:val="005219CF"/>
    <w:rsid w:val="005236E4"/>
    <w:rsid w:val="00524063"/>
    <w:rsid w:val="00524F5C"/>
    <w:rsid w:val="0052518C"/>
    <w:rsid w:val="005258CE"/>
    <w:rsid w:val="00526743"/>
    <w:rsid w:val="00526CE3"/>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C62"/>
    <w:rsid w:val="00537FEA"/>
    <w:rsid w:val="0054281C"/>
    <w:rsid w:val="00543274"/>
    <w:rsid w:val="00543CF7"/>
    <w:rsid w:val="00544939"/>
    <w:rsid w:val="00546970"/>
    <w:rsid w:val="00546EA7"/>
    <w:rsid w:val="00547626"/>
    <w:rsid w:val="00547FB1"/>
    <w:rsid w:val="0055051B"/>
    <w:rsid w:val="005511F2"/>
    <w:rsid w:val="005535A0"/>
    <w:rsid w:val="00553F50"/>
    <w:rsid w:val="00554E19"/>
    <w:rsid w:val="00555177"/>
    <w:rsid w:val="00556271"/>
    <w:rsid w:val="005602E0"/>
    <w:rsid w:val="00560539"/>
    <w:rsid w:val="00560E01"/>
    <w:rsid w:val="00561065"/>
    <w:rsid w:val="0056121F"/>
    <w:rsid w:val="00561E0B"/>
    <w:rsid w:val="0056254D"/>
    <w:rsid w:val="00563155"/>
    <w:rsid w:val="00563741"/>
    <w:rsid w:val="005639C5"/>
    <w:rsid w:val="0056420A"/>
    <w:rsid w:val="00564508"/>
    <w:rsid w:val="0056514E"/>
    <w:rsid w:val="00565443"/>
    <w:rsid w:val="00565D50"/>
    <w:rsid w:val="00565E66"/>
    <w:rsid w:val="00566521"/>
    <w:rsid w:val="00566C05"/>
    <w:rsid w:val="00567592"/>
    <w:rsid w:val="00570FBE"/>
    <w:rsid w:val="005710CE"/>
    <w:rsid w:val="00572505"/>
    <w:rsid w:val="00572FD1"/>
    <w:rsid w:val="00573644"/>
    <w:rsid w:val="00573B6A"/>
    <w:rsid w:val="00574F43"/>
    <w:rsid w:val="005757C0"/>
    <w:rsid w:val="0058193B"/>
    <w:rsid w:val="00582288"/>
    <w:rsid w:val="00582809"/>
    <w:rsid w:val="00583F8B"/>
    <w:rsid w:val="0058488F"/>
    <w:rsid w:val="00585866"/>
    <w:rsid w:val="005877E6"/>
    <w:rsid w:val="0058798C"/>
    <w:rsid w:val="005900FA"/>
    <w:rsid w:val="0059021A"/>
    <w:rsid w:val="0059028E"/>
    <w:rsid w:val="00590477"/>
    <w:rsid w:val="0059109E"/>
    <w:rsid w:val="0059330D"/>
    <w:rsid w:val="005935A4"/>
    <w:rsid w:val="00593F5D"/>
    <w:rsid w:val="005948C2"/>
    <w:rsid w:val="005948C8"/>
    <w:rsid w:val="00595DCA"/>
    <w:rsid w:val="005960FE"/>
    <w:rsid w:val="005963E4"/>
    <w:rsid w:val="00596893"/>
    <w:rsid w:val="00596ADE"/>
    <w:rsid w:val="00597317"/>
    <w:rsid w:val="005975FE"/>
    <w:rsid w:val="00597630"/>
    <w:rsid w:val="0059779B"/>
    <w:rsid w:val="00597A91"/>
    <w:rsid w:val="00597AC6"/>
    <w:rsid w:val="00597E76"/>
    <w:rsid w:val="005A09D2"/>
    <w:rsid w:val="005A209A"/>
    <w:rsid w:val="005A31B1"/>
    <w:rsid w:val="005A383B"/>
    <w:rsid w:val="005A39D9"/>
    <w:rsid w:val="005A39EB"/>
    <w:rsid w:val="005A59A3"/>
    <w:rsid w:val="005A662D"/>
    <w:rsid w:val="005A67CB"/>
    <w:rsid w:val="005A6A4C"/>
    <w:rsid w:val="005B0C21"/>
    <w:rsid w:val="005B1409"/>
    <w:rsid w:val="005B35D7"/>
    <w:rsid w:val="005B392A"/>
    <w:rsid w:val="005B3AA3"/>
    <w:rsid w:val="005B3F48"/>
    <w:rsid w:val="005B5B19"/>
    <w:rsid w:val="005B5EC3"/>
    <w:rsid w:val="005B66BA"/>
    <w:rsid w:val="005B69BC"/>
    <w:rsid w:val="005B6F83"/>
    <w:rsid w:val="005B7EE3"/>
    <w:rsid w:val="005B7FC8"/>
    <w:rsid w:val="005C042B"/>
    <w:rsid w:val="005C0E22"/>
    <w:rsid w:val="005C2359"/>
    <w:rsid w:val="005C2BE1"/>
    <w:rsid w:val="005C31B5"/>
    <w:rsid w:val="005C3E41"/>
    <w:rsid w:val="005C41E6"/>
    <w:rsid w:val="005C4E27"/>
    <w:rsid w:val="005C4F32"/>
    <w:rsid w:val="005C592B"/>
    <w:rsid w:val="005C6744"/>
    <w:rsid w:val="005C6D53"/>
    <w:rsid w:val="005C74FB"/>
    <w:rsid w:val="005C785F"/>
    <w:rsid w:val="005C7925"/>
    <w:rsid w:val="005C7AA9"/>
    <w:rsid w:val="005D094C"/>
    <w:rsid w:val="005D1602"/>
    <w:rsid w:val="005D1616"/>
    <w:rsid w:val="005D2FF9"/>
    <w:rsid w:val="005D3013"/>
    <w:rsid w:val="005D348B"/>
    <w:rsid w:val="005D3619"/>
    <w:rsid w:val="005D3DBB"/>
    <w:rsid w:val="005D4431"/>
    <w:rsid w:val="005D4711"/>
    <w:rsid w:val="005D4D02"/>
    <w:rsid w:val="005D4FB7"/>
    <w:rsid w:val="005D5C02"/>
    <w:rsid w:val="005D5F5A"/>
    <w:rsid w:val="005D622C"/>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191"/>
    <w:rsid w:val="005E6E56"/>
    <w:rsid w:val="005E74C8"/>
    <w:rsid w:val="005E753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3FBE"/>
    <w:rsid w:val="0060420E"/>
    <w:rsid w:val="0060477E"/>
    <w:rsid w:val="00604949"/>
    <w:rsid w:val="00604B60"/>
    <w:rsid w:val="00604F14"/>
    <w:rsid w:val="00605A2B"/>
    <w:rsid w:val="006064AB"/>
    <w:rsid w:val="0060671A"/>
    <w:rsid w:val="006068B7"/>
    <w:rsid w:val="00606C75"/>
    <w:rsid w:val="00610CE4"/>
    <w:rsid w:val="006119E0"/>
    <w:rsid w:val="00611B83"/>
    <w:rsid w:val="00611EB6"/>
    <w:rsid w:val="00612218"/>
    <w:rsid w:val="0061231C"/>
    <w:rsid w:val="006125E8"/>
    <w:rsid w:val="00612A44"/>
    <w:rsid w:val="00613257"/>
    <w:rsid w:val="00613384"/>
    <w:rsid w:val="00614C8D"/>
    <w:rsid w:val="00614EE1"/>
    <w:rsid w:val="006168D7"/>
    <w:rsid w:val="00616C3F"/>
    <w:rsid w:val="0061774C"/>
    <w:rsid w:val="00620692"/>
    <w:rsid w:val="00620A71"/>
    <w:rsid w:val="00620D80"/>
    <w:rsid w:val="0062114C"/>
    <w:rsid w:val="006234A6"/>
    <w:rsid w:val="006236DE"/>
    <w:rsid w:val="0062375E"/>
    <w:rsid w:val="00624168"/>
    <w:rsid w:val="006242D0"/>
    <w:rsid w:val="0062453E"/>
    <w:rsid w:val="006247D4"/>
    <w:rsid w:val="00624AAA"/>
    <w:rsid w:val="00624EF7"/>
    <w:rsid w:val="00625725"/>
    <w:rsid w:val="00626E76"/>
    <w:rsid w:val="00627A37"/>
    <w:rsid w:val="00627C31"/>
    <w:rsid w:val="00630001"/>
    <w:rsid w:val="00630586"/>
    <w:rsid w:val="006311B3"/>
    <w:rsid w:val="0063284C"/>
    <w:rsid w:val="00632C09"/>
    <w:rsid w:val="00632D4A"/>
    <w:rsid w:val="0063314D"/>
    <w:rsid w:val="0063323F"/>
    <w:rsid w:val="00633598"/>
    <w:rsid w:val="00633811"/>
    <w:rsid w:val="00633BA1"/>
    <w:rsid w:val="006342FB"/>
    <w:rsid w:val="00634DA1"/>
    <w:rsid w:val="006351CE"/>
    <w:rsid w:val="00635265"/>
    <w:rsid w:val="006353FF"/>
    <w:rsid w:val="006355EA"/>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3475"/>
    <w:rsid w:val="00643851"/>
    <w:rsid w:val="0064396A"/>
    <w:rsid w:val="00643A86"/>
    <w:rsid w:val="00643D8F"/>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3A6"/>
    <w:rsid w:val="0066243B"/>
    <w:rsid w:val="006627A2"/>
    <w:rsid w:val="006634E6"/>
    <w:rsid w:val="006655EE"/>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19E"/>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E7"/>
    <w:rsid w:val="00682D7F"/>
    <w:rsid w:val="00683199"/>
    <w:rsid w:val="0068320E"/>
    <w:rsid w:val="0068345C"/>
    <w:rsid w:val="00683CDE"/>
    <w:rsid w:val="00683ECE"/>
    <w:rsid w:val="00684B56"/>
    <w:rsid w:val="00685538"/>
    <w:rsid w:val="00685D95"/>
    <w:rsid w:val="00687D41"/>
    <w:rsid w:val="00690402"/>
    <w:rsid w:val="00691AF1"/>
    <w:rsid w:val="00691B95"/>
    <w:rsid w:val="00693114"/>
    <w:rsid w:val="006939D6"/>
    <w:rsid w:val="00694333"/>
    <w:rsid w:val="006948BF"/>
    <w:rsid w:val="00695FC2"/>
    <w:rsid w:val="00696949"/>
    <w:rsid w:val="00696B2E"/>
    <w:rsid w:val="00697052"/>
    <w:rsid w:val="006974DE"/>
    <w:rsid w:val="006A0FB1"/>
    <w:rsid w:val="006A1333"/>
    <w:rsid w:val="006A2E08"/>
    <w:rsid w:val="006A2E52"/>
    <w:rsid w:val="006A321E"/>
    <w:rsid w:val="006A34A2"/>
    <w:rsid w:val="006A44A6"/>
    <w:rsid w:val="006A46B9"/>
    <w:rsid w:val="006A46FB"/>
    <w:rsid w:val="006A5E28"/>
    <w:rsid w:val="006A697B"/>
    <w:rsid w:val="006A6AF3"/>
    <w:rsid w:val="006A718E"/>
    <w:rsid w:val="006A71FC"/>
    <w:rsid w:val="006A7AFF"/>
    <w:rsid w:val="006A7CA3"/>
    <w:rsid w:val="006B1816"/>
    <w:rsid w:val="006B2099"/>
    <w:rsid w:val="006B2E36"/>
    <w:rsid w:val="006B4ED9"/>
    <w:rsid w:val="006B50CF"/>
    <w:rsid w:val="006B57E7"/>
    <w:rsid w:val="006B5FAD"/>
    <w:rsid w:val="006B5FB7"/>
    <w:rsid w:val="006B60B4"/>
    <w:rsid w:val="006B6228"/>
    <w:rsid w:val="006B6F27"/>
    <w:rsid w:val="006B7650"/>
    <w:rsid w:val="006B7AE2"/>
    <w:rsid w:val="006C03B8"/>
    <w:rsid w:val="006C0ACC"/>
    <w:rsid w:val="006C1011"/>
    <w:rsid w:val="006C11DD"/>
    <w:rsid w:val="006C2FE7"/>
    <w:rsid w:val="006C3834"/>
    <w:rsid w:val="006C38B4"/>
    <w:rsid w:val="006C413E"/>
    <w:rsid w:val="006C56E8"/>
    <w:rsid w:val="006C59B3"/>
    <w:rsid w:val="006C5A6E"/>
    <w:rsid w:val="006C5EC9"/>
    <w:rsid w:val="006C6059"/>
    <w:rsid w:val="006C6ED9"/>
    <w:rsid w:val="006C7084"/>
    <w:rsid w:val="006C7522"/>
    <w:rsid w:val="006C7A6B"/>
    <w:rsid w:val="006D0CB8"/>
    <w:rsid w:val="006D10CC"/>
    <w:rsid w:val="006D1484"/>
    <w:rsid w:val="006D184B"/>
    <w:rsid w:val="006D4C18"/>
    <w:rsid w:val="006D4EFD"/>
    <w:rsid w:val="006D5F00"/>
    <w:rsid w:val="006D6954"/>
    <w:rsid w:val="006D6F08"/>
    <w:rsid w:val="006D7424"/>
    <w:rsid w:val="006D7685"/>
    <w:rsid w:val="006D7A83"/>
    <w:rsid w:val="006D7C3C"/>
    <w:rsid w:val="006E062C"/>
    <w:rsid w:val="006E0D86"/>
    <w:rsid w:val="006E0DE7"/>
    <w:rsid w:val="006E1425"/>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4875"/>
    <w:rsid w:val="00704EDB"/>
    <w:rsid w:val="007054E9"/>
    <w:rsid w:val="00706101"/>
    <w:rsid w:val="0070663C"/>
    <w:rsid w:val="00706FB9"/>
    <w:rsid w:val="00707072"/>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4B3D"/>
    <w:rsid w:val="00725413"/>
    <w:rsid w:val="007257D0"/>
    <w:rsid w:val="007262A4"/>
    <w:rsid w:val="007262AD"/>
    <w:rsid w:val="00726EA6"/>
    <w:rsid w:val="00727208"/>
    <w:rsid w:val="00727680"/>
    <w:rsid w:val="007279AF"/>
    <w:rsid w:val="00727A5D"/>
    <w:rsid w:val="0073292E"/>
    <w:rsid w:val="0073479F"/>
    <w:rsid w:val="007348B1"/>
    <w:rsid w:val="0073518F"/>
    <w:rsid w:val="007355B0"/>
    <w:rsid w:val="00735698"/>
    <w:rsid w:val="007362A6"/>
    <w:rsid w:val="007364F1"/>
    <w:rsid w:val="00736D7D"/>
    <w:rsid w:val="0073723A"/>
    <w:rsid w:val="0074019A"/>
    <w:rsid w:val="007401B5"/>
    <w:rsid w:val="007405AF"/>
    <w:rsid w:val="00740D30"/>
    <w:rsid w:val="00740E4D"/>
    <w:rsid w:val="00740E58"/>
    <w:rsid w:val="00741DD2"/>
    <w:rsid w:val="00742C49"/>
    <w:rsid w:val="007433C3"/>
    <w:rsid w:val="007445A0"/>
    <w:rsid w:val="0074524B"/>
    <w:rsid w:val="0074614E"/>
    <w:rsid w:val="0074617D"/>
    <w:rsid w:val="00746553"/>
    <w:rsid w:val="00746D91"/>
    <w:rsid w:val="0074705A"/>
    <w:rsid w:val="007473B5"/>
    <w:rsid w:val="00747D8B"/>
    <w:rsid w:val="00750597"/>
    <w:rsid w:val="00751228"/>
    <w:rsid w:val="00751742"/>
    <w:rsid w:val="00752644"/>
    <w:rsid w:val="00752BFB"/>
    <w:rsid w:val="00753924"/>
    <w:rsid w:val="007541C2"/>
    <w:rsid w:val="00754FFF"/>
    <w:rsid w:val="00755611"/>
    <w:rsid w:val="007571E1"/>
    <w:rsid w:val="00757BC0"/>
    <w:rsid w:val="0076043C"/>
    <w:rsid w:val="007604B2"/>
    <w:rsid w:val="007608CE"/>
    <w:rsid w:val="00760A7D"/>
    <w:rsid w:val="00761110"/>
    <w:rsid w:val="0076116E"/>
    <w:rsid w:val="00761447"/>
    <w:rsid w:val="007634F9"/>
    <w:rsid w:val="007643C7"/>
    <w:rsid w:val="00765281"/>
    <w:rsid w:val="007664AF"/>
    <w:rsid w:val="00766BAD"/>
    <w:rsid w:val="00766E6F"/>
    <w:rsid w:val="007677A6"/>
    <w:rsid w:val="00770327"/>
    <w:rsid w:val="00770FF4"/>
    <w:rsid w:val="007729A2"/>
    <w:rsid w:val="00773FD7"/>
    <w:rsid w:val="00774AD3"/>
    <w:rsid w:val="007751F2"/>
    <w:rsid w:val="007755CC"/>
    <w:rsid w:val="007755F2"/>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3C89"/>
    <w:rsid w:val="0078425E"/>
    <w:rsid w:val="007842B9"/>
    <w:rsid w:val="007843C3"/>
    <w:rsid w:val="00785490"/>
    <w:rsid w:val="00786936"/>
    <w:rsid w:val="007869FD"/>
    <w:rsid w:val="0078731E"/>
    <w:rsid w:val="007903EA"/>
    <w:rsid w:val="00791311"/>
    <w:rsid w:val="00791B2E"/>
    <w:rsid w:val="00792403"/>
    <w:rsid w:val="007925EA"/>
    <w:rsid w:val="00792A01"/>
    <w:rsid w:val="00793CD8"/>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6143"/>
    <w:rsid w:val="007A6BEF"/>
    <w:rsid w:val="007A6C0A"/>
    <w:rsid w:val="007B07BC"/>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180A"/>
    <w:rsid w:val="007C21A1"/>
    <w:rsid w:val="007C2F05"/>
    <w:rsid w:val="007C3C78"/>
    <w:rsid w:val="007C3D18"/>
    <w:rsid w:val="007C4AB1"/>
    <w:rsid w:val="007C4B2C"/>
    <w:rsid w:val="007C4D3E"/>
    <w:rsid w:val="007C50E8"/>
    <w:rsid w:val="007C60BF"/>
    <w:rsid w:val="007C6A07"/>
    <w:rsid w:val="007C75A1"/>
    <w:rsid w:val="007C77A5"/>
    <w:rsid w:val="007D04E5"/>
    <w:rsid w:val="007D07A0"/>
    <w:rsid w:val="007D1559"/>
    <w:rsid w:val="007D2C3A"/>
    <w:rsid w:val="007D2F19"/>
    <w:rsid w:val="007D34FC"/>
    <w:rsid w:val="007D3CCC"/>
    <w:rsid w:val="007D4216"/>
    <w:rsid w:val="007D5901"/>
    <w:rsid w:val="007D635F"/>
    <w:rsid w:val="007D7526"/>
    <w:rsid w:val="007D7729"/>
    <w:rsid w:val="007D7B42"/>
    <w:rsid w:val="007E0DC1"/>
    <w:rsid w:val="007E1102"/>
    <w:rsid w:val="007E120B"/>
    <w:rsid w:val="007E1240"/>
    <w:rsid w:val="007E1805"/>
    <w:rsid w:val="007E1CBB"/>
    <w:rsid w:val="007E2A09"/>
    <w:rsid w:val="007E2E5E"/>
    <w:rsid w:val="007E3CD2"/>
    <w:rsid w:val="007E4166"/>
    <w:rsid w:val="007E4610"/>
    <w:rsid w:val="007E4715"/>
    <w:rsid w:val="007E4F91"/>
    <w:rsid w:val="007E505B"/>
    <w:rsid w:val="007E5A55"/>
    <w:rsid w:val="007E5A87"/>
    <w:rsid w:val="007E6055"/>
    <w:rsid w:val="007E7091"/>
    <w:rsid w:val="007E71EB"/>
    <w:rsid w:val="007F09A8"/>
    <w:rsid w:val="007F24FD"/>
    <w:rsid w:val="007F267A"/>
    <w:rsid w:val="007F3861"/>
    <w:rsid w:val="007F3F74"/>
    <w:rsid w:val="007F64D0"/>
    <w:rsid w:val="007F761B"/>
    <w:rsid w:val="007F76FD"/>
    <w:rsid w:val="00800763"/>
    <w:rsid w:val="00802769"/>
    <w:rsid w:val="00803FAE"/>
    <w:rsid w:val="0080413E"/>
    <w:rsid w:val="00804362"/>
    <w:rsid w:val="00804AB7"/>
    <w:rsid w:val="00805B47"/>
    <w:rsid w:val="0080605F"/>
    <w:rsid w:val="00806E25"/>
    <w:rsid w:val="00807786"/>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AB4"/>
    <w:rsid w:val="00825BDD"/>
    <w:rsid w:val="00825C42"/>
    <w:rsid w:val="00825D25"/>
    <w:rsid w:val="0082616F"/>
    <w:rsid w:val="00827199"/>
    <w:rsid w:val="00827CE4"/>
    <w:rsid w:val="00827D6F"/>
    <w:rsid w:val="00831159"/>
    <w:rsid w:val="0083152D"/>
    <w:rsid w:val="00831803"/>
    <w:rsid w:val="00831A58"/>
    <w:rsid w:val="00831C5A"/>
    <w:rsid w:val="00831F35"/>
    <w:rsid w:val="0083293E"/>
    <w:rsid w:val="00833B7A"/>
    <w:rsid w:val="0083456D"/>
    <w:rsid w:val="00834B86"/>
    <w:rsid w:val="00836437"/>
    <w:rsid w:val="0083743A"/>
    <w:rsid w:val="008376AC"/>
    <w:rsid w:val="008421D5"/>
    <w:rsid w:val="00843939"/>
    <w:rsid w:val="00843DAB"/>
    <w:rsid w:val="008444E8"/>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F6"/>
    <w:rsid w:val="00853870"/>
    <w:rsid w:val="00853CB7"/>
    <w:rsid w:val="008559FB"/>
    <w:rsid w:val="0085600A"/>
    <w:rsid w:val="008568F3"/>
    <w:rsid w:val="00856911"/>
    <w:rsid w:val="00857672"/>
    <w:rsid w:val="00857873"/>
    <w:rsid w:val="00857C8B"/>
    <w:rsid w:val="00860844"/>
    <w:rsid w:val="00860998"/>
    <w:rsid w:val="0086177F"/>
    <w:rsid w:val="00861C55"/>
    <w:rsid w:val="00864064"/>
    <w:rsid w:val="008650F4"/>
    <w:rsid w:val="00865257"/>
    <w:rsid w:val="0086565E"/>
    <w:rsid w:val="00865ABA"/>
    <w:rsid w:val="00865C2E"/>
    <w:rsid w:val="0086618B"/>
    <w:rsid w:val="00866406"/>
    <w:rsid w:val="008668C9"/>
    <w:rsid w:val="00866B89"/>
    <w:rsid w:val="00867215"/>
    <w:rsid w:val="008677FD"/>
    <w:rsid w:val="008700E9"/>
    <w:rsid w:val="00870387"/>
    <w:rsid w:val="008706D4"/>
    <w:rsid w:val="00870F8A"/>
    <w:rsid w:val="008719A4"/>
    <w:rsid w:val="00871D23"/>
    <w:rsid w:val="00871D86"/>
    <w:rsid w:val="00872094"/>
    <w:rsid w:val="00873ED2"/>
    <w:rsid w:val="00873F07"/>
    <w:rsid w:val="00874312"/>
    <w:rsid w:val="0087437C"/>
    <w:rsid w:val="0087468F"/>
    <w:rsid w:val="00875CD7"/>
    <w:rsid w:val="00876B4D"/>
    <w:rsid w:val="00876BE2"/>
    <w:rsid w:val="00876EF5"/>
    <w:rsid w:val="008773E6"/>
    <w:rsid w:val="008773F3"/>
    <w:rsid w:val="00877465"/>
    <w:rsid w:val="00877F18"/>
    <w:rsid w:val="008800E8"/>
    <w:rsid w:val="008817FA"/>
    <w:rsid w:val="00881C51"/>
    <w:rsid w:val="008820F0"/>
    <w:rsid w:val="00882AB6"/>
    <w:rsid w:val="008840FE"/>
    <w:rsid w:val="008843B8"/>
    <w:rsid w:val="00884424"/>
    <w:rsid w:val="00885008"/>
    <w:rsid w:val="008854A9"/>
    <w:rsid w:val="0088769B"/>
    <w:rsid w:val="008907B8"/>
    <w:rsid w:val="00890D57"/>
    <w:rsid w:val="0089134E"/>
    <w:rsid w:val="00891B65"/>
    <w:rsid w:val="008941E3"/>
    <w:rsid w:val="0089452E"/>
    <w:rsid w:val="00894A88"/>
    <w:rsid w:val="00895386"/>
    <w:rsid w:val="008969A6"/>
    <w:rsid w:val="008A1878"/>
    <w:rsid w:val="008A18EB"/>
    <w:rsid w:val="008A2125"/>
    <w:rsid w:val="008A21FF"/>
    <w:rsid w:val="008A29DA"/>
    <w:rsid w:val="008A2CE2"/>
    <w:rsid w:val="008A30AC"/>
    <w:rsid w:val="008A3EF0"/>
    <w:rsid w:val="008A42E8"/>
    <w:rsid w:val="008A44B8"/>
    <w:rsid w:val="008A51A8"/>
    <w:rsid w:val="008A54C7"/>
    <w:rsid w:val="008A5AE8"/>
    <w:rsid w:val="008A6B00"/>
    <w:rsid w:val="008A6D87"/>
    <w:rsid w:val="008A77D8"/>
    <w:rsid w:val="008A784B"/>
    <w:rsid w:val="008A7DF9"/>
    <w:rsid w:val="008B0483"/>
    <w:rsid w:val="008B120C"/>
    <w:rsid w:val="008B1257"/>
    <w:rsid w:val="008B1B1F"/>
    <w:rsid w:val="008B2FAC"/>
    <w:rsid w:val="008B51A0"/>
    <w:rsid w:val="008B592A"/>
    <w:rsid w:val="008B6227"/>
    <w:rsid w:val="008B6904"/>
    <w:rsid w:val="008B7505"/>
    <w:rsid w:val="008B763F"/>
    <w:rsid w:val="008B7B5C"/>
    <w:rsid w:val="008C0C99"/>
    <w:rsid w:val="008C1EC7"/>
    <w:rsid w:val="008C2017"/>
    <w:rsid w:val="008C20C3"/>
    <w:rsid w:val="008C2DD3"/>
    <w:rsid w:val="008C4541"/>
    <w:rsid w:val="008C4958"/>
    <w:rsid w:val="008C4BAA"/>
    <w:rsid w:val="008C4ECF"/>
    <w:rsid w:val="008C54EE"/>
    <w:rsid w:val="008C5938"/>
    <w:rsid w:val="008C67CD"/>
    <w:rsid w:val="008C6949"/>
    <w:rsid w:val="008C6ADF"/>
    <w:rsid w:val="008C6AE8"/>
    <w:rsid w:val="008C7573"/>
    <w:rsid w:val="008D00A5"/>
    <w:rsid w:val="008D0983"/>
    <w:rsid w:val="008D0DA6"/>
    <w:rsid w:val="008D34F1"/>
    <w:rsid w:val="008D39D8"/>
    <w:rsid w:val="008D3BB1"/>
    <w:rsid w:val="008D4AB7"/>
    <w:rsid w:val="008D5C28"/>
    <w:rsid w:val="008D62CD"/>
    <w:rsid w:val="008D6D1A"/>
    <w:rsid w:val="008D707A"/>
    <w:rsid w:val="008D7CE1"/>
    <w:rsid w:val="008E065D"/>
    <w:rsid w:val="008E065E"/>
    <w:rsid w:val="008E0914"/>
    <w:rsid w:val="008E0927"/>
    <w:rsid w:val="008E115F"/>
    <w:rsid w:val="008E1404"/>
    <w:rsid w:val="008E1909"/>
    <w:rsid w:val="008E1C94"/>
    <w:rsid w:val="008E4EBB"/>
    <w:rsid w:val="008E5378"/>
    <w:rsid w:val="008E6569"/>
    <w:rsid w:val="008E6737"/>
    <w:rsid w:val="008E6F78"/>
    <w:rsid w:val="008E723C"/>
    <w:rsid w:val="008E7855"/>
    <w:rsid w:val="008E7DBB"/>
    <w:rsid w:val="008F0B3C"/>
    <w:rsid w:val="008F0C73"/>
    <w:rsid w:val="008F1C4E"/>
    <w:rsid w:val="008F1CD7"/>
    <w:rsid w:val="008F1EAB"/>
    <w:rsid w:val="008F2924"/>
    <w:rsid w:val="008F2B04"/>
    <w:rsid w:val="008F33DC"/>
    <w:rsid w:val="008F3D46"/>
    <w:rsid w:val="008F4035"/>
    <w:rsid w:val="008F477F"/>
    <w:rsid w:val="008F5277"/>
    <w:rsid w:val="008F55C0"/>
    <w:rsid w:val="008F6C4D"/>
    <w:rsid w:val="008F78A2"/>
    <w:rsid w:val="008F7FFC"/>
    <w:rsid w:val="009004D0"/>
    <w:rsid w:val="00901107"/>
    <w:rsid w:val="009014A7"/>
    <w:rsid w:val="009016CF"/>
    <w:rsid w:val="00901B4E"/>
    <w:rsid w:val="0090227A"/>
    <w:rsid w:val="00902350"/>
    <w:rsid w:val="0090336B"/>
    <w:rsid w:val="00903472"/>
    <w:rsid w:val="00903741"/>
    <w:rsid w:val="0090380B"/>
    <w:rsid w:val="009048B1"/>
    <w:rsid w:val="009048C1"/>
    <w:rsid w:val="00904E24"/>
    <w:rsid w:val="009053AA"/>
    <w:rsid w:val="00905A72"/>
    <w:rsid w:val="00906410"/>
    <w:rsid w:val="00906862"/>
    <w:rsid w:val="00906939"/>
    <w:rsid w:val="00910B7D"/>
    <w:rsid w:val="00911DFB"/>
    <w:rsid w:val="0091215A"/>
    <w:rsid w:val="00912236"/>
    <w:rsid w:val="009123BF"/>
    <w:rsid w:val="00912549"/>
    <w:rsid w:val="009125A6"/>
    <w:rsid w:val="009139D9"/>
    <w:rsid w:val="009145D7"/>
    <w:rsid w:val="00914AD8"/>
    <w:rsid w:val="009152E8"/>
    <w:rsid w:val="00915359"/>
    <w:rsid w:val="00915364"/>
    <w:rsid w:val="0091548D"/>
    <w:rsid w:val="00916079"/>
    <w:rsid w:val="00916286"/>
    <w:rsid w:val="00916DF3"/>
    <w:rsid w:val="0091763C"/>
    <w:rsid w:val="00917CE9"/>
    <w:rsid w:val="0092075B"/>
    <w:rsid w:val="009208B2"/>
    <w:rsid w:val="00920BF2"/>
    <w:rsid w:val="00921E4B"/>
    <w:rsid w:val="00922010"/>
    <w:rsid w:val="0092236C"/>
    <w:rsid w:val="009223CE"/>
    <w:rsid w:val="00922686"/>
    <w:rsid w:val="009234EE"/>
    <w:rsid w:val="00923A84"/>
    <w:rsid w:val="00924EEA"/>
    <w:rsid w:val="00925235"/>
    <w:rsid w:val="0092571F"/>
    <w:rsid w:val="00925A6D"/>
    <w:rsid w:val="009265B2"/>
    <w:rsid w:val="00927083"/>
    <w:rsid w:val="00927994"/>
    <w:rsid w:val="00930D56"/>
    <w:rsid w:val="00931BD9"/>
    <w:rsid w:val="00932282"/>
    <w:rsid w:val="00933671"/>
    <w:rsid w:val="00935FC3"/>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713"/>
    <w:rsid w:val="00947942"/>
    <w:rsid w:val="0095044A"/>
    <w:rsid w:val="0095089D"/>
    <w:rsid w:val="00950C90"/>
    <w:rsid w:val="00950DE7"/>
    <w:rsid w:val="00950DF5"/>
    <w:rsid w:val="00950EE4"/>
    <w:rsid w:val="00951452"/>
    <w:rsid w:val="00951C39"/>
    <w:rsid w:val="00952201"/>
    <w:rsid w:val="00952246"/>
    <w:rsid w:val="0095262F"/>
    <w:rsid w:val="009535BB"/>
    <w:rsid w:val="00953920"/>
    <w:rsid w:val="009539FB"/>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554B"/>
    <w:rsid w:val="0096584A"/>
    <w:rsid w:val="00966DA7"/>
    <w:rsid w:val="009702F4"/>
    <w:rsid w:val="0097034E"/>
    <w:rsid w:val="0097040B"/>
    <w:rsid w:val="00971969"/>
    <w:rsid w:val="00971F08"/>
    <w:rsid w:val="009724E5"/>
    <w:rsid w:val="009729CA"/>
    <w:rsid w:val="00972B1D"/>
    <w:rsid w:val="0097306A"/>
    <w:rsid w:val="009730BD"/>
    <w:rsid w:val="00974BF5"/>
    <w:rsid w:val="0097574F"/>
    <w:rsid w:val="0097603D"/>
    <w:rsid w:val="00976166"/>
    <w:rsid w:val="00976949"/>
    <w:rsid w:val="00976CF0"/>
    <w:rsid w:val="00977B20"/>
    <w:rsid w:val="00980477"/>
    <w:rsid w:val="009808B2"/>
    <w:rsid w:val="00981526"/>
    <w:rsid w:val="00981CB5"/>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12DF"/>
    <w:rsid w:val="00991750"/>
    <w:rsid w:val="00991761"/>
    <w:rsid w:val="00991E4D"/>
    <w:rsid w:val="00992048"/>
    <w:rsid w:val="00992DE3"/>
    <w:rsid w:val="00993479"/>
    <w:rsid w:val="0099475E"/>
    <w:rsid w:val="00994B1C"/>
    <w:rsid w:val="00994DCA"/>
    <w:rsid w:val="0099516E"/>
    <w:rsid w:val="00995F58"/>
    <w:rsid w:val="009960EC"/>
    <w:rsid w:val="00996145"/>
    <w:rsid w:val="009962EB"/>
    <w:rsid w:val="009970DD"/>
    <w:rsid w:val="009972B0"/>
    <w:rsid w:val="00997585"/>
    <w:rsid w:val="00997DDF"/>
    <w:rsid w:val="009A0DC6"/>
    <w:rsid w:val="009A0FBA"/>
    <w:rsid w:val="009A1601"/>
    <w:rsid w:val="009A3811"/>
    <w:rsid w:val="009A3BB6"/>
    <w:rsid w:val="009A462D"/>
    <w:rsid w:val="009A4FF1"/>
    <w:rsid w:val="009A5706"/>
    <w:rsid w:val="009A5B7B"/>
    <w:rsid w:val="009A5CBA"/>
    <w:rsid w:val="009A620E"/>
    <w:rsid w:val="009A6CA9"/>
    <w:rsid w:val="009A6E19"/>
    <w:rsid w:val="009A76BB"/>
    <w:rsid w:val="009B09D7"/>
    <w:rsid w:val="009B12F5"/>
    <w:rsid w:val="009B1717"/>
    <w:rsid w:val="009B1DFC"/>
    <w:rsid w:val="009B1F30"/>
    <w:rsid w:val="009B22C8"/>
    <w:rsid w:val="009B2E1E"/>
    <w:rsid w:val="009B3739"/>
    <w:rsid w:val="009B3AC2"/>
    <w:rsid w:val="009B4378"/>
    <w:rsid w:val="009B44C9"/>
    <w:rsid w:val="009B4773"/>
    <w:rsid w:val="009B4DF4"/>
    <w:rsid w:val="009B52A6"/>
    <w:rsid w:val="009B564E"/>
    <w:rsid w:val="009B5DEE"/>
    <w:rsid w:val="009B75DF"/>
    <w:rsid w:val="009B760B"/>
    <w:rsid w:val="009B7E87"/>
    <w:rsid w:val="009C0169"/>
    <w:rsid w:val="009C1119"/>
    <w:rsid w:val="009C1A12"/>
    <w:rsid w:val="009C1E59"/>
    <w:rsid w:val="009C3AEF"/>
    <w:rsid w:val="009C403E"/>
    <w:rsid w:val="009C4449"/>
    <w:rsid w:val="009C56A7"/>
    <w:rsid w:val="009C5D87"/>
    <w:rsid w:val="009C6252"/>
    <w:rsid w:val="009C6FB2"/>
    <w:rsid w:val="009C70A9"/>
    <w:rsid w:val="009C77F0"/>
    <w:rsid w:val="009C7A45"/>
    <w:rsid w:val="009C7F32"/>
    <w:rsid w:val="009D0423"/>
    <w:rsid w:val="009D0911"/>
    <w:rsid w:val="009D0ACA"/>
    <w:rsid w:val="009D0B0F"/>
    <w:rsid w:val="009D1B3F"/>
    <w:rsid w:val="009D2B61"/>
    <w:rsid w:val="009D3BEA"/>
    <w:rsid w:val="009D44E9"/>
    <w:rsid w:val="009D4BEB"/>
    <w:rsid w:val="009D4FF0"/>
    <w:rsid w:val="009D5617"/>
    <w:rsid w:val="009D5AF2"/>
    <w:rsid w:val="009D6252"/>
    <w:rsid w:val="009D648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F1E"/>
    <w:rsid w:val="009E7F2C"/>
    <w:rsid w:val="009F08F3"/>
    <w:rsid w:val="009F0C9E"/>
    <w:rsid w:val="009F1741"/>
    <w:rsid w:val="009F20CF"/>
    <w:rsid w:val="009F344F"/>
    <w:rsid w:val="009F3B27"/>
    <w:rsid w:val="009F3EAA"/>
    <w:rsid w:val="009F4374"/>
    <w:rsid w:val="009F50F7"/>
    <w:rsid w:val="009F52AD"/>
    <w:rsid w:val="009F6041"/>
    <w:rsid w:val="009F73F1"/>
    <w:rsid w:val="009F7D8F"/>
    <w:rsid w:val="00A000F4"/>
    <w:rsid w:val="00A00311"/>
    <w:rsid w:val="00A015AB"/>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6FA6"/>
    <w:rsid w:val="00A1710D"/>
    <w:rsid w:val="00A173DC"/>
    <w:rsid w:val="00A17EAD"/>
    <w:rsid w:val="00A17F63"/>
    <w:rsid w:val="00A21823"/>
    <w:rsid w:val="00A21879"/>
    <w:rsid w:val="00A2193B"/>
    <w:rsid w:val="00A21AF1"/>
    <w:rsid w:val="00A21B6B"/>
    <w:rsid w:val="00A2351A"/>
    <w:rsid w:val="00A2408D"/>
    <w:rsid w:val="00A2483A"/>
    <w:rsid w:val="00A25856"/>
    <w:rsid w:val="00A25B4A"/>
    <w:rsid w:val="00A264A9"/>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64B"/>
    <w:rsid w:val="00A33D5C"/>
    <w:rsid w:val="00A34103"/>
    <w:rsid w:val="00A341C1"/>
    <w:rsid w:val="00A3448A"/>
    <w:rsid w:val="00A35956"/>
    <w:rsid w:val="00A36297"/>
    <w:rsid w:val="00A36539"/>
    <w:rsid w:val="00A40052"/>
    <w:rsid w:val="00A41E2B"/>
    <w:rsid w:val="00A42056"/>
    <w:rsid w:val="00A435D7"/>
    <w:rsid w:val="00A43ABD"/>
    <w:rsid w:val="00A43F84"/>
    <w:rsid w:val="00A43FAD"/>
    <w:rsid w:val="00A446EF"/>
    <w:rsid w:val="00A45402"/>
    <w:rsid w:val="00A454C4"/>
    <w:rsid w:val="00A45B74"/>
    <w:rsid w:val="00A469F3"/>
    <w:rsid w:val="00A46E33"/>
    <w:rsid w:val="00A472AE"/>
    <w:rsid w:val="00A50046"/>
    <w:rsid w:val="00A5024F"/>
    <w:rsid w:val="00A507B3"/>
    <w:rsid w:val="00A508A0"/>
    <w:rsid w:val="00A5092B"/>
    <w:rsid w:val="00A5109F"/>
    <w:rsid w:val="00A51117"/>
    <w:rsid w:val="00A51238"/>
    <w:rsid w:val="00A51307"/>
    <w:rsid w:val="00A515A6"/>
    <w:rsid w:val="00A52559"/>
    <w:rsid w:val="00A52864"/>
    <w:rsid w:val="00A52999"/>
    <w:rsid w:val="00A52B1E"/>
    <w:rsid w:val="00A52E1D"/>
    <w:rsid w:val="00A535EF"/>
    <w:rsid w:val="00A537DD"/>
    <w:rsid w:val="00A5566B"/>
    <w:rsid w:val="00A55764"/>
    <w:rsid w:val="00A56709"/>
    <w:rsid w:val="00A578D7"/>
    <w:rsid w:val="00A60691"/>
    <w:rsid w:val="00A6081E"/>
    <w:rsid w:val="00A60C8D"/>
    <w:rsid w:val="00A60EFD"/>
    <w:rsid w:val="00A61188"/>
    <w:rsid w:val="00A61499"/>
    <w:rsid w:val="00A616AB"/>
    <w:rsid w:val="00A618FE"/>
    <w:rsid w:val="00A61D00"/>
    <w:rsid w:val="00A62239"/>
    <w:rsid w:val="00A62A77"/>
    <w:rsid w:val="00A63483"/>
    <w:rsid w:val="00A653FC"/>
    <w:rsid w:val="00A6548D"/>
    <w:rsid w:val="00A657D7"/>
    <w:rsid w:val="00A6606A"/>
    <w:rsid w:val="00A660AC"/>
    <w:rsid w:val="00A66D07"/>
    <w:rsid w:val="00A67582"/>
    <w:rsid w:val="00A67B89"/>
    <w:rsid w:val="00A67E6C"/>
    <w:rsid w:val="00A70A69"/>
    <w:rsid w:val="00A712CA"/>
    <w:rsid w:val="00A71B99"/>
    <w:rsid w:val="00A72B55"/>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FB0"/>
    <w:rsid w:val="00A84880"/>
    <w:rsid w:val="00A84971"/>
    <w:rsid w:val="00A84C48"/>
    <w:rsid w:val="00A84CCB"/>
    <w:rsid w:val="00A86583"/>
    <w:rsid w:val="00A90167"/>
    <w:rsid w:val="00A923E3"/>
    <w:rsid w:val="00A92879"/>
    <w:rsid w:val="00A92AF3"/>
    <w:rsid w:val="00A92C21"/>
    <w:rsid w:val="00A92C53"/>
    <w:rsid w:val="00A943F9"/>
    <w:rsid w:val="00A9442A"/>
    <w:rsid w:val="00A94D45"/>
    <w:rsid w:val="00A94E56"/>
    <w:rsid w:val="00A94FBE"/>
    <w:rsid w:val="00A955EE"/>
    <w:rsid w:val="00A9567A"/>
    <w:rsid w:val="00A95A45"/>
    <w:rsid w:val="00A96052"/>
    <w:rsid w:val="00A96DEB"/>
    <w:rsid w:val="00A972B6"/>
    <w:rsid w:val="00AA016F"/>
    <w:rsid w:val="00AA0278"/>
    <w:rsid w:val="00AA0869"/>
    <w:rsid w:val="00AA14A6"/>
    <w:rsid w:val="00AA1ED6"/>
    <w:rsid w:val="00AA3057"/>
    <w:rsid w:val="00AA3297"/>
    <w:rsid w:val="00AA3377"/>
    <w:rsid w:val="00AA45A8"/>
    <w:rsid w:val="00AA51D6"/>
    <w:rsid w:val="00AA6A27"/>
    <w:rsid w:val="00AB0BC8"/>
    <w:rsid w:val="00AB11CA"/>
    <w:rsid w:val="00AB14D9"/>
    <w:rsid w:val="00AB1FA6"/>
    <w:rsid w:val="00AB210E"/>
    <w:rsid w:val="00AB2E59"/>
    <w:rsid w:val="00AB33F9"/>
    <w:rsid w:val="00AB3991"/>
    <w:rsid w:val="00AB3A07"/>
    <w:rsid w:val="00AB3F07"/>
    <w:rsid w:val="00AB4AB8"/>
    <w:rsid w:val="00AB534F"/>
    <w:rsid w:val="00AB5C6B"/>
    <w:rsid w:val="00AB655E"/>
    <w:rsid w:val="00AB7F24"/>
    <w:rsid w:val="00AC007F"/>
    <w:rsid w:val="00AC0662"/>
    <w:rsid w:val="00AC1F7E"/>
    <w:rsid w:val="00AC2159"/>
    <w:rsid w:val="00AC2B0A"/>
    <w:rsid w:val="00AC2ECD"/>
    <w:rsid w:val="00AC3119"/>
    <w:rsid w:val="00AC46E5"/>
    <w:rsid w:val="00AC48FC"/>
    <w:rsid w:val="00AC49FB"/>
    <w:rsid w:val="00AC4F0E"/>
    <w:rsid w:val="00AC5A10"/>
    <w:rsid w:val="00AC6D9F"/>
    <w:rsid w:val="00AD0164"/>
    <w:rsid w:val="00AD0AA3"/>
    <w:rsid w:val="00AD0B18"/>
    <w:rsid w:val="00AD1A16"/>
    <w:rsid w:val="00AD1B62"/>
    <w:rsid w:val="00AD24E5"/>
    <w:rsid w:val="00AD2913"/>
    <w:rsid w:val="00AD2ED0"/>
    <w:rsid w:val="00AD342A"/>
    <w:rsid w:val="00AD397A"/>
    <w:rsid w:val="00AD3C37"/>
    <w:rsid w:val="00AD3F94"/>
    <w:rsid w:val="00AD42C9"/>
    <w:rsid w:val="00AD4A5A"/>
    <w:rsid w:val="00AD4C41"/>
    <w:rsid w:val="00AD5BC3"/>
    <w:rsid w:val="00AD76A8"/>
    <w:rsid w:val="00AD7A98"/>
    <w:rsid w:val="00AE0827"/>
    <w:rsid w:val="00AE0D43"/>
    <w:rsid w:val="00AE1B53"/>
    <w:rsid w:val="00AE27AC"/>
    <w:rsid w:val="00AE3F1E"/>
    <w:rsid w:val="00AE40E0"/>
    <w:rsid w:val="00AE4789"/>
    <w:rsid w:val="00AE483E"/>
    <w:rsid w:val="00AE4DBA"/>
    <w:rsid w:val="00AE4EDF"/>
    <w:rsid w:val="00AE4F07"/>
    <w:rsid w:val="00AE5BFB"/>
    <w:rsid w:val="00AE796E"/>
    <w:rsid w:val="00AE7B95"/>
    <w:rsid w:val="00AF0476"/>
    <w:rsid w:val="00AF1C5D"/>
    <w:rsid w:val="00AF25F3"/>
    <w:rsid w:val="00AF2830"/>
    <w:rsid w:val="00AF333C"/>
    <w:rsid w:val="00AF4233"/>
    <w:rsid w:val="00AF42D7"/>
    <w:rsid w:val="00AF5A54"/>
    <w:rsid w:val="00AF6BB0"/>
    <w:rsid w:val="00AF71B0"/>
    <w:rsid w:val="00B00146"/>
    <w:rsid w:val="00B006FE"/>
    <w:rsid w:val="00B007CB"/>
    <w:rsid w:val="00B0290A"/>
    <w:rsid w:val="00B02AA9"/>
    <w:rsid w:val="00B02FA3"/>
    <w:rsid w:val="00B042BA"/>
    <w:rsid w:val="00B05084"/>
    <w:rsid w:val="00B05E1E"/>
    <w:rsid w:val="00B05E70"/>
    <w:rsid w:val="00B068D0"/>
    <w:rsid w:val="00B0696D"/>
    <w:rsid w:val="00B070F9"/>
    <w:rsid w:val="00B074CB"/>
    <w:rsid w:val="00B076C7"/>
    <w:rsid w:val="00B077CC"/>
    <w:rsid w:val="00B11685"/>
    <w:rsid w:val="00B11969"/>
    <w:rsid w:val="00B12AB0"/>
    <w:rsid w:val="00B135F8"/>
    <w:rsid w:val="00B1360C"/>
    <w:rsid w:val="00B138B2"/>
    <w:rsid w:val="00B13A4A"/>
    <w:rsid w:val="00B13CC7"/>
    <w:rsid w:val="00B157F9"/>
    <w:rsid w:val="00B15A10"/>
    <w:rsid w:val="00B15D32"/>
    <w:rsid w:val="00B16296"/>
    <w:rsid w:val="00B16D24"/>
    <w:rsid w:val="00B17833"/>
    <w:rsid w:val="00B17C29"/>
    <w:rsid w:val="00B20256"/>
    <w:rsid w:val="00B2081F"/>
    <w:rsid w:val="00B20D09"/>
    <w:rsid w:val="00B2109B"/>
    <w:rsid w:val="00B215E0"/>
    <w:rsid w:val="00B215F3"/>
    <w:rsid w:val="00B22AB2"/>
    <w:rsid w:val="00B2331F"/>
    <w:rsid w:val="00B23E2C"/>
    <w:rsid w:val="00B24273"/>
    <w:rsid w:val="00B2763F"/>
    <w:rsid w:val="00B27A72"/>
    <w:rsid w:val="00B27AAC"/>
    <w:rsid w:val="00B27AD6"/>
    <w:rsid w:val="00B27CBC"/>
    <w:rsid w:val="00B27F65"/>
    <w:rsid w:val="00B306CE"/>
    <w:rsid w:val="00B30929"/>
    <w:rsid w:val="00B30F3E"/>
    <w:rsid w:val="00B32F9E"/>
    <w:rsid w:val="00B334C5"/>
    <w:rsid w:val="00B3408A"/>
    <w:rsid w:val="00B34676"/>
    <w:rsid w:val="00B34F37"/>
    <w:rsid w:val="00B355CE"/>
    <w:rsid w:val="00B372AA"/>
    <w:rsid w:val="00B40445"/>
    <w:rsid w:val="00B409E0"/>
    <w:rsid w:val="00B40D00"/>
    <w:rsid w:val="00B40D89"/>
    <w:rsid w:val="00B4117A"/>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1FC7"/>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F73"/>
    <w:rsid w:val="00B91D99"/>
    <w:rsid w:val="00B93253"/>
    <w:rsid w:val="00B93B59"/>
    <w:rsid w:val="00B9406A"/>
    <w:rsid w:val="00B94528"/>
    <w:rsid w:val="00B959DE"/>
    <w:rsid w:val="00B963C3"/>
    <w:rsid w:val="00B96616"/>
    <w:rsid w:val="00B96709"/>
    <w:rsid w:val="00B96FF3"/>
    <w:rsid w:val="00BA07A3"/>
    <w:rsid w:val="00BA179D"/>
    <w:rsid w:val="00BA1C21"/>
    <w:rsid w:val="00BA2280"/>
    <w:rsid w:val="00BA2A08"/>
    <w:rsid w:val="00BA4024"/>
    <w:rsid w:val="00BA40BA"/>
    <w:rsid w:val="00BA4D72"/>
    <w:rsid w:val="00BA56D2"/>
    <w:rsid w:val="00BA5AE9"/>
    <w:rsid w:val="00BA5DE7"/>
    <w:rsid w:val="00BA695E"/>
    <w:rsid w:val="00BA76E0"/>
    <w:rsid w:val="00BA7D1A"/>
    <w:rsid w:val="00BB157B"/>
    <w:rsid w:val="00BB1F3D"/>
    <w:rsid w:val="00BB264F"/>
    <w:rsid w:val="00BB2A25"/>
    <w:rsid w:val="00BB2B99"/>
    <w:rsid w:val="00BB3DD1"/>
    <w:rsid w:val="00BB51E9"/>
    <w:rsid w:val="00BB6D6B"/>
    <w:rsid w:val="00BB7122"/>
    <w:rsid w:val="00BC0496"/>
    <w:rsid w:val="00BC0FDC"/>
    <w:rsid w:val="00BC1692"/>
    <w:rsid w:val="00BC2BBA"/>
    <w:rsid w:val="00BC3053"/>
    <w:rsid w:val="00BC4067"/>
    <w:rsid w:val="00BC40EB"/>
    <w:rsid w:val="00BC4355"/>
    <w:rsid w:val="00BC4D2E"/>
    <w:rsid w:val="00BC4D87"/>
    <w:rsid w:val="00BC4FDA"/>
    <w:rsid w:val="00BC7136"/>
    <w:rsid w:val="00BD009D"/>
    <w:rsid w:val="00BD1A2E"/>
    <w:rsid w:val="00BD24EF"/>
    <w:rsid w:val="00BD48AC"/>
    <w:rsid w:val="00BD5153"/>
    <w:rsid w:val="00BD59E7"/>
    <w:rsid w:val="00BD5CBC"/>
    <w:rsid w:val="00BD5F1A"/>
    <w:rsid w:val="00BD658B"/>
    <w:rsid w:val="00BE1234"/>
    <w:rsid w:val="00BE2262"/>
    <w:rsid w:val="00BE2FA6"/>
    <w:rsid w:val="00BE31BF"/>
    <w:rsid w:val="00BE333F"/>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4D0"/>
    <w:rsid w:val="00C015F1"/>
    <w:rsid w:val="00C01631"/>
    <w:rsid w:val="00C01F33"/>
    <w:rsid w:val="00C02641"/>
    <w:rsid w:val="00C02CC6"/>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585C"/>
    <w:rsid w:val="00C16327"/>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D3E"/>
    <w:rsid w:val="00C451C3"/>
    <w:rsid w:val="00C45F5F"/>
    <w:rsid w:val="00C4638E"/>
    <w:rsid w:val="00C46D8B"/>
    <w:rsid w:val="00C47054"/>
    <w:rsid w:val="00C47084"/>
    <w:rsid w:val="00C473A5"/>
    <w:rsid w:val="00C51007"/>
    <w:rsid w:val="00C513C3"/>
    <w:rsid w:val="00C529A2"/>
    <w:rsid w:val="00C53A0C"/>
    <w:rsid w:val="00C53AE3"/>
    <w:rsid w:val="00C54501"/>
    <w:rsid w:val="00C54995"/>
    <w:rsid w:val="00C54D41"/>
    <w:rsid w:val="00C55327"/>
    <w:rsid w:val="00C55928"/>
    <w:rsid w:val="00C55A51"/>
    <w:rsid w:val="00C565D9"/>
    <w:rsid w:val="00C56E86"/>
    <w:rsid w:val="00C57F39"/>
    <w:rsid w:val="00C60783"/>
    <w:rsid w:val="00C60B65"/>
    <w:rsid w:val="00C61AB1"/>
    <w:rsid w:val="00C61D4D"/>
    <w:rsid w:val="00C61E1D"/>
    <w:rsid w:val="00C624A5"/>
    <w:rsid w:val="00C6263D"/>
    <w:rsid w:val="00C6368F"/>
    <w:rsid w:val="00C639E0"/>
    <w:rsid w:val="00C63FE8"/>
    <w:rsid w:val="00C64672"/>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7790F"/>
    <w:rsid w:val="00C802B6"/>
    <w:rsid w:val="00C8051C"/>
    <w:rsid w:val="00C809A2"/>
    <w:rsid w:val="00C80C41"/>
    <w:rsid w:val="00C80D45"/>
    <w:rsid w:val="00C80D69"/>
    <w:rsid w:val="00C81568"/>
    <w:rsid w:val="00C835FA"/>
    <w:rsid w:val="00C8429C"/>
    <w:rsid w:val="00C8446C"/>
    <w:rsid w:val="00C84614"/>
    <w:rsid w:val="00C84953"/>
    <w:rsid w:val="00C8631D"/>
    <w:rsid w:val="00C86E38"/>
    <w:rsid w:val="00C8764B"/>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312E"/>
    <w:rsid w:val="00CA31DC"/>
    <w:rsid w:val="00CA33C6"/>
    <w:rsid w:val="00CA35A2"/>
    <w:rsid w:val="00CA35B7"/>
    <w:rsid w:val="00CA414F"/>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EA0"/>
    <w:rsid w:val="00CC4620"/>
    <w:rsid w:val="00CC4704"/>
    <w:rsid w:val="00CC48E6"/>
    <w:rsid w:val="00CC589F"/>
    <w:rsid w:val="00CC5A2E"/>
    <w:rsid w:val="00CC6BC2"/>
    <w:rsid w:val="00CC75D2"/>
    <w:rsid w:val="00CC7B45"/>
    <w:rsid w:val="00CD0188"/>
    <w:rsid w:val="00CD01B6"/>
    <w:rsid w:val="00CD0967"/>
    <w:rsid w:val="00CD0974"/>
    <w:rsid w:val="00CD1188"/>
    <w:rsid w:val="00CD11D9"/>
    <w:rsid w:val="00CD122D"/>
    <w:rsid w:val="00CD27D8"/>
    <w:rsid w:val="00CD2ED1"/>
    <w:rsid w:val="00CD337B"/>
    <w:rsid w:val="00CD3630"/>
    <w:rsid w:val="00CD388E"/>
    <w:rsid w:val="00CD3A9D"/>
    <w:rsid w:val="00CD3BA0"/>
    <w:rsid w:val="00CD402D"/>
    <w:rsid w:val="00CD45DA"/>
    <w:rsid w:val="00CD46DA"/>
    <w:rsid w:val="00CD5720"/>
    <w:rsid w:val="00CD6B76"/>
    <w:rsid w:val="00CE0073"/>
    <w:rsid w:val="00CE0249"/>
    <w:rsid w:val="00CE0424"/>
    <w:rsid w:val="00CE04C3"/>
    <w:rsid w:val="00CE0C92"/>
    <w:rsid w:val="00CE1484"/>
    <w:rsid w:val="00CE3844"/>
    <w:rsid w:val="00CE421B"/>
    <w:rsid w:val="00CE43D2"/>
    <w:rsid w:val="00CE4F59"/>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942"/>
    <w:rsid w:val="00D0032E"/>
    <w:rsid w:val="00D00AEB"/>
    <w:rsid w:val="00D0148E"/>
    <w:rsid w:val="00D01638"/>
    <w:rsid w:val="00D0239B"/>
    <w:rsid w:val="00D02612"/>
    <w:rsid w:val="00D02BD3"/>
    <w:rsid w:val="00D03137"/>
    <w:rsid w:val="00D03157"/>
    <w:rsid w:val="00D0315F"/>
    <w:rsid w:val="00D033F5"/>
    <w:rsid w:val="00D0349B"/>
    <w:rsid w:val="00D03580"/>
    <w:rsid w:val="00D0428C"/>
    <w:rsid w:val="00D04846"/>
    <w:rsid w:val="00D05046"/>
    <w:rsid w:val="00D05051"/>
    <w:rsid w:val="00D05717"/>
    <w:rsid w:val="00D0726B"/>
    <w:rsid w:val="00D0739A"/>
    <w:rsid w:val="00D10249"/>
    <w:rsid w:val="00D103CF"/>
    <w:rsid w:val="00D115C3"/>
    <w:rsid w:val="00D11897"/>
    <w:rsid w:val="00D128F9"/>
    <w:rsid w:val="00D12B9F"/>
    <w:rsid w:val="00D13135"/>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5233"/>
    <w:rsid w:val="00D2568B"/>
    <w:rsid w:val="00D2616C"/>
    <w:rsid w:val="00D26A5E"/>
    <w:rsid w:val="00D26CF0"/>
    <w:rsid w:val="00D26D74"/>
    <w:rsid w:val="00D271D8"/>
    <w:rsid w:val="00D27EF7"/>
    <w:rsid w:val="00D319B3"/>
    <w:rsid w:val="00D33DF5"/>
    <w:rsid w:val="00D3594B"/>
    <w:rsid w:val="00D367B4"/>
    <w:rsid w:val="00D36A83"/>
    <w:rsid w:val="00D36E71"/>
    <w:rsid w:val="00D37352"/>
    <w:rsid w:val="00D37D87"/>
    <w:rsid w:val="00D37EE4"/>
    <w:rsid w:val="00D40B33"/>
    <w:rsid w:val="00D40EA3"/>
    <w:rsid w:val="00D412FE"/>
    <w:rsid w:val="00D413D4"/>
    <w:rsid w:val="00D4193E"/>
    <w:rsid w:val="00D41CE8"/>
    <w:rsid w:val="00D4318F"/>
    <w:rsid w:val="00D436D8"/>
    <w:rsid w:val="00D438BF"/>
    <w:rsid w:val="00D43F9F"/>
    <w:rsid w:val="00D440F8"/>
    <w:rsid w:val="00D441A9"/>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CE5"/>
    <w:rsid w:val="00D63FF5"/>
    <w:rsid w:val="00D64801"/>
    <w:rsid w:val="00D652B5"/>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77E"/>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7F6"/>
    <w:rsid w:val="00DA0989"/>
    <w:rsid w:val="00DA2D16"/>
    <w:rsid w:val="00DA305E"/>
    <w:rsid w:val="00DA312C"/>
    <w:rsid w:val="00DA3E83"/>
    <w:rsid w:val="00DA478A"/>
    <w:rsid w:val="00DA5137"/>
    <w:rsid w:val="00DA5417"/>
    <w:rsid w:val="00DA56E8"/>
    <w:rsid w:val="00DA67B4"/>
    <w:rsid w:val="00DA6BB9"/>
    <w:rsid w:val="00DA751B"/>
    <w:rsid w:val="00DB013B"/>
    <w:rsid w:val="00DB0482"/>
    <w:rsid w:val="00DB0A9F"/>
    <w:rsid w:val="00DB10AA"/>
    <w:rsid w:val="00DB1E95"/>
    <w:rsid w:val="00DB2F49"/>
    <w:rsid w:val="00DB377D"/>
    <w:rsid w:val="00DB4B63"/>
    <w:rsid w:val="00DB5D45"/>
    <w:rsid w:val="00DB6517"/>
    <w:rsid w:val="00DB797F"/>
    <w:rsid w:val="00DC008A"/>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62"/>
    <w:rsid w:val="00DC6594"/>
    <w:rsid w:val="00DC7810"/>
    <w:rsid w:val="00DD0116"/>
    <w:rsid w:val="00DD1DD0"/>
    <w:rsid w:val="00DD4BDB"/>
    <w:rsid w:val="00DD5F15"/>
    <w:rsid w:val="00DD70BA"/>
    <w:rsid w:val="00DD75AE"/>
    <w:rsid w:val="00DD7B4A"/>
    <w:rsid w:val="00DE0C54"/>
    <w:rsid w:val="00DE40DD"/>
    <w:rsid w:val="00DE4425"/>
    <w:rsid w:val="00DE4FC1"/>
    <w:rsid w:val="00DE5395"/>
    <w:rsid w:val="00DE5441"/>
    <w:rsid w:val="00DE5608"/>
    <w:rsid w:val="00DE58D0"/>
    <w:rsid w:val="00DE5B94"/>
    <w:rsid w:val="00DE654F"/>
    <w:rsid w:val="00DE6CB5"/>
    <w:rsid w:val="00DE76AB"/>
    <w:rsid w:val="00DF0696"/>
    <w:rsid w:val="00DF0B6E"/>
    <w:rsid w:val="00DF15E0"/>
    <w:rsid w:val="00DF1C07"/>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47C0"/>
    <w:rsid w:val="00E07A90"/>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FA2"/>
    <w:rsid w:val="00E20B06"/>
    <w:rsid w:val="00E2132E"/>
    <w:rsid w:val="00E22330"/>
    <w:rsid w:val="00E233AE"/>
    <w:rsid w:val="00E23A35"/>
    <w:rsid w:val="00E24345"/>
    <w:rsid w:val="00E2439D"/>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10B4"/>
    <w:rsid w:val="00E42D29"/>
    <w:rsid w:val="00E42EBA"/>
    <w:rsid w:val="00E4303A"/>
    <w:rsid w:val="00E431E7"/>
    <w:rsid w:val="00E43397"/>
    <w:rsid w:val="00E436D5"/>
    <w:rsid w:val="00E43E50"/>
    <w:rsid w:val="00E44384"/>
    <w:rsid w:val="00E446F1"/>
    <w:rsid w:val="00E44D5F"/>
    <w:rsid w:val="00E46886"/>
    <w:rsid w:val="00E47A14"/>
    <w:rsid w:val="00E47AEF"/>
    <w:rsid w:val="00E512FF"/>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3838"/>
    <w:rsid w:val="00E63CFE"/>
    <w:rsid w:val="00E64054"/>
    <w:rsid w:val="00E64101"/>
    <w:rsid w:val="00E64302"/>
    <w:rsid w:val="00E64434"/>
    <w:rsid w:val="00E644C2"/>
    <w:rsid w:val="00E64DAF"/>
    <w:rsid w:val="00E64E03"/>
    <w:rsid w:val="00E6568C"/>
    <w:rsid w:val="00E6678F"/>
    <w:rsid w:val="00E669A0"/>
    <w:rsid w:val="00E67AD9"/>
    <w:rsid w:val="00E67C51"/>
    <w:rsid w:val="00E67E76"/>
    <w:rsid w:val="00E728BB"/>
    <w:rsid w:val="00E72ACB"/>
    <w:rsid w:val="00E72BD2"/>
    <w:rsid w:val="00E72EFC"/>
    <w:rsid w:val="00E73187"/>
    <w:rsid w:val="00E758EC"/>
    <w:rsid w:val="00E75A6F"/>
    <w:rsid w:val="00E803E3"/>
    <w:rsid w:val="00E8043B"/>
    <w:rsid w:val="00E815CC"/>
    <w:rsid w:val="00E8234C"/>
    <w:rsid w:val="00E829E7"/>
    <w:rsid w:val="00E8336A"/>
    <w:rsid w:val="00E83AA9"/>
    <w:rsid w:val="00E84921"/>
    <w:rsid w:val="00E84931"/>
    <w:rsid w:val="00E8493F"/>
    <w:rsid w:val="00E8576B"/>
    <w:rsid w:val="00E85928"/>
    <w:rsid w:val="00E8597F"/>
    <w:rsid w:val="00E85E79"/>
    <w:rsid w:val="00E86607"/>
    <w:rsid w:val="00E87429"/>
    <w:rsid w:val="00E87822"/>
    <w:rsid w:val="00E878C9"/>
    <w:rsid w:val="00E87B72"/>
    <w:rsid w:val="00E90395"/>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B56"/>
    <w:rsid w:val="00E9725A"/>
    <w:rsid w:val="00E973DB"/>
    <w:rsid w:val="00E97A53"/>
    <w:rsid w:val="00EA07AD"/>
    <w:rsid w:val="00EA0A9F"/>
    <w:rsid w:val="00EA1F89"/>
    <w:rsid w:val="00EA2663"/>
    <w:rsid w:val="00EA27C6"/>
    <w:rsid w:val="00EA3095"/>
    <w:rsid w:val="00EA4791"/>
    <w:rsid w:val="00EA4A50"/>
    <w:rsid w:val="00EA5226"/>
    <w:rsid w:val="00EA5D55"/>
    <w:rsid w:val="00EA639A"/>
    <w:rsid w:val="00EA66A8"/>
    <w:rsid w:val="00EA6BEC"/>
    <w:rsid w:val="00EA7A41"/>
    <w:rsid w:val="00EB077B"/>
    <w:rsid w:val="00EB0859"/>
    <w:rsid w:val="00EB0876"/>
    <w:rsid w:val="00EB1A03"/>
    <w:rsid w:val="00EB4D5F"/>
    <w:rsid w:val="00EB4EA2"/>
    <w:rsid w:val="00EB5225"/>
    <w:rsid w:val="00EB55E0"/>
    <w:rsid w:val="00EB5CE7"/>
    <w:rsid w:val="00EB6EEE"/>
    <w:rsid w:val="00EB7261"/>
    <w:rsid w:val="00EB7836"/>
    <w:rsid w:val="00EC033F"/>
    <w:rsid w:val="00EC0EA6"/>
    <w:rsid w:val="00EC0F82"/>
    <w:rsid w:val="00EC1000"/>
    <w:rsid w:val="00EC18AE"/>
    <w:rsid w:val="00EC24D5"/>
    <w:rsid w:val="00EC2503"/>
    <w:rsid w:val="00EC27C6"/>
    <w:rsid w:val="00EC34E7"/>
    <w:rsid w:val="00EC4016"/>
    <w:rsid w:val="00EC4207"/>
    <w:rsid w:val="00EC457C"/>
    <w:rsid w:val="00EC5653"/>
    <w:rsid w:val="00EC6A56"/>
    <w:rsid w:val="00EC71CE"/>
    <w:rsid w:val="00EC7C2A"/>
    <w:rsid w:val="00ED00C8"/>
    <w:rsid w:val="00ED0C02"/>
    <w:rsid w:val="00ED1006"/>
    <w:rsid w:val="00ED2BC8"/>
    <w:rsid w:val="00ED38F8"/>
    <w:rsid w:val="00ED3AFF"/>
    <w:rsid w:val="00ED3C84"/>
    <w:rsid w:val="00ED4228"/>
    <w:rsid w:val="00ED61B9"/>
    <w:rsid w:val="00ED67A5"/>
    <w:rsid w:val="00ED7400"/>
    <w:rsid w:val="00ED7950"/>
    <w:rsid w:val="00EE04B8"/>
    <w:rsid w:val="00EE0EBF"/>
    <w:rsid w:val="00EE1025"/>
    <w:rsid w:val="00EE1241"/>
    <w:rsid w:val="00EE1DEA"/>
    <w:rsid w:val="00EE21D8"/>
    <w:rsid w:val="00EE2EDA"/>
    <w:rsid w:val="00EE39B6"/>
    <w:rsid w:val="00EE425E"/>
    <w:rsid w:val="00EE47BE"/>
    <w:rsid w:val="00EE4A4A"/>
    <w:rsid w:val="00EE604F"/>
    <w:rsid w:val="00EE6B43"/>
    <w:rsid w:val="00EE7F09"/>
    <w:rsid w:val="00EF0467"/>
    <w:rsid w:val="00EF0C80"/>
    <w:rsid w:val="00EF126B"/>
    <w:rsid w:val="00EF18FE"/>
    <w:rsid w:val="00EF24FC"/>
    <w:rsid w:val="00EF2FFD"/>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5FA5"/>
    <w:rsid w:val="00F16370"/>
    <w:rsid w:val="00F17001"/>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7FA4"/>
    <w:rsid w:val="00F30828"/>
    <w:rsid w:val="00F309EB"/>
    <w:rsid w:val="00F30D5F"/>
    <w:rsid w:val="00F313D6"/>
    <w:rsid w:val="00F3237F"/>
    <w:rsid w:val="00F33ED4"/>
    <w:rsid w:val="00F35BC0"/>
    <w:rsid w:val="00F36546"/>
    <w:rsid w:val="00F37258"/>
    <w:rsid w:val="00F3781A"/>
    <w:rsid w:val="00F40519"/>
    <w:rsid w:val="00F40F0C"/>
    <w:rsid w:val="00F412A0"/>
    <w:rsid w:val="00F41DE3"/>
    <w:rsid w:val="00F42563"/>
    <w:rsid w:val="00F4275F"/>
    <w:rsid w:val="00F42980"/>
    <w:rsid w:val="00F44A7E"/>
    <w:rsid w:val="00F44B85"/>
    <w:rsid w:val="00F44BFA"/>
    <w:rsid w:val="00F45201"/>
    <w:rsid w:val="00F46576"/>
    <w:rsid w:val="00F46891"/>
    <w:rsid w:val="00F473B6"/>
    <w:rsid w:val="00F4766C"/>
    <w:rsid w:val="00F47BDE"/>
    <w:rsid w:val="00F47F54"/>
    <w:rsid w:val="00F503DB"/>
    <w:rsid w:val="00F5060E"/>
    <w:rsid w:val="00F507D1"/>
    <w:rsid w:val="00F50BCA"/>
    <w:rsid w:val="00F516EA"/>
    <w:rsid w:val="00F519CE"/>
    <w:rsid w:val="00F51ADA"/>
    <w:rsid w:val="00F52357"/>
    <w:rsid w:val="00F53CA2"/>
    <w:rsid w:val="00F53EE8"/>
    <w:rsid w:val="00F557AB"/>
    <w:rsid w:val="00F56DCC"/>
    <w:rsid w:val="00F60203"/>
    <w:rsid w:val="00F602C7"/>
    <w:rsid w:val="00F607C5"/>
    <w:rsid w:val="00F60DEA"/>
    <w:rsid w:val="00F61D56"/>
    <w:rsid w:val="00F6302A"/>
    <w:rsid w:val="00F63950"/>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B72"/>
    <w:rsid w:val="00F72C52"/>
    <w:rsid w:val="00F72DB8"/>
    <w:rsid w:val="00F7319E"/>
    <w:rsid w:val="00F7419C"/>
    <w:rsid w:val="00F746B5"/>
    <w:rsid w:val="00F74BB9"/>
    <w:rsid w:val="00F75582"/>
    <w:rsid w:val="00F75CC4"/>
    <w:rsid w:val="00F7658B"/>
    <w:rsid w:val="00F76D8F"/>
    <w:rsid w:val="00F76EFA"/>
    <w:rsid w:val="00F804BE"/>
    <w:rsid w:val="00F80B1E"/>
    <w:rsid w:val="00F817CE"/>
    <w:rsid w:val="00F822D6"/>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6C6"/>
    <w:rsid w:val="00F92782"/>
    <w:rsid w:val="00F9382C"/>
    <w:rsid w:val="00F938F1"/>
    <w:rsid w:val="00F93AA9"/>
    <w:rsid w:val="00F94604"/>
    <w:rsid w:val="00F954FB"/>
    <w:rsid w:val="00F95861"/>
    <w:rsid w:val="00F96985"/>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5970"/>
    <w:rsid w:val="00FA5A56"/>
    <w:rsid w:val="00FA5EAE"/>
    <w:rsid w:val="00FA73A9"/>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C0DB2"/>
    <w:rsid w:val="00FC1780"/>
    <w:rsid w:val="00FC1BF0"/>
    <w:rsid w:val="00FC206D"/>
    <w:rsid w:val="00FC27CC"/>
    <w:rsid w:val="00FC2A7D"/>
    <w:rsid w:val="00FC7429"/>
    <w:rsid w:val="00FC7598"/>
    <w:rsid w:val="00FD062D"/>
    <w:rsid w:val="00FD07F6"/>
    <w:rsid w:val="00FD1EC8"/>
    <w:rsid w:val="00FD20F3"/>
    <w:rsid w:val="00FD2305"/>
    <w:rsid w:val="00FD296C"/>
    <w:rsid w:val="00FD3D13"/>
    <w:rsid w:val="00FD47ED"/>
    <w:rsid w:val="00FD4888"/>
    <w:rsid w:val="00FD4F1F"/>
    <w:rsid w:val="00FD54BE"/>
    <w:rsid w:val="00FD54D4"/>
    <w:rsid w:val="00FD5E31"/>
    <w:rsid w:val="00FD6338"/>
    <w:rsid w:val="00FD69F0"/>
    <w:rsid w:val="00FD6C50"/>
    <w:rsid w:val="00FD74DB"/>
    <w:rsid w:val="00FD7660"/>
    <w:rsid w:val="00FE0655"/>
    <w:rsid w:val="00FE14AB"/>
    <w:rsid w:val="00FE17C3"/>
    <w:rsid w:val="00FE20C6"/>
    <w:rsid w:val="00FE2365"/>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480"/>
    <w:rsid w:val="00FF3D0C"/>
    <w:rsid w:val="00FF45A5"/>
    <w:rsid w:val="00FF53D1"/>
    <w:rsid w:val="00FF5C91"/>
    <w:rsid w:val="00FF6416"/>
    <w:rsid w:val="00FF645D"/>
    <w:rsid w:val="00FF76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 w:type="paragraph" w:styleId="NormalWeb">
    <w:name w:val="Normal (Web)"/>
    <w:basedOn w:val="Normal"/>
    <w:rsid w:val="009D0ACA"/>
    <w:rPr>
      <w:rFonts w:ascii="Times New Roman" w:hAnsi="Times New Roman" w:cs="Times New Roman"/>
      <w:sz w:val="24"/>
      <w:szCs w:val="24"/>
    </w:rPr>
  </w:style>
  <w:style w:type="numbering" w:customStyle="1" w:styleId="CurrentList7">
    <w:name w:val="Current List7"/>
    <w:uiPriority w:val="99"/>
    <w:rsid w:val="009B3739"/>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163860788">
      <w:bodyDiv w:val="1"/>
      <w:marLeft w:val="0"/>
      <w:marRight w:val="0"/>
      <w:marTop w:val="0"/>
      <w:marBottom w:val="0"/>
      <w:divBdr>
        <w:top w:val="none" w:sz="0" w:space="0" w:color="auto"/>
        <w:left w:val="none" w:sz="0" w:space="0" w:color="auto"/>
        <w:bottom w:val="none" w:sz="0" w:space="0" w:color="auto"/>
        <w:right w:val="none" w:sz="0" w:space="0" w:color="auto"/>
      </w:divBdr>
      <w:divsChild>
        <w:div w:id="605238259">
          <w:marLeft w:val="0"/>
          <w:marRight w:val="0"/>
          <w:marTop w:val="0"/>
          <w:marBottom w:val="0"/>
          <w:divBdr>
            <w:top w:val="none" w:sz="0" w:space="0" w:color="auto"/>
            <w:left w:val="none" w:sz="0" w:space="0" w:color="auto"/>
            <w:bottom w:val="none" w:sz="0" w:space="0" w:color="auto"/>
            <w:right w:val="none" w:sz="0" w:space="0" w:color="auto"/>
          </w:divBdr>
          <w:divsChild>
            <w:div w:id="1998071048">
              <w:marLeft w:val="0"/>
              <w:marRight w:val="0"/>
              <w:marTop w:val="0"/>
              <w:marBottom w:val="0"/>
              <w:divBdr>
                <w:top w:val="none" w:sz="0" w:space="0" w:color="auto"/>
                <w:left w:val="none" w:sz="0" w:space="0" w:color="auto"/>
                <w:bottom w:val="none" w:sz="0" w:space="0" w:color="auto"/>
                <w:right w:val="none" w:sz="0" w:space="0" w:color="auto"/>
              </w:divBdr>
              <w:divsChild>
                <w:div w:id="40484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44972">
      <w:bodyDiv w:val="1"/>
      <w:marLeft w:val="0"/>
      <w:marRight w:val="0"/>
      <w:marTop w:val="0"/>
      <w:marBottom w:val="0"/>
      <w:divBdr>
        <w:top w:val="none" w:sz="0" w:space="0" w:color="auto"/>
        <w:left w:val="none" w:sz="0" w:space="0" w:color="auto"/>
        <w:bottom w:val="none" w:sz="0" w:space="0" w:color="auto"/>
        <w:right w:val="none" w:sz="0" w:space="0" w:color="auto"/>
      </w:divBdr>
      <w:divsChild>
        <w:div w:id="459802641">
          <w:marLeft w:val="0"/>
          <w:marRight w:val="0"/>
          <w:marTop w:val="0"/>
          <w:marBottom w:val="0"/>
          <w:divBdr>
            <w:top w:val="none" w:sz="0" w:space="0" w:color="auto"/>
            <w:left w:val="none" w:sz="0" w:space="0" w:color="auto"/>
            <w:bottom w:val="none" w:sz="0" w:space="0" w:color="auto"/>
            <w:right w:val="none" w:sz="0" w:space="0" w:color="auto"/>
          </w:divBdr>
          <w:divsChild>
            <w:div w:id="2059935760">
              <w:marLeft w:val="0"/>
              <w:marRight w:val="0"/>
              <w:marTop w:val="0"/>
              <w:marBottom w:val="0"/>
              <w:divBdr>
                <w:top w:val="none" w:sz="0" w:space="0" w:color="auto"/>
                <w:left w:val="none" w:sz="0" w:space="0" w:color="auto"/>
                <w:bottom w:val="none" w:sz="0" w:space="0" w:color="auto"/>
                <w:right w:val="none" w:sz="0" w:space="0" w:color="auto"/>
              </w:divBdr>
              <w:divsChild>
                <w:div w:id="1392195828">
                  <w:marLeft w:val="0"/>
                  <w:marRight w:val="0"/>
                  <w:marTop w:val="0"/>
                  <w:marBottom w:val="0"/>
                  <w:divBdr>
                    <w:top w:val="none" w:sz="0" w:space="0" w:color="auto"/>
                    <w:left w:val="none" w:sz="0" w:space="0" w:color="auto"/>
                    <w:bottom w:val="none" w:sz="0" w:space="0" w:color="auto"/>
                    <w:right w:val="none" w:sz="0" w:space="0" w:color="auto"/>
                  </w:divBdr>
                  <w:divsChild>
                    <w:div w:id="1030836405">
                      <w:marLeft w:val="0"/>
                      <w:marRight w:val="0"/>
                      <w:marTop w:val="0"/>
                      <w:marBottom w:val="0"/>
                      <w:divBdr>
                        <w:top w:val="none" w:sz="0" w:space="0" w:color="auto"/>
                        <w:left w:val="none" w:sz="0" w:space="0" w:color="auto"/>
                        <w:bottom w:val="none" w:sz="0" w:space="0" w:color="auto"/>
                        <w:right w:val="none" w:sz="0" w:space="0" w:color="auto"/>
                      </w:divBdr>
                      <w:divsChild>
                        <w:div w:id="1065177285">
                          <w:marLeft w:val="0"/>
                          <w:marRight w:val="0"/>
                          <w:marTop w:val="0"/>
                          <w:marBottom w:val="0"/>
                          <w:divBdr>
                            <w:top w:val="none" w:sz="0" w:space="0" w:color="auto"/>
                            <w:left w:val="none" w:sz="0" w:space="0" w:color="auto"/>
                            <w:bottom w:val="none" w:sz="0" w:space="0" w:color="auto"/>
                            <w:right w:val="none" w:sz="0" w:space="0" w:color="auto"/>
                          </w:divBdr>
                          <w:divsChild>
                            <w:div w:id="2006742790">
                              <w:marLeft w:val="0"/>
                              <w:marRight w:val="0"/>
                              <w:marTop w:val="0"/>
                              <w:marBottom w:val="0"/>
                              <w:divBdr>
                                <w:top w:val="none" w:sz="0" w:space="0" w:color="auto"/>
                                <w:left w:val="none" w:sz="0" w:space="0" w:color="auto"/>
                                <w:bottom w:val="none" w:sz="0" w:space="0" w:color="auto"/>
                                <w:right w:val="none" w:sz="0" w:space="0" w:color="auto"/>
                              </w:divBdr>
                              <w:divsChild>
                                <w:div w:id="209925460">
                                  <w:marLeft w:val="0"/>
                                  <w:marRight w:val="0"/>
                                  <w:marTop w:val="0"/>
                                  <w:marBottom w:val="0"/>
                                  <w:divBdr>
                                    <w:top w:val="none" w:sz="0" w:space="0" w:color="auto"/>
                                    <w:left w:val="none" w:sz="0" w:space="0" w:color="auto"/>
                                    <w:bottom w:val="none" w:sz="0" w:space="0" w:color="auto"/>
                                    <w:right w:val="none" w:sz="0" w:space="0" w:color="auto"/>
                                  </w:divBdr>
                                  <w:divsChild>
                                    <w:div w:id="1405254041">
                                      <w:marLeft w:val="0"/>
                                      <w:marRight w:val="0"/>
                                      <w:marTop w:val="0"/>
                                      <w:marBottom w:val="0"/>
                                      <w:divBdr>
                                        <w:top w:val="none" w:sz="0" w:space="0" w:color="auto"/>
                                        <w:left w:val="none" w:sz="0" w:space="0" w:color="auto"/>
                                        <w:bottom w:val="none" w:sz="0" w:space="0" w:color="auto"/>
                                        <w:right w:val="none" w:sz="0" w:space="0" w:color="auto"/>
                                      </w:divBdr>
                                      <w:divsChild>
                                        <w:div w:id="865211986">
                                          <w:marLeft w:val="0"/>
                                          <w:marRight w:val="0"/>
                                          <w:marTop w:val="0"/>
                                          <w:marBottom w:val="0"/>
                                          <w:divBdr>
                                            <w:top w:val="none" w:sz="0" w:space="0" w:color="auto"/>
                                            <w:left w:val="none" w:sz="0" w:space="0" w:color="auto"/>
                                            <w:bottom w:val="none" w:sz="0" w:space="0" w:color="auto"/>
                                            <w:right w:val="none" w:sz="0" w:space="0" w:color="auto"/>
                                          </w:divBdr>
                                          <w:divsChild>
                                            <w:div w:id="206071953">
                                              <w:marLeft w:val="330"/>
                                              <w:marRight w:val="225"/>
                                              <w:marTop w:val="300"/>
                                              <w:marBottom w:val="450"/>
                                              <w:divBdr>
                                                <w:top w:val="none" w:sz="0" w:space="0" w:color="auto"/>
                                                <w:left w:val="none" w:sz="0" w:space="0" w:color="auto"/>
                                                <w:bottom w:val="none" w:sz="0" w:space="0" w:color="auto"/>
                                                <w:right w:val="none" w:sz="0" w:space="0" w:color="auto"/>
                                              </w:divBdr>
                                              <w:divsChild>
                                                <w:div w:id="693534119">
                                                  <w:marLeft w:val="0"/>
                                                  <w:marRight w:val="0"/>
                                                  <w:marTop w:val="0"/>
                                                  <w:marBottom w:val="0"/>
                                                  <w:divBdr>
                                                    <w:top w:val="none" w:sz="0" w:space="0" w:color="auto"/>
                                                    <w:left w:val="none" w:sz="0" w:space="0" w:color="auto"/>
                                                    <w:bottom w:val="none" w:sz="0" w:space="0" w:color="auto"/>
                                                    <w:right w:val="none" w:sz="0" w:space="0" w:color="auto"/>
                                                  </w:divBdr>
                                                  <w:divsChild>
                                                    <w:div w:id="139632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68471887">
      <w:bodyDiv w:val="1"/>
      <w:marLeft w:val="0"/>
      <w:marRight w:val="0"/>
      <w:marTop w:val="0"/>
      <w:marBottom w:val="0"/>
      <w:divBdr>
        <w:top w:val="none" w:sz="0" w:space="0" w:color="auto"/>
        <w:left w:val="none" w:sz="0" w:space="0" w:color="auto"/>
        <w:bottom w:val="none" w:sz="0" w:space="0" w:color="auto"/>
        <w:right w:val="none" w:sz="0" w:space="0" w:color="auto"/>
      </w:divBdr>
      <w:divsChild>
        <w:div w:id="1209951657">
          <w:marLeft w:val="0"/>
          <w:marRight w:val="0"/>
          <w:marTop w:val="0"/>
          <w:marBottom w:val="0"/>
          <w:divBdr>
            <w:top w:val="none" w:sz="0" w:space="0" w:color="auto"/>
            <w:left w:val="none" w:sz="0" w:space="0" w:color="auto"/>
            <w:bottom w:val="none" w:sz="0" w:space="0" w:color="auto"/>
            <w:right w:val="none" w:sz="0" w:space="0" w:color="auto"/>
          </w:divBdr>
          <w:divsChild>
            <w:div w:id="663314597">
              <w:marLeft w:val="0"/>
              <w:marRight w:val="0"/>
              <w:marTop w:val="0"/>
              <w:marBottom w:val="0"/>
              <w:divBdr>
                <w:top w:val="none" w:sz="0" w:space="0" w:color="auto"/>
                <w:left w:val="none" w:sz="0" w:space="0" w:color="auto"/>
                <w:bottom w:val="none" w:sz="0" w:space="0" w:color="auto"/>
                <w:right w:val="none" w:sz="0" w:space="0" w:color="auto"/>
              </w:divBdr>
              <w:divsChild>
                <w:div w:id="77741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65911091">
      <w:bodyDiv w:val="1"/>
      <w:marLeft w:val="0"/>
      <w:marRight w:val="0"/>
      <w:marTop w:val="0"/>
      <w:marBottom w:val="0"/>
      <w:divBdr>
        <w:top w:val="none" w:sz="0" w:space="0" w:color="auto"/>
        <w:left w:val="none" w:sz="0" w:space="0" w:color="auto"/>
        <w:bottom w:val="none" w:sz="0" w:space="0" w:color="auto"/>
        <w:right w:val="none" w:sz="0" w:space="0" w:color="auto"/>
      </w:divBdr>
      <w:divsChild>
        <w:div w:id="1107579371">
          <w:marLeft w:val="0"/>
          <w:marRight w:val="0"/>
          <w:marTop w:val="0"/>
          <w:marBottom w:val="0"/>
          <w:divBdr>
            <w:top w:val="none" w:sz="0" w:space="0" w:color="auto"/>
            <w:left w:val="none" w:sz="0" w:space="0" w:color="auto"/>
            <w:bottom w:val="none" w:sz="0" w:space="0" w:color="auto"/>
            <w:right w:val="none" w:sz="0" w:space="0" w:color="auto"/>
          </w:divBdr>
          <w:divsChild>
            <w:div w:id="772936123">
              <w:marLeft w:val="0"/>
              <w:marRight w:val="0"/>
              <w:marTop w:val="0"/>
              <w:marBottom w:val="0"/>
              <w:divBdr>
                <w:top w:val="none" w:sz="0" w:space="0" w:color="auto"/>
                <w:left w:val="none" w:sz="0" w:space="0" w:color="auto"/>
                <w:bottom w:val="none" w:sz="0" w:space="0" w:color="auto"/>
                <w:right w:val="none" w:sz="0" w:space="0" w:color="auto"/>
              </w:divBdr>
              <w:divsChild>
                <w:div w:id="92156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841002202">
      <w:bodyDiv w:val="1"/>
      <w:marLeft w:val="0"/>
      <w:marRight w:val="0"/>
      <w:marTop w:val="0"/>
      <w:marBottom w:val="0"/>
      <w:divBdr>
        <w:top w:val="none" w:sz="0" w:space="0" w:color="auto"/>
        <w:left w:val="none" w:sz="0" w:space="0" w:color="auto"/>
        <w:bottom w:val="none" w:sz="0" w:space="0" w:color="auto"/>
        <w:right w:val="none" w:sz="0" w:space="0" w:color="auto"/>
      </w:divBdr>
      <w:divsChild>
        <w:div w:id="1427536664">
          <w:marLeft w:val="0"/>
          <w:marRight w:val="0"/>
          <w:marTop w:val="0"/>
          <w:marBottom w:val="0"/>
          <w:divBdr>
            <w:top w:val="none" w:sz="0" w:space="0" w:color="auto"/>
            <w:left w:val="none" w:sz="0" w:space="0" w:color="auto"/>
            <w:bottom w:val="none" w:sz="0" w:space="0" w:color="auto"/>
            <w:right w:val="none" w:sz="0" w:space="0" w:color="auto"/>
          </w:divBdr>
          <w:divsChild>
            <w:div w:id="957491645">
              <w:marLeft w:val="0"/>
              <w:marRight w:val="0"/>
              <w:marTop w:val="0"/>
              <w:marBottom w:val="0"/>
              <w:divBdr>
                <w:top w:val="none" w:sz="0" w:space="0" w:color="auto"/>
                <w:left w:val="none" w:sz="0" w:space="0" w:color="auto"/>
                <w:bottom w:val="none" w:sz="0" w:space="0" w:color="auto"/>
                <w:right w:val="none" w:sz="0" w:space="0" w:color="auto"/>
              </w:divBdr>
              <w:divsChild>
                <w:div w:id="12242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97EBCE92-F20C-4F99-BE23-87EBF074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1705</Words>
  <Characters>7981</Characters>
  <Application>Microsoft Office Word</Application>
  <DocSecurity>0</DocSecurity>
  <Lines>124</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2022-04-29T00:09:00Z</dcterms:created>
  <dcterms:modified xsi:type="dcterms:W3CDTF">2022-04-29T19:55:00Z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C:\Users\m.karmoose\AppData\Local\Microsoft\Windows\INetCache\Content.Outlook\IJ5FV41W\DRAFT R1-2203926 Samsung UL Tx Switching v1.docx</vt:lpwstr>
  </property>
</Properties>
</file>