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361A980" w14:textId="102ECCCF" w:rsidR="00C93764" w:rsidRDefault="005224EB" w:rsidP="00690FAB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 w:rsidRPr="00690FAB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AC1721" w:rsidRPr="00690FAB">
        <w:rPr>
          <w:rFonts w:ascii="Arial" w:hAnsi="Arial" w:cs="Arial" w:hint="eastAsia"/>
          <w:b/>
          <w:bCs/>
          <w:sz w:val="22"/>
          <w:szCs w:val="22"/>
        </w:rPr>
        <w:t>#10</w:t>
      </w:r>
      <w:r w:rsidR="007B708A" w:rsidRPr="00690FAB">
        <w:rPr>
          <w:rFonts w:ascii="Arial" w:hAnsi="Arial" w:cs="Arial"/>
          <w:b/>
          <w:bCs/>
          <w:sz w:val="22"/>
          <w:szCs w:val="22"/>
        </w:rPr>
        <w:t>9</w:t>
      </w:r>
      <w:r w:rsidRPr="00690FAB">
        <w:rPr>
          <w:rFonts w:ascii="Arial" w:hAnsi="Arial" w:cs="Arial" w:hint="eastAsia"/>
          <w:b/>
          <w:bCs/>
          <w:sz w:val="22"/>
          <w:szCs w:val="22"/>
        </w:rPr>
        <w:t>-e</w:t>
      </w:r>
      <w:r w:rsidRPr="00690FAB">
        <w:rPr>
          <w:rFonts w:ascii="Arial" w:hAnsi="Arial" w:cs="Arial"/>
          <w:b/>
          <w:bCs/>
          <w:sz w:val="22"/>
          <w:szCs w:val="22"/>
        </w:rPr>
        <w:tab/>
      </w:r>
      <w:r w:rsidRPr="00690FAB">
        <w:rPr>
          <w:rFonts w:ascii="Arial" w:hAnsi="Arial" w:cs="Arial"/>
          <w:b/>
          <w:bCs/>
          <w:sz w:val="22"/>
          <w:szCs w:val="22"/>
        </w:rPr>
        <w:tab/>
        <w:t>R1-</w:t>
      </w:r>
      <w:r w:rsidR="00690FAB">
        <w:rPr>
          <w:rFonts w:ascii="Arial" w:hAnsi="Arial" w:cs="Arial"/>
          <w:b/>
          <w:bCs/>
          <w:sz w:val="22"/>
          <w:szCs w:val="22"/>
        </w:rPr>
        <w:t>2203849</w:t>
      </w:r>
    </w:p>
    <w:p w14:paraId="24B061CE" w14:textId="563D39E7" w:rsidR="00C93764" w:rsidRDefault="005224EB" w:rsidP="007B708A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proofErr w:type="gramStart"/>
      <w:r>
        <w:rPr>
          <w:rFonts w:ascii="Arial" w:hAnsi="Arial" w:cs="Arial"/>
          <w:b/>
          <w:bCs/>
          <w:sz w:val="22"/>
          <w:szCs w:val="22"/>
          <w:lang w:eastAsia="ja-JP"/>
        </w:rPr>
        <w:t>e-Meeting</w:t>
      </w:r>
      <w:proofErr w:type="gramEnd"/>
      <w:r>
        <w:rPr>
          <w:rFonts w:ascii="Arial" w:hAnsi="Arial" w:cs="Arial"/>
          <w:b/>
          <w:bCs/>
          <w:sz w:val="22"/>
          <w:szCs w:val="22"/>
          <w:lang w:eastAsia="ja-JP"/>
        </w:rPr>
        <w:t>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7B708A">
        <w:rPr>
          <w:rFonts w:ascii="Arial" w:eastAsia="MS Mincho" w:hAnsi="Arial" w:cs="Arial"/>
          <w:b/>
          <w:bCs/>
          <w:sz w:val="22"/>
          <w:szCs w:val="22"/>
          <w:lang w:eastAsia="ja-JP"/>
        </w:rPr>
        <w:t>May 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7B708A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7B708A">
        <w:rPr>
          <w:rFonts w:ascii="Arial" w:hAnsi="Arial" w:cs="Arial"/>
          <w:b/>
          <w:bCs/>
          <w:sz w:val="22"/>
          <w:szCs w:val="22"/>
          <w:lang w:eastAsia="ja-JP"/>
        </w:rPr>
        <w:t>, 2022</w:t>
      </w:r>
      <w:bookmarkStart w:id="0" w:name="_GoBack"/>
      <w:bookmarkEnd w:id="0"/>
    </w:p>
    <w:p w14:paraId="1DA4D3B3" w14:textId="77777777" w:rsidR="00C93764" w:rsidRDefault="005224EB" w:rsidP="00D471FF">
      <w:pPr>
        <w:tabs>
          <w:tab w:val="left" w:pos="1985"/>
        </w:tabs>
        <w:spacing w:beforeLines="100" w:before="24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on RAN2 LS on </w:t>
      </w:r>
      <w:r w:rsidR="00D471FF">
        <w:rPr>
          <w:rFonts w:ascii="Arial" w:hAnsi="Arial"/>
          <w:b/>
          <w:sz w:val="22"/>
          <w:szCs w:val="22"/>
        </w:rPr>
        <w:t>PDCCH Blind D</w:t>
      </w:r>
      <w:r w:rsidR="00AC1721">
        <w:rPr>
          <w:rFonts w:ascii="Arial" w:hAnsi="Arial"/>
          <w:b/>
          <w:sz w:val="22"/>
          <w:szCs w:val="22"/>
        </w:rPr>
        <w:t>etection in CA</w:t>
      </w:r>
    </w:p>
    <w:p w14:paraId="575A2A2B" w14:textId="77777777" w:rsidR="00C93764" w:rsidRDefault="005224EB" w:rsidP="00AC1721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 w:rsidRPr="00D2050A">
        <w:rPr>
          <w:rFonts w:ascii="Arial" w:hAnsi="Arial"/>
          <w:b/>
          <w:sz w:val="22"/>
          <w:szCs w:val="22"/>
        </w:rPr>
        <w:t xml:space="preserve">Source: </w:t>
      </w:r>
      <w:r w:rsidRPr="00D2050A">
        <w:rPr>
          <w:rFonts w:ascii="Arial" w:hAnsi="Arial"/>
          <w:b/>
          <w:sz w:val="22"/>
          <w:szCs w:val="22"/>
        </w:rPr>
        <w:tab/>
      </w:r>
      <w:r w:rsidR="00AC1721" w:rsidRPr="00D2050A">
        <w:rPr>
          <w:rFonts w:ascii="Arial" w:hAnsi="Arial"/>
          <w:b/>
          <w:sz w:val="22"/>
          <w:szCs w:val="22"/>
        </w:rPr>
        <w:t>Samsung</w:t>
      </w:r>
    </w:p>
    <w:p w14:paraId="3910954A" w14:textId="77777777" w:rsidR="00C93764" w:rsidRDefault="005224EB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5</w:t>
      </w:r>
    </w:p>
    <w:p w14:paraId="4C3C1BFD" w14:textId="77777777" w:rsidR="00C93764" w:rsidRDefault="005224EB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390A8629" w14:textId="77777777" w:rsidR="00C93764" w:rsidRDefault="005224EB">
      <w:pPr>
        <w:pStyle w:val="Heading1"/>
        <w:spacing w:before="120" w:after="120"/>
        <w:rPr>
          <w:rFonts w:eastAsia="SimSun"/>
        </w:rPr>
      </w:pPr>
      <w:r>
        <w:rPr>
          <w:rFonts w:eastAsia="SimSun" w:hint="eastAsia"/>
        </w:rPr>
        <w:t>Introduction</w:t>
      </w:r>
    </w:p>
    <w:p w14:paraId="63C9B726" w14:textId="2F1992C8" w:rsidR="00C93764" w:rsidRDefault="00AC1721" w:rsidP="00D471FF">
      <w:pPr>
        <w:spacing w:before="120" w:after="120"/>
        <w:rPr>
          <w:sz w:val="20"/>
        </w:rPr>
      </w:pPr>
      <w:r>
        <w:rPr>
          <w:sz w:val="20"/>
        </w:rPr>
        <w:t>In RAN1</w:t>
      </w:r>
      <w:r w:rsidR="00F339D9">
        <w:rPr>
          <w:sz w:val="20"/>
        </w:rPr>
        <w:t xml:space="preserve"> </w:t>
      </w:r>
      <w:r>
        <w:rPr>
          <w:sz w:val="20"/>
        </w:rPr>
        <w:t>#</w:t>
      </w:r>
      <w:r w:rsidR="00D471FF">
        <w:rPr>
          <w:sz w:val="20"/>
        </w:rPr>
        <w:t>10</w:t>
      </w:r>
      <w:r>
        <w:rPr>
          <w:sz w:val="20"/>
        </w:rPr>
        <w:t>0b-e and RAN1</w:t>
      </w:r>
      <w:r w:rsidR="00F339D9">
        <w:rPr>
          <w:sz w:val="20"/>
        </w:rPr>
        <w:t xml:space="preserve"> </w:t>
      </w:r>
      <w:r>
        <w:rPr>
          <w:sz w:val="20"/>
        </w:rPr>
        <w:t>#101-e the following agreements were reache</w:t>
      </w:r>
      <w:r w:rsidR="009F511B">
        <w:rPr>
          <w:sz w:val="20"/>
        </w:rPr>
        <w:t xml:space="preserve">d to define UE behavior for scaling PDCCH monitoring capability for slot-based (Rel-15) and span-based (Rel-16) monitoring in CA and DC framework.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AC1721" w14:paraId="2C0623D0" w14:textId="77777777" w:rsidTr="00AC1721">
        <w:tc>
          <w:tcPr>
            <w:tcW w:w="9650" w:type="dxa"/>
          </w:tcPr>
          <w:p w14:paraId="4C8407FE" w14:textId="77777777" w:rsidR="009313F9" w:rsidRPr="00F94B0B" w:rsidRDefault="009313F9" w:rsidP="009313F9">
            <w:pPr>
              <w:autoSpaceDN w:val="0"/>
              <w:spacing w:before="120" w:after="120"/>
              <w:rPr>
                <w:rFonts w:eastAsia="DengXian"/>
                <w:color w:val="000000"/>
              </w:rPr>
            </w:pPr>
            <w:r w:rsidRPr="00F94B0B">
              <w:rPr>
                <w:rFonts w:eastAsia="DengXian"/>
                <w:color w:val="000000"/>
                <w:highlight w:val="green"/>
              </w:rPr>
              <w:t>Agreements</w:t>
            </w:r>
            <w:r w:rsidRPr="00F94B0B">
              <w:rPr>
                <w:rFonts w:eastAsia="DengXian"/>
                <w:color w:val="000000"/>
              </w:rPr>
              <w:t>:</w:t>
            </w:r>
          </w:p>
          <w:p w14:paraId="0033774A" w14:textId="77777777" w:rsidR="009313F9" w:rsidRPr="00F94B0B" w:rsidRDefault="009313F9" w:rsidP="009313F9">
            <w:pPr>
              <w:autoSpaceDN w:val="0"/>
              <w:spacing w:before="120" w:after="120"/>
              <w:rPr>
                <w:rFonts w:eastAsia="DengXian"/>
              </w:rPr>
            </w:pPr>
            <w:r w:rsidRPr="00F94B0B">
              <w:rPr>
                <w:rFonts w:eastAsia="DengXian"/>
              </w:rPr>
              <w:t>For the case with Rel-15 monitoring capability and Rel-16 monitoring capability on different serving cells (i.e. case 3), UE will report one or more combination of (pdcch-BlindDetectionCA-R15, pdcch-BlindDetectionCA-R16) as UE capability.</w:t>
            </w:r>
          </w:p>
          <w:p w14:paraId="51740775" w14:textId="77777777" w:rsidR="009313F9" w:rsidRPr="00F94B0B" w:rsidRDefault="009313F9" w:rsidP="009313F9">
            <w:pPr>
              <w:autoSpaceDE w:val="0"/>
              <w:autoSpaceDN w:val="0"/>
              <w:snapToGrid w:val="0"/>
              <w:spacing w:before="120" w:after="120"/>
              <w:ind w:left="785" w:hanging="360"/>
              <w:rPr>
                <w:rFonts w:eastAsia="DengXian"/>
              </w:rPr>
            </w:pPr>
            <w:r w:rsidRPr="00F94B0B">
              <w:rPr>
                <w:rFonts w:ascii="Symbol" w:eastAsia="DengXian" w:hAnsi="Symbol"/>
              </w:rPr>
              <w:t></w:t>
            </w:r>
            <w:r w:rsidRPr="00F94B0B">
              <w:rPr>
                <w:rFonts w:eastAsia="DengXian"/>
              </w:rPr>
              <w:t>         If UE reports more than one combination of (pdcch-BlindDetectionCA-R15, pdcch-BlindDetectionCA-R16),</w:t>
            </w:r>
          </w:p>
          <w:p w14:paraId="6B4EE879" w14:textId="77777777" w:rsidR="009313F9" w:rsidRPr="00F94B0B" w:rsidRDefault="009313F9" w:rsidP="009313F9">
            <w:pPr>
              <w:numPr>
                <w:ilvl w:val="1"/>
                <w:numId w:val="11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  <w:rPr>
                <w:rFonts w:eastAsia="Times New Roman"/>
              </w:rPr>
            </w:pPr>
            <w:r w:rsidRPr="00F94B0B">
              <w:t xml:space="preserve">gNB configure which combination for UE to use for scaling PDCCH monitoring capability if the number of CCs configured is larger than the reported capability </w:t>
            </w:r>
          </w:p>
          <w:p w14:paraId="4D39516F" w14:textId="77777777" w:rsidR="009313F9" w:rsidRPr="009313F9" w:rsidRDefault="009313F9" w:rsidP="009313F9">
            <w:pPr>
              <w:overflowPunct w:val="0"/>
              <w:autoSpaceDE w:val="0"/>
              <w:autoSpaceDN w:val="0"/>
              <w:spacing w:before="120" w:afterLines="0" w:after="120"/>
              <w:jc w:val="left"/>
              <w:rPr>
                <w:sz w:val="20"/>
                <w:lang w:eastAsia="ja-JP"/>
              </w:rPr>
            </w:pPr>
          </w:p>
          <w:p w14:paraId="2AF5E352" w14:textId="77777777" w:rsidR="003543F7" w:rsidRDefault="003543F7" w:rsidP="003543F7">
            <w:pPr>
              <w:spacing w:before="120" w:after="120"/>
              <w:rPr>
                <w:szCs w:val="21"/>
                <w:highlight w:val="green"/>
                <w:lang w:eastAsia="en-US"/>
              </w:rPr>
            </w:pPr>
            <w:r>
              <w:rPr>
                <w:b/>
                <w:bCs/>
                <w:color w:val="000000"/>
                <w:highlight w:val="green"/>
              </w:rPr>
              <w:t>Agreement</w:t>
            </w:r>
          </w:p>
          <w:p w14:paraId="361E8C05" w14:textId="77777777" w:rsidR="003543F7" w:rsidRDefault="003543F7" w:rsidP="003543F7">
            <w:pPr>
              <w:spacing w:before="120" w:after="120"/>
              <w:rPr>
                <w:sz w:val="22"/>
                <w:szCs w:val="22"/>
              </w:rPr>
            </w:pPr>
            <w:r>
              <w:rPr>
                <w:color w:val="000000"/>
                <w:lang w:eastAsia="ko-KR"/>
              </w:rPr>
              <w:t xml:space="preserve">For NR-DC operation with at least one downlink cell using </w:t>
            </w:r>
            <w:r>
              <w:rPr>
                <w:color w:val="000000"/>
              </w:rPr>
              <w:t xml:space="preserve">Rel-16 PDCCH monitoring capability and </w:t>
            </w:r>
            <w:r>
              <w:rPr>
                <w:color w:val="000000"/>
                <w:lang w:eastAsia="ko-KR"/>
              </w:rPr>
              <w:t xml:space="preserve">at least one downlink cell using </w:t>
            </w:r>
            <w:r>
              <w:rPr>
                <w:color w:val="000000"/>
              </w:rPr>
              <w:t xml:space="preserve">Rel-15 PDCCH monitoring capability, and if a UE reports the capability of CC limits for NR-DC operation separately from CA operation, </w:t>
            </w:r>
          </w:p>
          <w:p w14:paraId="4CEE5D61" w14:textId="77777777" w:rsidR="003543F7" w:rsidRDefault="003543F7" w:rsidP="003543F7">
            <w:pPr>
              <w:numPr>
                <w:ilvl w:val="0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t>UE reports one or more combination of (</w:t>
            </w:r>
            <w:r>
              <w:rPr>
                <w:lang w:eastAsia="ja-JP"/>
              </w:rPr>
              <w:t>pdcch-BlindDetectionMCG-UE-r15, pdcch-BlindDetectionSCG-UE-r15, pdcch-BlindDetectionMCG-UE-r16, pdcch-BlindDetectionSCG-UE-r16</w:t>
            </w:r>
            <w:r>
              <w:t>)</w:t>
            </w:r>
          </w:p>
          <w:p w14:paraId="6F81299A" w14:textId="77777777" w:rsidR="003543F7" w:rsidRDefault="003543F7" w:rsidP="003543F7">
            <w:pPr>
              <w:numPr>
                <w:ilvl w:val="1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t>One combination of (</w:t>
            </w:r>
            <w:r>
              <w:rPr>
                <w:lang w:eastAsia="ja-JP"/>
              </w:rPr>
              <w:t>pdcch-BlindDetectionMCG-UE-r15, pdcch-BlindDetectionSCG-UE-r15, pdcch-BlindDetectionMCG-UE-r16, pdcch-BlindDetectionSCG-UE-r16</w:t>
            </w:r>
            <w:r>
              <w:t>) corresponds to one combination of (pdcch-BlindDetectionCA-r15, pdcch-BlindDetectionCA-r16) reported by a UE for CA operation</w:t>
            </w:r>
          </w:p>
          <w:p w14:paraId="4925F134" w14:textId="77777777" w:rsidR="003543F7" w:rsidRDefault="003543F7" w:rsidP="003543F7">
            <w:pPr>
              <w:numPr>
                <w:ilvl w:val="2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rPr>
                <w:lang w:eastAsia="ja-JP"/>
              </w:rPr>
              <w:t>pdcch-BlindDetectionMCG-UE-r16 + pdcch-BlindDetectionSCG-UE-r16 &gt;= pdcch-BlindDetectionCA-r16</w:t>
            </w:r>
          </w:p>
          <w:p w14:paraId="4FA34642" w14:textId="77777777" w:rsidR="003543F7" w:rsidRDefault="003543F7" w:rsidP="003543F7">
            <w:pPr>
              <w:numPr>
                <w:ilvl w:val="2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</w:pPr>
            <w:r>
              <w:rPr>
                <w:lang w:eastAsia="ja-JP"/>
              </w:rPr>
              <w:t>pdcch-BlindDetectionMCG-UE-r15 + pdcch-BlindDetectionSCG-UE-r15&gt;= pdcch-BlindDetectionCA-r15</w:t>
            </w:r>
          </w:p>
          <w:p w14:paraId="45CB412C" w14:textId="77777777" w:rsidR="003543F7" w:rsidRDefault="003543F7" w:rsidP="003543F7">
            <w:pPr>
              <w:numPr>
                <w:ilvl w:val="2"/>
                <w:numId w:val="12"/>
              </w:numPr>
              <w:autoSpaceDE w:val="0"/>
              <w:autoSpaceDN w:val="0"/>
              <w:snapToGrid w:val="0"/>
              <w:spacing w:beforeLines="0" w:before="120" w:afterLines="0" w:after="120" w:line="240" w:lineRule="auto"/>
              <w:rPr>
                <w:color w:val="000000"/>
                <w:lang w:eastAsia="ko-KR"/>
              </w:rPr>
            </w:pPr>
            <w:r>
              <w:rPr>
                <w:color w:val="000000"/>
              </w:rPr>
              <w:t xml:space="preserve">3&lt;= The minimum of </w:t>
            </w:r>
            <w:r>
              <w:rPr>
                <w:color w:val="000000"/>
                <w:lang w:eastAsia="ja-JP"/>
              </w:rPr>
              <w:t xml:space="preserve">pdcch-BlindDetectionMCG-UE-r16 + </w:t>
            </w:r>
            <w:r>
              <w:rPr>
                <w:color w:val="000000"/>
              </w:rPr>
              <w:t> </w:t>
            </w:r>
            <w:r>
              <w:rPr>
                <w:color w:val="000000"/>
                <w:lang w:eastAsia="ja-JP"/>
              </w:rPr>
              <w:t>pdcch-BlindDetectionSCG-UE-r16 + pdcch-BlindDetectionMCG-UE-r15 + pdcch-BlindDetectionSCG-UE-r15 &lt;=16</w:t>
            </w:r>
          </w:p>
          <w:p w14:paraId="218FFDBE" w14:textId="77777777" w:rsidR="00AC1721" w:rsidRPr="00AC1721" w:rsidRDefault="00AC1721" w:rsidP="003543F7">
            <w:pPr>
              <w:spacing w:before="120" w:after="120"/>
              <w:rPr>
                <w:sz w:val="20"/>
              </w:rPr>
            </w:pPr>
          </w:p>
        </w:tc>
      </w:tr>
    </w:tbl>
    <w:p w14:paraId="0298A87A" w14:textId="7453E675" w:rsidR="00C93764" w:rsidRPr="000B70A0" w:rsidRDefault="005224EB" w:rsidP="000F2537">
      <w:pPr>
        <w:spacing w:before="120" w:after="120"/>
        <w:rPr>
          <w:sz w:val="20"/>
        </w:rPr>
      </w:pPr>
      <w:r w:rsidRPr="000B70A0">
        <w:rPr>
          <w:rFonts w:hint="eastAsia"/>
          <w:sz w:val="20"/>
        </w:rPr>
        <w:t xml:space="preserve">In the incoming LS </w:t>
      </w:r>
      <w:r w:rsidR="00915182" w:rsidRPr="000B70A0">
        <w:rPr>
          <w:rFonts w:hint="eastAsia"/>
          <w:sz w:val="20"/>
        </w:rPr>
        <w:t>R1-</w:t>
      </w:r>
      <w:r w:rsidR="00915182" w:rsidRPr="000B70A0">
        <w:rPr>
          <w:sz w:val="20"/>
        </w:rPr>
        <w:t>2</w:t>
      </w:r>
      <w:r w:rsidR="000F2537">
        <w:rPr>
          <w:sz w:val="20"/>
        </w:rPr>
        <w:t>203045</w:t>
      </w:r>
      <w:r w:rsidR="00915182" w:rsidRPr="000B70A0">
        <w:rPr>
          <w:rFonts w:hint="eastAsia"/>
          <w:sz w:val="20"/>
        </w:rPr>
        <w:t>(R2-</w:t>
      </w:r>
      <w:r w:rsidR="000F2537">
        <w:rPr>
          <w:sz w:val="20"/>
        </w:rPr>
        <w:t>2204055</w:t>
      </w:r>
      <w:r w:rsidR="00915182" w:rsidRPr="000B70A0">
        <w:rPr>
          <w:rFonts w:hint="eastAsia"/>
          <w:sz w:val="20"/>
        </w:rPr>
        <w:t>)</w:t>
      </w:r>
      <w:r w:rsidR="000F2537">
        <w:rPr>
          <w:rFonts w:hint="eastAsia"/>
          <w:sz w:val="20"/>
        </w:rPr>
        <w:t xml:space="preserve">, RAN2 raised </w:t>
      </w:r>
      <w:r w:rsidRPr="000B70A0">
        <w:rPr>
          <w:rFonts w:hint="eastAsia"/>
          <w:sz w:val="20"/>
        </w:rPr>
        <w:t>question</w:t>
      </w:r>
      <w:r w:rsidR="000F2537">
        <w:rPr>
          <w:sz w:val="20"/>
        </w:rPr>
        <w:t>s</w:t>
      </w:r>
      <w:r w:rsidRPr="000B70A0">
        <w:rPr>
          <w:rFonts w:hint="eastAsia"/>
          <w:sz w:val="20"/>
        </w:rPr>
        <w:t xml:space="preserve"> on </w:t>
      </w:r>
      <w:r w:rsidR="000F2537">
        <w:rPr>
          <w:sz w:val="20"/>
        </w:rPr>
        <w:t>reporting these capabilities based on the latest Rel-16 UE feature</w:t>
      </w:r>
      <w:r w:rsidR="00C93D2C">
        <w:rPr>
          <w:sz w:val="20"/>
        </w:rPr>
        <w:t xml:space="preserve"> table</w:t>
      </w:r>
      <w:r w:rsidR="000F2537">
        <w:rPr>
          <w:sz w:val="20"/>
        </w:rPr>
        <w:t xml:space="preserve">. </w:t>
      </w:r>
    </w:p>
    <w:p w14:paraId="3583EF7E" w14:textId="77777777" w:rsidR="00E10D97" w:rsidRDefault="00E10D97">
      <w:pPr>
        <w:spacing w:before="120" w:after="120"/>
        <w:rPr>
          <w:sz w:val="20"/>
        </w:rPr>
      </w:pPr>
    </w:p>
    <w:p w14:paraId="21877DD5" w14:textId="77777777" w:rsidR="00C93764" w:rsidRDefault="005224EB" w:rsidP="00063A9C">
      <w:pPr>
        <w:pStyle w:val="Heading1"/>
        <w:spacing w:before="120" w:after="120"/>
      </w:pPr>
      <w:r>
        <w:rPr>
          <w:rFonts w:hint="eastAsia"/>
        </w:rPr>
        <w:t>Discussion</w:t>
      </w:r>
      <w:r>
        <w:rPr>
          <w:rFonts w:eastAsia="SimSun" w:hint="eastAsia"/>
        </w:rPr>
        <w:t xml:space="preserve"> on </w:t>
      </w:r>
      <w:r w:rsidR="00063A9C">
        <w:rPr>
          <w:rFonts w:eastAsia="SimSun"/>
        </w:rPr>
        <w:t>PDCCH blind detection in CA</w:t>
      </w:r>
    </w:p>
    <w:p w14:paraId="65F322AD" w14:textId="3906B1E6" w:rsidR="00534332" w:rsidRDefault="00874B00" w:rsidP="00C93D2C">
      <w:pPr>
        <w:spacing w:beforeLines="0" w:afterLines="100" w:after="240" w:line="240" w:lineRule="auto"/>
      </w:pPr>
      <w:r w:rsidRPr="00B84DB6">
        <w:rPr>
          <w:rFonts w:asciiTheme="majorBidi" w:hAnsiTheme="majorBidi" w:cstheme="majorBidi"/>
          <w:sz w:val="20"/>
        </w:rPr>
        <w:t xml:space="preserve">RAN2 has defined capabilities for UE to report the combinations mentioned in the aforementioned agreements. </w:t>
      </w:r>
      <w:r w:rsidR="00B84DB6" w:rsidRPr="00B84DB6">
        <w:rPr>
          <w:rFonts w:asciiTheme="majorBidi" w:hAnsiTheme="majorBidi" w:cstheme="majorBidi"/>
          <w:sz w:val="20"/>
        </w:rPr>
        <w:t xml:space="preserve">Capabilities </w:t>
      </w:r>
      <w:r w:rsidR="00B84DB6" w:rsidRPr="00B84DB6">
        <w:rPr>
          <w:rFonts w:asciiTheme="majorBidi" w:hAnsiTheme="majorBidi" w:cstheme="majorBidi"/>
          <w:kern w:val="0"/>
          <w:sz w:val="20"/>
          <w:lang w:val="en-GB" w:eastAsia="en-US"/>
        </w:rPr>
        <w:t>pdcch-BlindDetectionMCG-UE-Mixed-r16 and pdcch-BlindDetectionSCG-UE-Mixed</w:t>
      </w:r>
      <w:r w:rsidR="00B84DB6">
        <w:rPr>
          <w:rFonts w:asciiTheme="majorBidi" w:hAnsiTheme="majorBidi" w:cstheme="majorBidi"/>
          <w:kern w:val="0"/>
          <w:sz w:val="20"/>
          <w:lang w:val="en-GB" w:eastAsia="en-US"/>
        </w:rPr>
        <w:t xml:space="preserve"> are defined for reporting (</w:t>
      </w:r>
      <w:r w:rsidR="00B84DB6">
        <w:rPr>
          <w:lang w:eastAsia="ja-JP"/>
        </w:rPr>
        <w:t xml:space="preserve">pdcch-BlindDetectionMCG-UE-r15, pdcch-BlindDetectionSCG-UE-r15, pdcch-BlindDetectionMCG-UE-r16, pdcch-BlindDetectionSCG-UE-r16). </w:t>
      </w:r>
      <w:r w:rsidR="00FD161C">
        <w:rPr>
          <w:lang w:eastAsia="ja-JP"/>
        </w:rPr>
        <w:t>gNB provides UE with</w:t>
      </w:r>
      <w:r w:rsidR="00751072">
        <w:rPr>
          <w:lang w:eastAsia="ja-JP"/>
        </w:rPr>
        <w:t xml:space="preserve"> (</w:t>
      </w:r>
      <w:r w:rsidR="00FD161C">
        <w:rPr>
          <w:i/>
          <w:iCs/>
          <w:lang w:eastAsia="ja-JP"/>
        </w:rPr>
        <w:t>pdcch-BlindDetection3</w:t>
      </w:r>
      <w:r w:rsidR="00751072">
        <w:t xml:space="preserve"> for </w:t>
      </w:r>
      <w:r w:rsidR="00FD161C">
        <w:t>MCG</w:t>
      </w:r>
      <w:r w:rsidR="00751072">
        <w:t>,</w:t>
      </w:r>
      <w:r w:rsidR="00FD161C">
        <w:t xml:space="preserve"> </w:t>
      </w:r>
      <w:r w:rsidR="00751072">
        <w:rPr>
          <w:i/>
          <w:iCs/>
          <w:lang w:eastAsia="ja-JP"/>
        </w:rPr>
        <w:t>pdcch-BlindDetection3</w:t>
      </w:r>
      <w:r w:rsidR="00751072">
        <w:t xml:space="preserve"> for SCG, </w:t>
      </w:r>
      <w:r w:rsidR="00FD161C">
        <w:rPr>
          <w:i/>
          <w:iCs/>
          <w:lang w:eastAsia="ja-JP"/>
        </w:rPr>
        <w:t>pdcch-BlindDetection2</w:t>
      </w:r>
      <w:r w:rsidR="00751072">
        <w:t xml:space="preserve"> for</w:t>
      </w:r>
      <w:r w:rsidR="00FD161C">
        <w:t xml:space="preserve"> MCG</w:t>
      </w:r>
      <w:r w:rsidR="00751072">
        <w:t xml:space="preserve">, </w:t>
      </w:r>
      <w:r w:rsidR="00751072">
        <w:rPr>
          <w:i/>
          <w:iCs/>
          <w:lang w:eastAsia="ja-JP"/>
        </w:rPr>
        <w:t>pdcch-BlindDetection2</w:t>
      </w:r>
      <w:r w:rsidR="00751072">
        <w:t xml:space="preserve"> for SCG</w:t>
      </w:r>
      <w:r w:rsidR="00FD161C">
        <w:t xml:space="preserve"> </w:t>
      </w:r>
      <w:r w:rsidR="00751072">
        <w:t>)</w:t>
      </w:r>
      <w:r w:rsidR="00FD161C">
        <w:t xml:space="preserve"> to determine the number of cells for scaling the BD/CCE limits</w:t>
      </w:r>
      <w:r w:rsidR="001175DC">
        <w:t xml:space="preserve"> for Rel-15 and Rel-16</w:t>
      </w:r>
      <w:r w:rsidR="00F21117">
        <w:t xml:space="preserve"> PDCCH monitoring on MCG and SCG</w:t>
      </w:r>
      <w:r w:rsidR="00FD161C">
        <w:t>.</w:t>
      </w:r>
      <w:r w:rsidR="00751072">
        <w:t xml:space="preserve"> The provided 4-tuple by gNB needs to satisfy the</w:t>
      </w:r>
      <w:r w:rsidR="00C93D2C">
        <w:t xml:space="preserve"> corresponding</w:t>
      </w:r>
      <w:r w:rsidR="00751072">
        <w:t xml:space="preserve"> maximum</w:t>
      </w:r>
      <w:r w:rsidR="00534332">
        <w:t xml:space="preserve"> values reported by UE as shown below.</w:t>
      </w:r>
      <w:r w:rsidR="00F6441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534332" w14:paraId="0C48A379" w14:textId="77777777" w:rsidTr="00534332">
        <w:tc>
          <w:tcPr>
            <w:tcW w:w="9650" w:type="dxa"/>
          </w:tcPr>
          <w:p w14:paraId="3B863FEF" w14:textId="565D6B33" w:rsidR="00534332" w:rsidRDefault="00534332" w:rsidP="007213EB">
            <w:pPr>
              <w:spacing w:beforeLines="0" w:afterLines="100" w:after="240" w:line="240" w:lineRule="auto"/>
            </w:pPr>
            <w:r w:rsidRPr="007213EB">
              <w:t xml:space="preserve">TS 38.213 </w:t>
            </w:r>
            <w:r w:rsidR="007213EB">
              <w:t>V</w:t>
            </w:r>
            <w:r w:rsidR="007213EB" w:rsidRPr="007213EB">
              <w:t>16.9.0</w:t>
            </w:r>
          </w:p>
          <w:p w14:paraId="284F7BAF" w14:textId="77777777" w:rsidR="00534332" w:rsidRDefault="00534332" w:rsidP="00534332">
            <w:pPr>
              <w:spacing w:beforeLines="0" w:afterLines="100" w:after="240" w:line="240" w:lineRule="auto"/>
            </w:pPr>
            <w:r>
              <w:t>“</w:t>
            </w:r>
            <w:r>
              <w:rPr>
                <w:lang w:eastAsia="ko-KR"/>
              </w:rPr>
              <w:t xml:space="preserve">When a UE is configured for NR-DC operation and is provided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>r15monitoringcapability</w:t>
            </w:r>
            <w:r>
              <w:t xml:space="preserve"> for </w:t>
            </w:r>
            <w:r>
              <w:rPr>
                <w:lang w:eastAsia="ko-KR"/>
              </w:rPr>
              <w:t xml:space="preserve">at least one downlink cell and </w:t>
            </w:r>
            <w:r>
              <w:rPr>
                <w:i/>
              </w:rPr>
              <w:t>monitoringCapabilityConfig</w:t>
            </w:r>
            <w:r>
              <w:t xml:space="preserve"> = </w:t>
            </w:r>
            <w:r>
              <w:rPr>
                <w:i/>
              </w:rPr>
              <w:t xml:space="preserve">r16monitoringcapability </w:t>
            </w:r>
            <w:r>
              <w:t xml:space="preserve">for </w:t>
            </w:r>
            <w:r>
              <w:rPr>
                <w:lang w:eastAsia="ko-KR"/>
              </w:rPr>
              <w:t xml:space="preserve">at least one downlink cell </w:t>
            </w:r>
            <w:r>
              <w:t>where the UE monitors PDCCH</w:t>
            </w:r>
            <w:r>
              <w:rPr>
                <w:color w:val="000000" w:themeColor="text1"/>
                <w:lang w:eastAsia="ko-KR"/>
              </w:rPr>
              <w:t xml:space="preserve">, </w:t>
            </w:r>
            <w:r>
              <w:rPr>
                <w:color w:val="000000" w:themeColor="text1"/>
              </w:rPr>
              <w:t xml:space="preserve">the UE may indicate, through </w:t>
            </w:r>
            <w:r>
              <w:rPr>
                <w:i/>
                <w:color w:val="000000" w:themeColor="text1"/>
              </w:rPr>
              <w:t>pdcch-</w:t>
            </w:r>
            <w:r>
              <w:rPr>
                <w:i/>
                <w:iCs/>
                <w:color w:val="000000" w:themeColor="text1"/>
                <w:lang w:eastAsia="ja-JP"/>
              </w:rPr>
              <w:t>BlindDetectionMCG-UE1</w:t>
            </w:r>
            <w:r>
              <w:rPr>
                <w:color w:val="000000" w:themeColor="text1"/>
                <w:lang w:eastAsia="ja-JP"/>
              </w:rPr>
              <w:t xml:space="preserve"> and </w:t>
            </w:r>
            <w:r>
              <w:rPr>
                <w:i/>
                <w:iCs/>
                <w:color w:val="000000" w:themeColor="text1"/>
                <w:lang w:eastAsia="ja-JP"/>
              </w:rPr>
              <w:t>pdcch-BlindDetectionSCG-UE1</w:t>
            </w:r>
            <w:r>
              <w:rPr>
                <w:color w:val="000000" w:themeColor="text1"/>
                <w:lang w:eastAsia="ja-JP"/>
              </w:rPr>
              <w:t xml:space="preserve">, respective maximum values for </w:t>
            </w:r>
            <w:r>
              <w:rPr>
                <w:i/>
                <w:iCs/>
                <w:color w:val="000000" w:themeColor="text1"/>
                <w:lang w:eastAsia="ja-JP"/>
              </w:rPr>
              <w:t>pdcch-BlindDetection3</w:t>
            </w:r>
            <w:r>
              <w:rPr>
                <w:color w:val="000000" w:themeColor="text1"/>
                <w:lang w:eastAsia="ja-JP"/>
              </w:rPr>
              <w:t xml:space="preserve"> for the MCG and </w:t>
            </w:r>
            <w:r>
              <w:rPr>
                <w:i/>
                <w:iCs/>
                <w:color w:val="000000" w:themeColor="text1"/>
                <w:lang w:eastAsia="ja-JP"/>
              </w:rPr>
              <w:t>pdcch-BlindDetection3</w:t>
            </w:r>
            <w:r>
              <w:rPr>
                <w:iCs/>
                <w:color w:val="000000" w:themeColor="text1"/>
                <w:lang w:eastAsia="ja-JP"/>
              </w:rPr>
              <w:t xml:space="preserve"> for the SCG, and </w:t>
            </w:r>
            <w:r>
              <w:rPr>
                <w:color w:val="000000" w:themeColor="text1"/>
              </w:rPr>
              <w:t xml:space="preserve">through </w:t>
            </w:r>
            <w:r>
              <w:rPr>
                <w:i/>
                <w:color w:val="000000" w:themeColor="text1"/>
              </w:rPr>
              <w:t>pdcch-</w:t>
            </w:r>
            <w:r>
              <w:rPr>
                <w:i/>
                <w:iCs/>
                <w:color w:val="000000" w:themeColor="text1"/>
                <w:lang w:eastAsia="ja-JP"/>
              </w:rPr>
              <w:t>BlindDetectionMCG-UE2</w:t>
            </w:r>
            <w:r>
              <w:rPr>
                <w:color w:val="000000" w:themeColor="text1"/>
                <w:lang w:eastAsia="ja-JP"/>
              </w:rPr>
              <w:t xml:space="preserve"> and </w:t>
            </w:r>
            <w:r>
              <w:rPr>
                <w:i/>
                <w:iCs/>
                <w:color w:val="000000" w:themeColor="text1"/>
                <w:lang w:eastAsia="ja-JP"/>
              </w:rPr>
              <w:t>pdcch-BlindDetectionSCG-UE2</w:t>
            </w:r>
            <w:r>
              <w:rPr>
                <w:color w:val="000000" w:themeColor="text1"/>
                <w:lang w:eastAsia="ja-JP"/>
              </w:rPr>
              <w:t xml:space="preserve"> respective maximum values for </w:t>
            </w:r>
            <w:r>
              <w:rPr>
                <w:i/>
                <w:iCs/>
                <w:color w:val="000000" w:themeColor="text1"/>
                <w:lang w:eastAsia="ja-JP"/>
              </w:rPr>
              <w:t>pdcch-BlindDetection2</w:t>
            </w:r>
            <w:r>
              <w:rPr>
                <w:color w:val="000000" w:themeColor="text1"/>
                <w:lang w:eastAsia="ja-JP"/>
              </w:rPr>
              <w:t xml:space="preserve"> for the MCG and </w:t>
            </w:r>
            <w:r>
              <w:rPr>
                <w:i/>
                <w:iCs/>
                <w:color w:val="000000" w:themeColor="text1"/>
                <w:lang w:eastAsia="ja-JP"/>
              </w:rPr>
              <w:t>pdcch-BlindDetection2</w:t>
            </w:r>
            <w:r>
              <w:rPr>
                <w:iCs/>
                <w:color w:val="000000" w:themeColor="text1"/>
                <w:lang w:eastAsia="ja-JP"/>
              </w:rPr>
              <w:t xml:space="preserve"> for the SCG.</w:t>
            </w:r>
            <w:r>
              <w:t>”</w:t>
            </w:r>
          </w:p>
        </w:tc>
      </w:tr>
    </w:tbl>
    <w:p w14:paraId="59B40397" w14:textId="77777777" w:rsidR="00874B00" w:rsidRDefault="00751072" w:rsidP="00534332">
      <w:pPr>
        <w:spacing w:beforeLines="0" w:afterLines="100" w:after="240" w:line="240" w:lineRule="auto"/>
      </w:pPr>
      <w:r>
        <w:t xml:space="preserve">  </w:t>
      </w:r>
    </w:p>
    <w:p w14:paraId="69FA9F41" w14:textId="77777777" w:rsidR="00F64411" w:rsidRDefault="00F64411" w:rsidP="00534332">
      <w:pPr>
        <w:spacing w:beforeLines="0" w:afterLines="100" w:after="240" w:line="240" w:lineRule="auto"/>
      </w:pPr>
      <w:r>
        <w:t xml:space="preserve">The provided 4-tuple also needs to satisfy the reported </w:t>
      </w:r>
      <w:r>
        <w:rPr>
          <w:rFonts w:eastAsia="DengXian"/>
          <w:lang w:eastAsia="ko-KR"/>
        </w:rPr>
        <w:t>(</w:t>
      </w:r>
      <w:r>
        <w:rPr>
          <w:rFonts w:eastAsia="DengXian"/>
          <w:i/>
        </w:rPr>
        <w:t>pdcch-BlindDetectionCA1, pdcch-BlindDetectionCA</w:t>
      </w:r>
      <w:r>
        <w:rPr>
          <w:i/>
        </w:rPr>
        <w:t>2</w:t>
      </w:r>
      <w:r>
        <w:rPr>
          <w:rFonts w:eastAsia="DengXian"/>
          <w:lang w:eastAsia="ko-KR"/>
        </w:rPr>
        <w:t>)</w:t>
      </w:r>
      <w:r>
        <w:t xml:space="preserve"> by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F64411" w14:paraId="3886BAA4" w14:textId="77777777" w:rsidTr="00F64411">
        <w:tc>
          <w:tcPr>
            <w:tcW w:w="9650" w:type="dxa"/>
          </w:tcPr>
          <w:p w14:paraId="1B58F123" w14:textId="77777777" w:rsidR="007213EB" w:rsidRDefault="007213EB" w:rsidP="007213EB">
            <w:pPr>
              <w:spacing w:beforeLines="0" w:afterLines="100" w:after="240" w:line="240" w:lineRule="auto"/>
            </w:pPr>
            <w:r w:rsidRPr="007213EB">
              <w:t xml:space="preserve">TS 38.213 </w:t>
            </w:r>
            <w:r>
              <w:t>V</w:t>
            </w:r>
            <w:r w:rsidRPr="007213EB">
              <w:t>16.9.0</w:t>
            </w:r>
          </w:p>
          <w:p w14:paraId="2EB839D8" w14:textId="3E2798E4" w:rsidR="00F64411" w:rsidRDefault="007213EB" w:rsidP="007213EB">
            <w:pPr>
              <w:spacing w:before="120" w:after="120"/>
              <w:rPr>
                <w:rFonts w:eastAsia="DengXian"/>
                <w:lang w:eastAsia="ko-KR"/>
              </w:rPr>
            </w:pPr>
            <w:r>
              <w:t xml:space="preserve"> </w:t>
            </w:r>
            <w:r w:rsidR="00F64411">
              <w:t>“</w:t>
            </w:r>
            <w:r w:rsidR="00F64411">
              <w:rPr>
                <w:rFonts w:eastAsia="DengXian"/>
                <w:lang w:eastAsia="ko-KR"/>
              </w:rPr>
              <w:t xml:space="preserve">When a UE is configured for NR-DC operation with a total of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NR-DC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DL,cells</m:t>
                  </m:r>
                </m:sup>
              </m:sSubSup>
            </m:oMath>
            <w:r w:rsidR="00F64411">
              <w:rPr>
                <w:rFonts w:eastAsia="DengXian"/>
              </w:rPr>
              <w:t xml:space="preserve"> downlink cells on both the MCG and the SCG and </w:t>
            </w:r>
            <w:r w:rsidR="00F64411">
              <w:rPr>
                <w:lang w:eastAsia="ko-KR"/>
              </w:rPr>
              <w:t xml:space="preserve">the UE is provided </w:t>
            </w:r>
            <w:r w:rsidR="00F64411">
              <w:rPr>
                <w:i/>
              </w:rPr>
              <w:t>monitoringCapabilityConfig</w:t>
            </w:r>
            <w:r w:rsidR="00F64411">
              <w:t xml:space="preserve"> = </w:t>
            </w:r>
            <w:r w:rsidR="00F64411">
              <w:rPr>
                <w:i/>
              </w:rPr>
              <w:t xml:space="preserve">r15monitoringcapability </w:t>
            </w:r>
            <w:r w:rsidR="00F64411">
              <w:t>for</w:t>
            </w:r>
            <w:r w:rsidR="00F64411">
              <w:rPr>
                <w:i/>
                <w:iCs/>
                <w:lang w:eastAsia="ja-JP"/>
              </w:rPr>
              <w:t> 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NR-DC,r15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DL,cells</m:t>
                  </m:r>
                </m:sup>
              </m:sSubSup>
            </m:oMath>
            <w:r w:rsidR="00F64411">
              <w:rPr>
                <w:color w:val="000000" w:themeColor="text1"/>
                <w:lang w:eastAsia="ko-KR"/>
              </w:rPr>
              <w:t xml:space="preserve"> </w:t>
            </w:r>
            <w:r w:rsidR="00F64411">
              <w:rPr>
                <w:rFonts w:eastAsia="DengXian"/>
                <w:color w:val="000000" w:themeColor="text1"/>
              </w:rPr>
              <w:t>downlink cells</w:t>
            </w:r>
            <w:r w:rsidR="00F64411">
              <w:rPr>
                <w:color w:val="000000" w:themeColor="text1"/>
                <w:lang w:eastAsia="ko-KR"/>
              </w:rPr>
              <w:t xml:space="preserve"> and </w:t>
            </w:r>
            <w:r w:rsidR="00F64411">
              <w:rPr>
                <w:i/>
              </w:rPr>
              <w:t>monitoringCapabilityConfig</w:t>
            </w:r>
            <w:r w:rsidR="00F64411">
              <w:t xml:space="preserve"> = </w:t>
            </w:r>
            <w:r w:rsidR="00F64411">
              <w:rPr>
                <w:i/>
              </w:rPr>
              <w:t>r16monitoringcapability</w:t>
            </w:r>
            <w:r w:rsidR="00F64411">
              <w:rPr>
                <w:i/>
                <w:color w:val="000000" w:themeColor="text1"/>
              </w:rPr>
              <w:t xml:space="preserve"> </w:t>
            </w:r>
            <w:r w:rsidR="00F64411">
              <w:rPr>
                <w:color w:val="000000" w:themeColor="text1"/>
              </w:rPr>
              <w:t xml:space="preserve">for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NR-DC,r16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DL,cells</m:t>
                  </m:r>
                </m:sup>
              </m:sSubSup>
            </m:oMath>
            <w:r w:rsidR="00F64411">
              <w:rPr>
                <w:color w:val="000000" w:themeColor="text1"/>
                <w:lang w:eastAsia="ko-KR"/>
              </w:rPr>
              <w:t xml:space="preserve"> </w:t>
            </w:r>
            <w:r w:rsidR="00F64411">
              <w:rPr>
                <w:rFonts w:eastAsia="DengXian"/>
                <w:color w:val="000000" w:themeColor="text1"/>
              </w:rPr>
              <w:t>downlink cells where the UE monitors PDCCH</w:t>
            </w:r>
            <w:r w:rsidR="00F64411">
              <w:rPr>
                <w:rFonts w:eastAsia="DengXian"/>
                <w:color w:val="000000" w:themeColor="text1"/>
                <w:lang w:eastAsia="ko-KR"/>
              </w:rPr>
              <w:t xml:space="preserve">, the UE expects to be provided </w:t>
            </w:r>
            <w:r w:rsidR="00F64411">
              <w:rPr>
                <w:i/>
                <w:iCs/>
                <w:color w:val="000000" w:themeColor="text1"/>
                <w:lang w:eastAsia="ja-JP"/>
              </w:rPr>
              <w:t xml:space="preserve">pdcch-BlindDetection3 </w:t>
            </w:r>
            <w:r w:rsidR="00F64411">
              <w:rPr>
                <w:iCs/>
                <w:color w:val="000000" w:themeColor="text1"/>
                <w:lang w:eastAsia="ja-JP"/>
              </w:rPr>
              <w:t>and</w:t>
            </w:r>
            <w:r w:rsidR="00F64411">
              <w:rPr>
                <w:i/>
                <w:iCs/>
                <w:color w:val="000000" w:themeColor="text1"/>
                <w:lang w:eastAsia="ja-JP"/>
              </w:rPr>
              <w:t xml:space="preserve"> pdcch-BlindDetection2</w:t>
            </w:r>
            <w:r w:rsidR="00F64411">
              <w:rPr>
                <w:rFonts w:eastAsia="DengXian"/>
                <w:color w:val="000000" w:themeColor="text1"/>
                <w:lang w:eastAsia="ja-JP"/>
              </w:rPr>
              <w:t xml:space="preserve"> for the MCG, and </w:t>
            </w:r>
            <w:r w:rsidR="00F64411">
              <w:rPr>
                <w:i/>
                <w:iCs/>
                <w:color w:val="000000" w:themeColor="text1"/>
                <w:lang w:eastAsia="ja-JP"/>
              </w:rPr>
              <w:t xml:space="preserve">pdcch-BlindDetection3 </w:t>
            </w:r>
            <w:r w:rsidR="00F64411">
              <w:rPr>
                <w:iCs/>
                <w:color w:val="000000" w:themeColor="text1"/>
                <w:lang w:eastAsia="ja-JP"/>
              </w:rPr>
              <w:t>and</w:t>
            </w:r>
            <w:r w:rsidR="00F64411">
              <w:rPr>
                <w:i/>
                <w:iCs/>
                <w:color w:val="000000" w:themeColor="text1"/>
                <w:lang w:eastAsia="ja-JP"/>
              </w:rPr>
              <w:t xml:space="preserve"> pdcch-BlindDetection2 </w:t>
            </w:r>
            <w:r w:rsidR="00F64411">
              <w:rPr>
                <w:rFonts w:eastAsia="DengXian"/>
                <w:color w:val="000000" w:themeColor="text1"/>
                <w:lang w:eastAsia="ko-KR"/>
              </w:rPr>
              <w:t xml:space="preserve">for the SCG with values that satisfy </w:t>
            </w:r>
          </w:p>
          <w:p w14:paraId="6C8FD8C6" w14:textId="77777777" w:rsidR="00F64411" w:rsidRPr="00F56BF9" w:rsidRDefault="00F64411" w:rsidP="00F64411">
            <w:pPr>
              <w:pStyle w:val="B1"/>
              <w:spacing w:before="120" w:after="120"/>
              <w:rPr>
                <w:rFonts w:eastAsia="DengXian"/>
                <w:lang w:eastAsia="ja-JP"/>
              </w:rPr>
            </w:pPr>
            <w:r w:rsidRPr="00F56BF9">
              <w:rPr>
                <w:rFonts w:eastAsia="DengXian"/>
                <w:lang w:eastAsia="ja-JP"/>
              </w:rPr>
              <w:t>-</w:t>
            </w:r>
            <w:r w:rsidRPr="00F56BF9">
              <w:rPr>
                <w:rFonts w:eastAsia="DengXian"/>
                <w:lang w:eastAsia="ja-JP"/>
              </w:rPr>
              <w:tab/>
            </w:r>
            <w:r w:rsidRPr="00F56BF9">
              <w:rPr>
                <w:i/>
                <w:iCs/>
                <w:lang w:eastAsia="ja-JP"/>
              </w:rPr>
              <w:t>pdcch-BlindDetection</w:t>
            </w:r>
            <w:r w:rsidRPr="00F56BF9">
              <w:rPr>
                <w:i/>
                <w:iCs/>
                <w:lang w:val="en-US" w:eastAsia="ja-JP"/>
              </w:rPr>
              <w:t>3</w:t>
            </w:r>
            <w:r w:rsidRPr="00F56BF9">
              <w:rPr>
                <w:rFonts w:eastAsia="DengXian"/>
                <w:lang w:eastAsia="ja-JP"/>
              </w:rPr>
              <w:t xml:space="preserve"> for the MCG + </w:t>
            </w:r>
            <w:r w:rsidRPr="00F56BF9">
              <w:rPr>
                <w:i/>
                <w:iCs/>
                <w:lang w:eastAsia="ja-JP"/>
              </w:rPr>
              <w:t>pdcch-BlindDetection</w:t>
            </w:r>
            <w:r w:rsidRPr="00F56BF9">
              <w:rPr>
                <w:i/>
                <w:iCs/>
                <w:lang w:val="en-US" w:eastAsia="ja-JP"/>
              </w:rPr>
              <w:t>3</w:t>
            </w:r>
            <w:r w:rsidRPr="00F56BF9">
              <w:rPr>
                <w:rFonts w:eastAsia="DengXian"/>
                <w:lang w:eastAsia="ja-JP"/>
              </w:rPr>
              <w:t xml:space="preserve"> </w:t>
            </w:r>
            <w:r w:rsidRPr="00F56BF9">
              <w:rPr>
                <w:rFonts w:eastAsia="DengXian"/>
                <w:lang w:eastAsia="ko-KR"/>
              </w:rPr>
              <w:t xml:space="preserve">for the SCG </w:t>
            </w:r>
            <w:r w:rsidRPr="00F56BF9">
              <w:rPr>
                <w:rFonts w:eastAsia="DengXian"/>
                <w:lang w:eastAsia="ja-JP"/>
              </w:rPr>
              <w:t xml:space="preserve">&lt;= </w:t>
            </w:r>
            <w:r w:rsidRPr="00F56BF9">
              <w:rPr>
                <w:rFonts w:eastAsia="DengXian"/>
                <w:i/>
                <w:iCs/>
                <w:lang w:eastAsia="ja-JP"/>
              </w:rPr>
              <w:t>pdcch-BlindDetectionCA</w:t>
            </w:r>
            <w:r w:rsidRPr="00F56BF9">
              <w:rPr>
                <w:rFonts w:eastAsia="DengXian"/>
                <w:i/>
                <w:iCs/>
                <w:lang w:val="en-US" w:eastAsia="ja-JP"/>
              </w:rPr>
              <w:t>1</w:t>
            </w:r>
            <w:r w:rsidRPr="00F56BF9">
              <w:rPr>
                <w:rFonts w:eastAsia="DengXian"/>
                <w:lang w:eastAsia="ja-JP"/>
              </w:rPr>
              <w:t xml:space="preserve">, if the UE reports </w:t>
            </w:r>
            <w:r w:rsidRPr="00F56BF9">
              <w:rPr>
                <w:rFonts w:eastAsia="DengXian"/>
                <w:i/>
                <w:iCs/>
                <w:lang w:eastAsia="ja-JP"/>
              </w:rPr>
              <w:t>pdcch-BlindDetectionCA</w:t>
            </w:r>
            <w:r w:rsidRPr="00F56BF9">
              <w:rPr>
                <w:rFonts w:eastAsia="DengXian"/>
                <w:i/>
                <w:iCs/>
                <w:lang w:val="en-US" w:eastAsia="ja-JP"/>
              </w:rPr>
              <w:t>1</w:t>
            </w:r>
            <w:r w:rsidRPr="00F56BF9">
              <w:rPr>
                <w:rFonts w:eastAsia="DengXian"/>
                <w:lang w:eastAsia="ja-JP"/>
              </w:rPr>
              <w:t>, or</w:t>
            </w:r>
          </w:p>
          <w:p w14:paraId="657C24CE" w14:textId="77777777" w:rsidR="00F64411" w:rsidRDefault="00F64411" w:rsidP="00F64411">
            <w:pPr>
              <w:pStyle w:val="B1"/>
              <w:spacing w:before="120" w:after="120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-</w:t>
            </w:r>
            <w:r>
              <w:rPr>
                <w:rFonts w:eastAsia="DengXian"/>
                <w:lang w:eastAsia="ja-JP"/>
              </w:rPr>
              <w:tab/>
            </w:r>
            <w:r w:rsidRPr="00D429F6">
              <w:rPr>
                <w:i/>
                <w:iCs/>
                <w:lang w:eastAsia="ja-JP"/>
              </w:rPr>
              <w:t>pdcch-BlindDetection</w:t>
            </w:r>
            <w:r w:rsidRPr="00130949">
              <w:rPr>
                <w:i/>
                <w:iCs/>
                <w:lang w:val="en-US" w:eastAsia="ja-JP"/>
              </w:rPr>
              <w:t>3</w:t>
            </w:r>
            <w:r>
              <w:rPr>
                <w:rFonts w:eastAsia="DengXian"/>
                <w:lang w:eastAsia="ja-JP"/>
              </w:rPr>
              <w:t xml:space="preserve"> for the MCG + </w:t>
            </w:r>
            <w:r w:rsidRPr="00D429F6">
              <w:rPr>
                <w:i/>
                <w:iCs/>
                <w:lang w:eastAsia="ja-JP"/>
              </w:rPr>
              <w:t>pdcch-BlindDetection</w:t>
            </w:r>
            <w:r w:rsidRPr="00130949">
              <w:rPr>
                <w:i/>
                <w:iCs/>
                <w:lang w:val="en-US" w:eastAsia="ja-JP"/>
              </w:rPr>
              <w:t>3</w:t>
            </w:r>
            <w:r>
              <w:rPr>
                <w:rFonts w:eastAsia="DengXian"/>
                <w:lang w:eastAsia="ja-JP"/>
              </w:rPr>
              <w:t xml:space="preserve"> </w:t>
            </w:r>
            <w:r>
              <w:rPr>
                <w:rFonts w:eastAsia="DengXian"/>
                <w:lang w:eastAsia="ko-KR"/>
              </w:rPr>
              <w:t xml:space="preserve">for the SCG </w:t>
            </w:r>
            <w:r>
              <w:rPr>
                <w:rFonts w:eastAsia="DengXian"/>
                <w:lang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NR-DC,r15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DL,cells</m:t>
                  </m:r>
                </m:sup>
              </m:sSubSup>
            </m:oMath>
            <w:r>
              <w:rPr>
                <w:rFonts w:eastAsia="DengXian"/>
                <w:lang w:eastAsia="ja-JP"/>
              </w:rPr>
              <w:t xml:space="preserve">, if the UE does not report </w:t>
            </w:r>
            <w:r w:rsidRPr="00D429F6">
              <w:rPr>
                <w:rFonts w:eastAsia="DengXian"/>
                <w:i/>
                <w:iCs/>
                <w:lang w:eastAsia="ja-JP"/>
              </w:rPr>
              <w:t>pdcch-BlindDetectionCA</w:t>
            </w:r>
            <w:r w:rsidRPr="00130949">
              <w:rPr>
                <w:rFonts w:eastAsia="DengXian"/>
                <w:i/>
                <w:iCs/>
                <w:lang w:val="en-US" w:eastAsia="ja-JP"/>
              </w:rPr>
              <w:t>1</w:t>
            </w:r>
          </w:p>
          <w:p w14:paraId="669CDCDC" w14:textId="77777777" w:rsidR="00F64411" w:rsidRDefault="00F64411" w:rsidP="00F64411">
            <w:pPr>
              <w:spacing w:before="120" w:after="120"/>
              <w:rPr>
                <w:rFonts w:eastAsia="DengXian"/>
                <w:iCs/>
                <w:lang w:val="x-none" w:eastAsia="ja-JP"/>
              </w:rPr>
            </w:pPr>
            <w:r>
              <w:rPr>
                <w:rFonts w:eastAsia="DengXian"/>
                <w:lang w:val="x-none" w:eastAsia="ja-JP"/>
              </w:rPr>
              <w:t>and</w:t>
            </w:r>
          </w:p>
          <w:p w14:paraId="2AD1BE96" w14:textId="77777777" w:rsidR="00F64411" w:rsidRDefault="00F64411" w:rsidP="00F64411">
            <w:pPr>
              <w:pStyle w:val="B1"/>
              <w:spacing w:before="120" w:after="120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-</w:t>
            </w:r>
            <w:r>
              <w:rPr>
                <w:rFonts w:eastAsia="DengXian"/>
                <w:lang w:eastAsia="ja-JP"/>
              </w:rPr>
              <w:tab/>
            </w:r>
            <w:r w:rsidRPr="00D429F6">
              <w:rPr>
                <w:i/>
                <w:iCs/>
                <w:lang w:eastAsia="ja-JP"/>
              </w:rPr>
              <w:t>pdcch-BlindDetection</w:t>
            </w:r>
            <w:r w:rsidRPr="00130949">
              <w:rPr>
                <w:i/>
                <w:iCs/>
                <w:lang w:val="en-US" w:eastAsia="ja-JP"/>
              </w:rPr>
              <w:t>2</w:t>
            </w:r>
            <w:r>
              <w:rPr>
                <w:rFonts w:eastAsia="DengXian"/>
                <w:lang w:eastAsia="ja-JP"/>
              </w:rPr>
              <w:t xml:space="preserve"> for the MCG + </w:t>
            </w:r>
            <w:r w:rsidRPr="00D429F6">
              <w:rPr>
                <w:i/>
                <w:iCs/>
                <w:lang w:eastAsia="ja-JP"/>
              </w:rPr>
              <w:t>pdcch-BlindDetection</w:t>
            </w:r>
            <w:r w:rsidRPr="00AA18C0">
              <w:rPr>
                <w:i/>
                <w:iCs/>
                <w:lang w:val="en-US" w:eastAsia="ja-JP"/>
              </w:rPr>
              <w:t>2</w:t>
            </w:r>
            <w:r>
              <w:rPr>
                <w:rFonts w:eastAsia="DengXian"/>
                <w:lang w:eastAsia="ja-JP"/>
              </w:rPr>
              <w:t xml:space="preserve"> </w:t>
            </w:r>
            <w:r>
              <w:rPr>
                <w:rFonts w:eastAsia="DengXian"/>
                <w:lang w:eastAsia="ko-KR"/>
              </w:rPr>
              <w:t xml:space="preserve">for the SCG </w:t>
            </w:r>
            <w:r>
              <w:rPr>
                <w:rFonts w:eastAsia="DengXian"/>
                <w:lang w:eastAsia="ja-JP"/>
              </w:rPr>
              <w:t xml:space="preserve">&lt;= </w:t>
            </w:r>
            <w:r w:rsidRPr="00D429F6">
              <w:rPr>
                <w:rFonts w:eastAsia="DengXian"/>
                <w:i/>
                <w:iCs/>
                <w:lang w:eastAsia="ja-JP"/>
              </w:rPr>
              <w:t>pdcch-BlindDetectionCA</w:t>
            </w:r>
            <w:r>
              <w:rPr>
                <w:i/>
                <w:iCs/>
                <w:lang w:val="en-US" w:eastAsia="ja-JP"/>
              </w:rPr>
              <w:t>2</w:t>
            </w:r>
            <w:r>
              <w:rPr>
                <w:rFonts w:eastAsia="DengXian"/>
                <w:lang w:eastAsia="ja-JP"/>
              </w:rPr>
              <w:t xml:space="preserve">, if the UE reports </w:t>
            </w:r>
            <w:r w:rsidRPr="00D429F6">
              <w:rPr>
                <w:rFonts w:eastAsia="DengXian"/>
                <w:i/>
                <w:iCs/>
                <w:lang w:eastAsia="ja-JP"/>
              </w:rPr>
              <w:t>pdcch-BlindDetectionCA</w:t>
            </w:r>
            <w:r w:rsidRPr="00AA18C0">
              <w:rPr>
                <w:i/>
                <w:iCs/>
                <w:lang w:val="en-US" w:eastAsia="ja-JP"/>
              </w:rPr>
              <w:t>2</w:t>
            </w:r>
            <w:r>
              <w:rPr>
                <w:rFonts w:eastAsia="DengXian"/>
                <w:lang w:eastAsia="ja-JP"/>
              </w:rPr>
              <w:t>, or</w:t>
            </w:r>
          </w:p>
          <w:p w14:paraId="4B895217" w14:textId="77777777" w:rsidR="00F64411" w:rsidRDefault="00F64411" w:rsidP="00F64411">
            <w:pPr>
              <w:pStyle w:val="B1"/>
              <w:spacing w:before="120" w:after="120"/>
              <w:rPr>
                <w:rFonts w:eastAsia="DengXian"/>
                <w:lang w:eastAsia="ja-JP"/>
              </w:rPr>
            </w:pPr>
            <w:r>
              <w:rPr>
                <w:rFonts w:eastAsia="DengXian"/>
                <w:lang w:eastAsia="ja-JP"/>
              </w:rPr>
              <w:t>-</w:t>
            </w:r>
            <w:r>
              <w:rPr>
                <w:rFonts w:eastAsia="DengXian"/>
                <w:lang w:eastAsia="ja-JP"/>
              </w:rPr>
              <w:tab/>
            </w:r>
            <w:r w:rsidRPr="00D429F6">
              <w:rPr>
                <w:i/>
                <w:iCs/>
                <w:lang w:eastAsia="ja-JP"/>
              </w:rPr>
              <w:t>pdcch-BlindDetection</w:t>
            </w:r>
            <w:r w:rsidRPr="00130949">
              <w:rPr>
                <w:i/>
                <w:iCs/>
                <w:lang w:val="en-US" w:eastAsia="ja-JP"/>
              </w:rPr>
              <w:t>2</w:t>
            </w:r>
            <w:r>
              <w:rPr>
                <w:rFonts w:eastAsia="DengXian"/>
                <w:lang w:eastAsia="ja-JP"/>
              </w:rPr>
              <w:t xml:space="preserve"> for the MCG + </w:t>
            </w:r>
            <w:r w:rsidRPr="00D429F6">
              <w:rPr>
                <w:i/>
                <w:iCs/>
                <w:lang w:eastAsia="ja-JP"/>
              </w:rPr>
              <w:t>pdcch-BlindDetection</w:t>
            </w:r>
            <w:r w:rsidRPr="00AA18C0">
              <w:rPr>
                <w:i/>
                <w:iCs/>
                <w:lang w:val="en-US" w:eastAsia="ja-JP"/>
              </w:rPr>
              <w:t>2</w:t>
            </w:r>
            <w:r>
              <w:rPr>
                <w:rFonts w:eastAsia="DengXian"/>
                <w:lang w:eastAsia="ja-JP"/>
              </w:rPr>
              <w:t xml:space="preserve"> </w:t>
            </w:r>
            <w:r>
              <w:rPr>
                <w:rFonts w:eastAsia="DengXian"/>
                <w:lang w:eastAsia="ko-KR"/>
              </w:rPr>
              <w:t xml:space="preserve">for the SCG </w:t>
            </w:r>
            <w:r>
              <w:rPr>
                <w:rFonts w:eastAsia="DengXian"/>
                <w:lang w:eastAsia="ja-JP"/>
              </w:rPr>
              <w:t xml:space="preserve">&lt;=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NR-DC,r16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DL,cells</m:t>
                  </m:r>
                </m:sup>
              </m:sSubSup>
            </m:oMath>
            <w:r>
              <w:rPr>
                <w:rFonts w:eastAsia="DengXian"/>
                <w:lang w:eastAsia="ja-JP"/>
              </w:rPr>
              <w:t xml:space="preserve">, if the UE does not report </w:t>
            </w:r>
            <w:r w:rsidRPr="00D429F6">
              <w:rPr>
                <w:rFonts w:eastAsia="DengXian"/>
                <w:i/>
                <w:iCs/>
                <w:lang w:eastAsia="ja-JP"/>
              </w:rPr>
              <w:t>pdcch-BlindDetectionCA</w:t>
            </w:r>
            <w:r w:rsidRPr="00AA18C0">
              <w:rPr>
                <w:i/>
                <w:iCs/>
                <w:lang w:val="en-US" w:eastAsia="ja-JP"/>
              </w:rPr>
              <w:t>2</w:t>
            </w:r>
          </w:p>
          <w:p w14:paraId="6E1F0EC6" w14:textId="77777777" w:rsidR="00F64411" w:rsidRDefault="00F64411" w:rsidP="00534332">
            <w:pPr>
              <w:spacing w:beforeLines="0" w:afterLines="100" w:after="240" w:line="240" w:lineRule="auto"/>
            </w:pPr>
            <w:r>
              <w:t>”</w:t>
            </w:r>
          </w:p>
        </w:tc>
      </w:tr>
    </w:tbl>
    <w:p w14:paraId="23B2F108" w14:textId="19D93277" w:rsidR="00F64411" w:rsidRPr="00534332" w:rsidRDefault="001F760F" w:rsidP="00B67DA8">
      <w:pPr>
        <w:spacing w:beforeLines="0" w:afterLines="100" w:after="240" w:line="240" w:lineRule="auto"/>
      </w:pPr>
      <w:r>
        <w:lastRenderedPageBreak/>
        <w:t xml:space="preserve">According to the current RAN1 spec. UE may indicate the capabilities for MCG and SCG. If </w:t>
      </w:r>
      <w:r w:rsidR="00F265A9">
        <w:t xml:space="preserve">it </w:t>
      </w:r>
      <w:r>
        <w:t xml:space="preserve">reports for both CGs then the provided </w:t>
      </w:r>
      <w:r>
        <w:rPr>
          <w:lang w:eastAsia="ja-JP"/>
        </w:rPr>
        <w:t>(</w:t>
      </w:r>
      <w:r>
        <w:rPr>
          <w:i/>
          <w:iCs/>
          <w:lang w:eastAsia="ja-JP"/>
        </w:rPr>
        <w:t>pdcch-BlindDetection3</w:t>
      </w:r>
      <w:r>
        <w:t xml:space="preserve"> for MCG, </w:t>
      </w:r>
      <w:r>
        <w:rPr>
          <w:i/>
          <w:iCs/>
          <w:lang w:eastAsia="ja-JP"/>
        </w:rPr>
        <w:t>pdcch-BlindDetection3</w:t>
      </w:r>
      <w:r>
        <w:t xml:space="preserve"> for SCG, </w:t>
      </w:r>
      <w:r>
        <w:rPr>
          <w:i/>
          <w:iCs/>
          <w:lang w:eastAsia="ja-JP"/>
        </w:rPr>
        <w:t>pdcch-BlindDetection2</w:t>
      </w:r>
      <w:r>
        <w:t xml:space="preserve"> for MCG, </w:t>
      </w:r>
      <w:r>
        <w:rPr>
          <w:i/>
          <w:iCs/>
          <w:lang w:eastAsia="ja-JP"/>
        </w:rPr>
        <w:t>pdcch-BlindDetection2</w:t>
      </w:r>
      <w:r>
        <w:t xml:space="preserve"> for SCG) satisfies the reported </w:t>
      </w:r>
      <w:r w:rsidR="0048433E">
        <w:t xml:space="preserve">maximum </w:t>
      </w:r>
      <w:r>
        <w:t>numbers.</w:t>
      </w:r>
      <w:r w:rsidR="0048433E">
        <w:t xml:space="preserve"> </w:t>
      </w:r>
      <w:r w:rsidR="00F265A9">
        <w:t>However, i</w:t>
      </w:r>
      <w:r w:rsidR="0048433E">
        <w:t xml:space="preserve">t </w:t>
      </w:r>
      <w:r w:rsidR="00F265A9">
        <w:t xml:space="preserve">seems </w:t>
      </w:r>
      <w:r w:rsidR="0048433E">
        <w:t xml:space="preserve">that UE </w:t>
      </w:r>
      <w:r w:rsidR="00F265A9">
        <w:t>doesn’</w:t>
      </w:r>
      <w:r w:rsidR="0048433E">
        <w:t>t need to report the capability for both CGs. In that case, there is no explicit maximum supported value</w:t>
      </w:r>
      <w:r w:rsidR="00F265A9">
        <w:t>s</w:t>
      </w:r>
      <w:r w:rsidR="0048433E">
        <w:t xml:space="preserve"> for the </w:t>
      </w:r>
      <w:r w:rsidR="00F265A9">
        <w:t xml:space="preserve">non-reported </w:t>
      </w:r>
      <w:r w:rsidR="0048433E">
        <w:t xml:space="preserve">CG. For example if UE doesn’t report </w:t>
      </w:r>
      <w:r w:rsidR="0048433E" w:rsidRPr="00B84DB6">
        <w:rPr>
          <w:rFonts w:asciiTheme="majorBidi" w:hAnsiTheme="majorBidi" w:cstheme="majorBidi"/>
          <w:kern w:val="0"/>
          <w:sz w:val="20"/>
          <w:lang w:val="en-GB" w:eastAsia="en-US"/>
        </w:rPr>
        <w:t>pdcch-BlindDetectionSCG-UE-Mixed</w:t>
      </w:r>
      <w:r w:rsidR="0048433E">
        <w:rPr>
          <w:rFonts w:asciiTheme="majorBidi" w:hAnsiTheme="majorBidi" w:cstheme="majorBidi"/>
          <w:kern w:val="0"/>
          <w:sz w:val="20"/>
          <w:lang w:val="en-GB" w:eastAsia="en-US"/>
        </w:rPr>
        <w:t xml:space="preserve">, then there is no explicit limit for </w:t>
      </w:r>
      <w:r w:rsidR="0048433E">
        <w:rPr>
          <w:i/>
          <w:iCs/>
          <w:lang w:eastAsia="ja-JP"/>
        </w:rPr>
        <w:t>pdcch-BlindDetection</w:t>
      </w:r>
      <w:r w:rsidR="00E94C3F">
        <w:rPr>
          <w:i/>
          <w:iCs/>
          <w:lang w:eastAsia="ja-JP"/>
        </w:rPr>
        <w:t>3</w:t>
      </w:r>
      <w:r w:rsidR="0048433E">
        <w:t xml:space="preserve"> for</w:t>
      </w:r>
      <w:r w:rsidR="00E94C3F">
        <w:t xml:space="preserve"> S</w:t>
      </w:r>
      <w:r w:rsidR="0048433E">
        <w:t xml:space="preserve">CG and </w:t>
      </w:r>
      <w:r w:rsidR="0048433E">
        <w:rPr>
          <w:i/>
          <w:iCs/>
          <w:lang w:eastAsia="ja-JP"/>
        </w:rPr>
        <w:t>pdcch-BlindDetection2</w:t>
      </w:r>
      <w:r w:rsidR="0048433E">
        <w:t xml:space="preserve"> for SCG, but they still need to satisfy the CA limits given in the</w:t>
      </w:r>
      <w:r w:rsidR="00B67DA8">
        <w:t xml:space="preserve"> above excerpt from TS 38.213.</w:t>
      </w:r>
      <w:r>
        <w:t xml:space="preserve"> </w:t>
      </w:r>
    </w:p>
    <w:p w14:paraId="22D59660" w14:textId="77777777" w:rsidR="00325340" w:rsidRDefault="00325340" w:rsidP="0078258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Bidi" w:hAnsiTheme="minorBidi" w:cstheme="minorBidi"/>
          <w:kern w:val="0"/>
          <w:sz w:val="20"/>
          <w:lang w:val="en-GB"/>
        </w:rPr>
      </w:pPr>
      <w:r w:rsidRPr="00530EB3">
        <w:rPr>
          <w:rFonts w:asciiTheme="minorBidi" w:hAnsiTheme="minorBidi" w:cstheme="minorBidi"/>
          <w:b/>
          <w:bCs/>
          <w:kern w:val="0"/>
          <w:sz w:val="20"/>
          <w:lang w:val="en-GB"/>
        </w:rPr>
        <w:t>Q</w:t>
      </w:r>
      <w:r w:rsidR="004C6252" w:rsidRPr="00530EB3">
        <w:rPr>
          <w:rFonts w:asciiTheme="minorBidi" w:hAnsiTheme="minorBidi" w:cstheme="minorBidi"/>
          <w:b/>
          <w:bCs/>
          <w:kern w:val="0"/>
          <w:sz w:val="20"/>
          <w:lang w:val="en-GB"/>
        </w:rPr>
        <w:t>uestion</w:t>
      </w:r>
      <w:r w:rsidR="004C6252">
        <w:rPr>
          <w:b/>
          <w:bCs/>
          <w:sz w:val="20"/>
        </w:rPr>
        <w:t xml:space="preserve"> </w:t>
      </w:r>
      <w:r w:rsidR="00530EB3"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1</w:t>
      </w:r>
      <w:r w:rsidRPr="00325340">
        <w:rPr>
          <w:rFonts w:asciiTheme="minorBidi" w:hAnsiTheme="minorBidi" w:cstheme="minorBidi"/>
          <w:sz w:val="20"/>
        </w:rPr>
        <w:t xml:space="preserve">. </w:t>
      </w:r>
      <w:r w:rsidRPr="00325340">
        <w:rPr>
          <w:rFonts w:asciiTheme="minorBidi" w:hAnsiTheme="minorBidi" w:cstheme="minorBidi"/>
          <w:kern w:val="0"/>
          <w:sz w:val="20"/>
          <w:lang w:val="en-GB" w:eastAsia="en-US"/>
        </w:rPr>
        <w:t>RAN2 defined two separate PDCCH blind detection capabilities for MCG (pdcch-BlindDetectionMCG-UE-Mixed-r16) and SCG (pdcch-BlindDetectionSCG-UE-Mixed-r16). In current RAN2 specification, there is no requirement for UE supporting NR-DC to report the capabilities for both MCG and SCG. RAN2 respectively asks RAN1 to clarify whether the wording above means that UE is required to report both capabilities for MCG</w:t>
      </w:r>
      <w:r w:rsidRPr="00325340">
        <w:rPr>
          <w:rFonts w:asciiTheme="minorBidi" w:hAnsiTheme="minorBidi" w:cstheme="minorBidi"/>
          <w:color w:val="000000" w:themeColor="text1"/>
          <w:kern w:val="0"/>
          <w:sz w:val="20"/>
          <w:lang w:val="en-GB" w:eastAsia="en-US"/>
        </w:rPr>
        <w:t xml:space="preserve"> and SCG? </w:t>
      </w:r>
      <w:r w:rsidRPr="00325340">
        <w:rPr>
          <w:rFonts w:asciiTheme="minorBidi" w:hAnsiTheme="minorBidi" w:cstheme="minorBidi"/>
          <w:kern w:val="0"/>
          <w:sz w:val="20"/>
          <w:lang w:val="en-GB"/>
        </w:rPr>
        <w:t>RAN2 concerns if adding such restriction leads to a non-backward compatible change for Release-16.</w:t>
      </w:r>
    </w:p>
    <w:p w14:paraId="76F6ABE0" w14:textId="77777777" w:rsidR="00325340" w:rsidRDefault="00325340" w:rsidP="00325340">
      <w:p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Theme="minorBidi" w:hAnsiTheme="minorBidi" w:cstheme="minorBidi"/>
          <w:kern w:val="0"/>
          <w:sz w:val="20"/>
          <w:lang w:val="en-GB"/>
        </w:rPr>
      </w:pPr>
    </w:p>
    <w:p w14:paraId="702CA9C2" w14:textId="77777777" w:rsidR="00325340" w:rsidRPr="00F43963" w:rsidRDefault="00325340" w:rsidP="006E49E2">
      <w:p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Theme="majorBidi" w:hAnsiTheme="majorBidi" w:cstheme="majorBidi"/>
          <w:kern w:val="0"/>
          <w:sz w:val="20"/>
          <w:lang w:val="en-GB"/>
        </w:rPr>
      </w:pP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Answer</w:t>
      </w:r>
      <w:r w:rsid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 xml:space="preserve"> </w:t>
      </w: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1</w:t>
      </w:r>
      <w:r>
        <w:rPr>
          <w:rFonts w:asciiTheme="minorBidi" w:hAnsiTheme="minorBidi" w:cstheme="minorBidi"/>
          <w:kern w:val="0"/>
          <w:sz w:val="20"/>
          <w:lang w:val="en-GB"/>
        </w:rPr>
        <w:t xml:space="preserve">: </w:t>
      </w:r>
      <w:r w:rsidR="006E49E2" w:rsidRPr="00F43963">
        <w:rPr>
          <w:rFonts w:asciiTheme="majorBidi" w:hAnsiTheme="majorBidi" w:cstheme="majorBidi"/>
          <w:kern w:val="0"/>
          <w:sz w:val="20"/>
          <w:lang w:val="en-GB"/>
        </w:rPr>
        <w:t xml:space="preserve">In our understanding UE is not required to report the capabilities for both MCG and SCG. If the capability is not reported for a CG, then there is no explicit maximum supported values of </w:t>
      </w:r>
      <w:r w:rsidR="006E49E2" w:rsidRPr="00F43963">
        <w:rPr>
          <w:rFonts w:asciiTheme="majorBidi" w:hAnsiTheme="majorBidi" w:cstheme="majorBidi"/>
          <w:i/>
          <w:iCs/>
          <w:lang w:eastAsia="ja-JP"/>
        </w:rPr>
        <w:t>pdcch-BlindDetection3 or pdcch-BlindDetection2</w:t>
      </w:r>
      <w:r w:rsidR="006E49E2" w:rsidRPr="00F43963">
        <w:rPr>
          <w:rFonts w:asciiTheme="majorBidi" w:hAnsiTheme="majorBidi" w:cstheme="majorBidi"/>
          <w:kern w:val="0"/>
          <w:sz w:val="20"/>
          <w:lang w:val="en-GB"/>
        </w:rPr>
        <w:t xml:space="preserve"> for the CG. </w:t>
      </w:r>
    </w:p>
    <w:p w14:paraId="215E7547" w14:textId="77777777" w:rsidR="00475225" w:rsidRDefault="00475225" w:rsidP="003B6E7F">
      <w:pPr>
        <w:spacing w:beforeLines="0" w:afterLines="100" w:after="240" w:line="240" w:lineRule="auto"/>
        <w:rPr>
          <w:sz w:val="20"/>
          <w:lang w:val="en-GB"/>
        </w:rPr>
      </w:pPr>
    </w:p>
    <w:p w14:paraId="56ACD11A" w14:textId="48EED56F" w:rsidR="002E54C3" w:rsidRDefault="002E54C3" w:rsidP="003A4881">
      <w:pPr>
        <w:spacing w:beforeLines="0" w:afterLines="100" w:after="24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Another question </w:t>
      </w:r>
      <w:r w:rsidR="00475225">
        <w:rPr>
          <w:sz w:val="20"/>
          <w:lang w:val="en-GB"/>
        </w:rPr>
        <w:t>was</w:t>
      </w:r>
      <w:r>
        <w:rPr>
          <w:sz w:val="20"/>
          <w:lang w:val="en-GB"/>
        </w:rPr>
        <w:t xml:space="preserve"> raised by RAN2 on simultaneous reporting of FG 11-2c and 11-2g. </w:t>
      </w:r>
      <w:r w:rsidR="002A4C6D">
        <w:rPr>
          <w:sz w:val="20"/>
          <w:lang w:val="en-GB"/>
        </w:rPr>
        <w:t xml:space="preserve">The FGs are shown in the following table. </w:t>
      </w:r>
      <w:r w:rsidR="00E81F53">
        <w:rPr>
          <w:sz w:val="20"/>
          <w:lang w:val="en-GB"/>
        </w:rPr>
        <w:t>A</w:t>
      </w:r>
      <w:r w:rsidR="000C02BB">
        <w:rPr>
          <w:sz w:val="20"/>
          <w:lang w:val="en-GB"/>
        </w:rPr>
        <w:t xml:space="preserve">s can be seen, there </w:t>
      </w:r>
      <w:r w:rsidR="00475225">
        <w:rPr>
          <w:sz w:val="20"/>
          <w:lang w:val="en-GB"/>
        </w:rPr>
        <w:t>can be</w:t>
      </w:r>
      <w:r w:rsidR="000C02BB">
        <w:rPr>
          <w:sz w:val="20"/>
          <w:lang w:val="en-GB"/>
        </w:rPr>
        <w:t xml:space="preserve"> some cases </w:t>
      </w:r>
      <w:r w:rsidR="00475225">
        <w:rPr>
          <w:sz w:val="20"/>
          <w:lang w:val="en-GB"/>
        </w:rPr>
        <w:t>where interpretation of the reporting can</w:t>
      </w:r>
      <w:r w:rsidR="000C02BB">
        <w:rPr>
          <w:sz w:val="20"/>
          <w:lang w:val="en-GB"/>
        </w:rPr>
        <w:t xml:space="preserve"> be ambiguous. For example if UE reports 11-2c with support of “aligned spans only” and it also reports 11-2g, there will be conflicting indication of supported alignments. </w:t>
      </w:r>
      <w:r w:rsidR="00882F32">
        <w:rPr>
          <w:sz w:val="20"/>
          <w:lang w:val="en-GB"/>
        </w:rPr>
        <w:t xml:space="preserve">Also if UE reports different values of </w:t>
      </w:r>
      <w:r w:rsidR="00882F32" w:rsidRPr="00690988">
        <w:rPr>
          <w:rFonts w:asciiTheme="majorHAnsi" w:hAnsiTheme="majorHAnsi" w:cstheme="majorHAnsi"/>
          <w:szCs w:val="18"/>
          <w:lang w:eastAsia="ja-JP"/>
        </w:rPr>
        <w:t>(pdcch-BlindDetectionCA-R15, pdcch-BlindDetectionCA-R16)</w:t>
      </w:r>
      <w:r w:rsidR="00882F32">
        <w:rPr>
          <w:rFonts w:asciiTheme="majorHAnsi" w:hAnsiTheme="majorHAnsi" w:cstheme="majorHAnsi"/>
          <w:szCs w:val="18"/>
          <w:lang w:eastAsia="ja-JP"/>
        </w:rPr>
        <w:t xml:space="preserve"> for 11-2c and 11-2g, e.g. (3,4) for 11-2c and (</w:t>
      </w:r>
      <w:r w:rsidR="003A4881">
        <w:rPr>
          <w:rFonts w:asciiTheme="majorHAnsi" w:hAnsiTheme="majorHAnsi" w:cstheme="majorHAnsi"/>
          <w:szCs w:val="18"/>
          <w:lang w:eastAsia="ja-JP"/>
        </w:rPr>
        <w:t>4,3) for 11-2g with supports of</w:t>
      </w:r>
      <w:r w:rsidR="00882F32">
        <w:rPr>
          <w:rFonts w:asciiTheme="majorHAnsi" w:hAnsiTheme="majorHAnsi" w:cstheme="majorHAnsi"/>
          <w:szCs w:val="18"/>
          <w:lang w:eastAsia="ja-JP"/>
        </w:rPr>
        <w:t xml:space="preserve"> both aligned and non-aligned spans, which set of numbers should be used </w:t>
      </w:r>
      <w:r w:rsidR="003B6E7F">
        <w:rPr>
          <w:rFonts w:asciiTheme="majorHAnsi" w:hAnsiTheme="majorHAnsi" w:cstheme="majorHAnsi"/>
          <w:szCs w:val="18"/>
          <w:lang w:eastAsia="ja-JP"/>
        </w:rPr>
        <w:t xml:space="preserve">for scaling the BD/CCE limit </w:t>
      </w:r>
      <w:r w:rsidR="003A4881">
        <w:rPr>
          <w:rFonts w:asciiTheme="majorHAnsi" w:hAnsiTheme="majorHAnsi" w:cstheme="majorHAnsi"/>
          <w:szCs w:val="18"/>
          <w:lang w:eastAsia="ja-JP"/>
        </w:rPr>
        <w:t>is not</w:t>
      </w:r>
      <w:r w:rsidR="003B6E7F">
        <w:rPr>
          <w:rFonts w:asciiTheme="majorHAnsi" w:hAnsiTheme="majorHAnsi" w:cstheme="majorHAnsi"/>
          <w:szCs w:val="18"/>
          <w:lang w:eastAsia="ja-JP"/>
        </w:rPr>
        <w:t xml:space="preserve"> clear. Although it is possible </w:t>
      </w:r>
      <w:r w:rsidR="003B6E7F">
        <w:rPr>
          <w:sz w:val="20"/>
          <w:lang w:val="en-GB"/>
        </w:rPr>
        <w:t xml:space="preserve">to define </w:t>
      </w:r>
      <w:r w:rsidR="00493DCD">
        <w:rPr>
          <w:sz w:val="20"/>
          <w:lang w:val="en-GB"/>
        </w:rPr>
        <w:t>a general behaver based on a “higher”</w:t>
      </w:r>
      <w:r w:rsidR="003B6E7F">
        <w:rPr>
          <w:sz w:val="20"/>
          <w:lang w:val="en-GB"/>
        </w:rPr>
        <w:t xml:space="preserve"> capability</w:t>
      </w:r>
      <w:r w:rsidR="003A4881">
        <w:rPr>
          <w:sz w:val="20"/>
          <w:lang w:val="en-GB"/>
        </w:rPr>
        <w:t xml:space="preserve"> among the two</w:t>
      </w:r>
      <w:r w:rsidR="003B6E7F">
        <w:rPr>
          <w:sz w:val="20"/>
          <w:lang w:val="en-GB"/>
        </w:rPr>
        <w:t>, how to define a higher capability itself is not straightforward. Therefore unless RAN2 is willing to define a higher capability among the two, UE should be restricted to only report one of these two capabilities.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429"/>
        <w:gridCol w:w="6481"/>
      </w:tblGrid>
      <w:tr w:rsidR="002A4C6D" w:rsidRPr="00690988" w14:paraId="6943D9F0" w14:textId="77777777" w:rsidTr="002A4C6D">
        <w:trPr>
          <w:trHeight w:val="2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ABFC" w14:textId="77777777" w:rsidR="002A4C6D" w:rsidRPr="00690988" w:rsidRDefault="002A4C6D" w:rsidP="005D06DD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11-2c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BEB5" w14:textId="77777777" w:rsidR="002A4C6D" w:rsidRPr="00690988" w:rsidRDefault="002A4C6D" w:rsidP="005D06DD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Number of carriers for CCE/BD scaling with DL CA with mix of Rel. 16 and Rel. 15 PDCCH monitoring capabilities on different carriers</w:t>
            </w: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0FA0" w14:textId="77777777" w:rsidR="002A4C6D" w:rsidRPr="00690988" w:rsidRDefault="002A4C6D" w:rsidP="002A4C6D">
            <w:pPr>
              <w:pStyle w:val="TAL"/>
              <w:numPr>
                <w:ilvl w:val="0"/>
                <w:numId w:val="13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690988">
              <w:rPr>
                <w:rFonts w:asciiTheme="majorHAnsi" w:hAnsiTheme="majorHAnsi" w:cstheme="majorHAnsi"/>
                <w:szCs w:val="18"/>
                <w:lang w:eastAsia="ja-JP"/>
              </w:rPr>
              <w:t>Supported combination(s) of (pdcch-BlindDetectionCA-R15, pdcch-BlindDetectionCA-R16)</w:t>
            </w:r>
          </w:p>
          <w:p w14:paraId="6619604A" w14:textId="77777777" w:rsidR="002A4C6D" w:rsidRPr="00690988" w:rsidRDefault="002A4C6D" w:rsidP="002A4C6D">
            <w:pPr>
              <w:pStyle w:val="TAL"/>
              <w:numPr>
                <w:ilvl w:val="1"/>
                <w:numId w:val="13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690988">
              <w:rPr>
                <w:rFonts w:asciiTheme="majorHAnsi" w:hAnsiTheme="majorHAnsi" w:cstheme="majorHAnsi"/>
                <w:szCs w:val="18"/>
                <w:lang w:eastAsia="ja-JP"/>
              </w:rPr>
              <w:t>Candidate values for pdcch-BlindDetectionCA-R15 is 1 to 15</w:t>
            </w:r>
          </w:p>
          <w:p w14:paraId="768FD7B0" w14:textId="77777777" w:rsidR="002A4C6D" w:rsidRDefault="002A4C6D" w:rsidP="002A4C6D">
            <w:pPr>
              <w:pStyle w:val="TAL"/>
              <w:numPr>
                <w:ilvl w:val="1"/>
                <w:numId w:val="13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690988">
              <w:rPr>
                <w:rFonts w:asciiTheme="majorHAnsi" w:hAnsiTheme="majorHAnsi" w:cstheme="majorHAnsi"/>
                <w:szCs w:val="18"/>
                <w:lang w:eastAsia="ja-JP"/>
              </w:rPr>
              <w:t>Candidate values for pdcch-BlindDetectionCA-R16 is 1 to 15</w:t>
            </w:r>
          </w:p>
          <w:p w14:paraId="07526EDB" w14:textId="77777777" w:rsidR="002A4C6D" w:rsidRDefault="002A4C6D" w:rsidP="002A4C6D">
            <w:pPr>
              <w:pStyle w:val="ListParagraph"/>
              <w:numPr>
                <w:ilvl w:val="0"/>
                <w:numId w:val="13"/>
              </w:numPr>
              <w:spacing w:before="120" w:afterLines="0" w:after="120"/>
              <w:contextualSpacing w:val="0"/>
              <w:jc w:val="left"/>
              <w:rPr>
                <w:rFonts w:asciiTheme="majorHAnsi" w:eastAsiaTheme="minorEastAsia" w:hAnsiTheme="majorHAnsi" w:cstheme="majorHAnsi"/>
                <w:sz w:val="18"/>
                <w:szCs w:val="18"/>
              </w:rPr>
            </w:pPr>
            <w:r w:rsidRPr="00771E55">
              <w:rPr>
                <w:rFonts w:asciiTheme="majorHAnsi" w:eastAsiaTheme="minorEastAsia" w:hAnsiTheme="majorHAnsi" w:cstheme="majorHAnsi"/>
                <w:sz w:val="18"/>
                <w:szCs w:val="18"/>
              </w:rPr>
              <w:t>Supported span arrangement for CA</w:t>
            </w:r>
          </w:p>
          <w:p w14:paraId="00737B0A" w14:textId="77777777" w:rsidR="002A4C6D" w:rsidRPr="00690988" w:rsidRDefault="002A4C6D" w:rsidP="002A4C6D">
            <w:pPr>
              <w:pStyle w:val="TAL"/>
              <w:numPr>
                <w:ilvl w:val="1"/>
                <w:numId w:val="13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szCs w:val="18"/>
              </w:rPr>
              <w:t>C</w:t>
            </w:r>
            <w:r>
              <w:rPr>
                <w:rFonts w:asciiTheme="majorHAnsi" w:eastAsia="MS Mincho" w:hAnsiTheme="majorHAnsi" w:cstheme="majorHAnsi"/>
                <w:szCs w:val="18"/>
              </w:rPr>
              <w:t>andidate value for the component: {</w:t>
            </w:r>
            <w:r w:rsidRPr="00771E55">
              <w:rPr>
                <w:rFonts w:asciiTheme="majorHAnsi" w:eastAsia="MS Mincho" w:hAnsiTheme="majorHAnsi" w:cstheme="majorHAnsi"/>
                <w:szCs w:val="18"/>
              </w:rPr>
              <w:t>aligned spans only, aligned spans and non-aligned spans</w:t>
            </w:r>
            <w:r>
              <w:rPr>
                <w:rFonts w:asciiTheme="majorHAnsi" w:eastAsia="MS Mincho" w:hAnsiTheme="majorHAnsi" w:cstheme="majorHAnsi"/>
                <w:szCs w:val="18"/>
              </w:rPr>
              <w:t>}</w:t>
            </w:r>
          </w:p>
        </w:tc>
      </w:tr>
      <w:tr w:rsidR="002A4C6D" w:rsidRPr="00FB4718" w14:paraId="607EDAAF" w14:textId="77777777" w:rsidTr="002A4C6D">
        <w:trPr>
          <w:trHeight w:val="20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BF0" w14:textId="77777777" w:rsidR="002A4C6D" w:rsidRPr="002A4C6D" w:rsidRDefault="002A4C6D" w:rsidP="005D06DD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11-2g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63D" w14:textId="77777777" w:rsidR="002A4C6D" w:rsidRPr="002A4C6D" w:rsidRDefault="002A4C6D" w:rsidP="005D06DD">
            <w:pPr>
              <w:pStyle w:val="TAL"/>
              <w:spacing w:before="120"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Number of carriers for CCE/BD scaling with DL CA with mix of Rel. 16 and Rel. 15 PDCCH monitoring capabilities on different carriers with restriction for non-aligned span case</w:t>
            </w:r>
          </w:p>
        </w:tc>
        <w:tc>
          <w:tcPr>
            <w:tcW w:w="3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C56" w14:textId="77777777" w:rsidR="002A4C6D" w:rsidRDefault="002A4C6D" w:rsidP="002A4C6D">
            <w:pPr>
              <w:pStyle w:val="TAL"/>
              <w:numPr>
                <w:ilvl w:val="0"/>
                <w:numId w:val="15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Supported combination(s) of (pdcch-BlindDetectionCA-R15, pdcch-BlindDetectionCA-R16)</w:t>
            </w:r>
          </w:p>
          <w:p w14:paraId="67D5A17A" w14:textId="77777777" w:rsidR="002A4C6D" w:rsidRPr="002A4C6D" w:rsidRDefault="002A4C6D" w:rsidP="002A4C6D">
            <w:pPr>
              <w:numPr>
                <w:ilvl w:val="1"/>
                <w:numId w:val="14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2A4C6D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Candidate values for pdcch-BlindDetectionCA-R15 is 1 to 15</w:t>
            </w:r>
          </w:p>
          <w:p w14:paraId="09A0B50B" w14:textId="77777777" w:rsidR="002A4C6D" w:rsidRPr="002A4C6D" w:rsidRDefault="002A4C6D" w:rsidP="002A4C6D">
            <w:pPr>
              <w:numPr>
                <w:ilvl w:val="1"/>
                <w:numId w:val="14"/>
              </w:numPr>
              <w:spacing w:beforeLines="0" w:before="120" w:afterLines="0" w:after="120" w:line="240" w:lineRule="auto"/>
              <w:jc w:val="left"/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2A4C6D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Candidate values for pdcch-BlindDetectionCA-R16 is 1 to 15</w:t>
            </w:r>
          </w:p>
          <w:p w14:paraId="754E13CD" w14:textId="77777777" w:rsidR="002A4C6D" w:rsidRPr="002A4C6D" w:rsidRDefault="002A4C6D" w:rsidP="002A4C6D">
            <w:pPr>
              <w:pStyle w:val="ListParagraph"/>
              <w:numPr>
                <w:ilvl w:val="0"/>
                <w:numId w:val="15"/>
              </w:numPr>
              <w:spacing w:before="120" w:afterLines="0" w:after="120"/>
              <w:contextualSpacing w:val="0"/>
              <w:jc w:val="left"/>
              <w:rPr>
                <w:rFonts w:asciiTheme="majorHAnsi" w:eastAsia="SimSun" w:hAnsiTheme="majorHAnsi" w:cstheme="majorHAnsi"/>
                <w:sz w:val="18"/>
                <w:szCs w:val="18"/>
                <w:lang w:eastAsia="ja-JP"/>
              </w:rPr>
            </w:pPr>
            <w:r w:rsidRPr="002A4C6D">
              <w:rPr>
                <w:rFonts w:asciiTheme="majorHAnsi" w:eastAsia="SimSun" w:hAnsiTheme="majorHAnsi" w:cstheme="majorHAnsi"/>
                <w:sz w:val="18"/>
                <w:szCs w:val="18"/>
                <w:lang w:eastAsia="ja-JP"/>
              </w:rPr>
              <w:t>UE supports aligned span and non-aligned span</w:t>
            </w:r>
          </w:p>
          <w:p w14:paraId="4F5A9123" w14:textId="77777777" w:rsidR="002A4C6D" w:rsidRPr="002A4C6D" w:rsidRDefault="002A4C6D" w:rsidP="002A4C6D">
            <w:pPr>
              <w:pStyle w:val="TAL"/>
              <w:spacing w:beforeLines="0" w:afterLines="0" w:line="240" w:lineRule="auto"/>
              <w:ind w:left="360" w:hanging="360"/>
              <w:jc w:val="left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2A4C6D">
              <w:rPr>
                <w:rFonts w:asciiTheme="majorHAnsi" w:hAnsiTheme="majorHAnsi" w:cstheme="majorHAnsi"/>
                <w:szCs w:val="18"/>
                <w:lang w:eastAsia="ja-JP"/>
              </w:rPr>
              <w:t>In case of non-aligned span when the configured number of cells with Rel-16 PDCCH monitoring is larger than the UE reported value, PDCCH monitoring occasion(s) should be configured only on same symbol(s) every slot</w:t>
            </w:r>
          </w:p>
        </w:tc>
      </w:tr>
    </w:tbl>
    <w:p w14:paraId="7D9845C9" w14:textId="77777777" w:rsidR="002A4C6D" w:rsidRPr="002A4C6D" w:rsidRDefault="002A4C6D" w:rsidP="009F511B">
      <w:pPr>
        <w:spacing w:beforeLines="0" w:afterLines="100" w:after="240" w:line="240" w:lineRule="auto"/>
        <w:rPr>
          <w:sz w:val="20"/>
        </w:rPr>
      </w:pPr>
    </w:p>
    <w:p w14:paraId="55BA2488" w14:textId="77777777" w:rsidR="002F70F4" w:rsidRDefault="002F70F4" w:rsidP="002F70F4">
      <w:pPr>
        <w:spacing w:beforeLines="0" w:afterLines="100" w:after="240" w:line="240" w:lineRule="auto"/>
        <w:rPr>
          <w:rFonts w:asciiTheme="minorBidi" w:hAnsiTheme="minorBidi" w:cstheme="minorBidi"/>
          <w:kern w:val="0"/>
          <w:sz w:val="20"/>
          <w:lang w:val="en-GB"/>
        </w:rPr>
      </w:pPr>
      <w:r w:rsidRPr="00530EB3">
        <w:rPr>
          <w:rFonts w:asciiTheme="minorBidi" w:hAnsiTheme="minorBidi" w:cstheme="minorBidi"/>
          <w:b/>
          <w:bCs/>
          <w:kern w:val="0"/>
          <w:sz w:val="20"/>
          <w:lang w:val="en-GB"/>
        </w:rPr>
        <w:lastRenderedPageBreak/>
        <w:t>Question</w:t>
      </w:r>
      <w:r>
        <w:rPr>
          <w:b/>
          <w:bCs/>
          <w:sz w:val="20"/>
        </w:rPr>
        <w:t xml:space="preserve"> </w:t>
      </w:r>
      <w:r>
        <w:rPr>
          <w:rFonts w:asciiTheme="minorBidi" w:hAnsiTheme="minorBidi" w:cstheme="minorBidi"/>
          <w:b/>
          <w:bCs/>
          <w:kern w:val="0"/>
          <w:sz w:val="20"/>
          <w:lang w:val="en-GB"/>
        </w:rPr>
        <w:t xml:space="preserve">2 </w:t>
      </w:r>
      <w:r w:rsidRPr="002F70F4">
        <w:rPr>
          <w:rFonts w:asciiTheme="minorBidi" w:hAnsiTheme="minorBidi" w:cstheme="minorBidi"/>
          <w:kern w:val="0"/>
          <w:sz w:val="20"/>
          <w:lang w:val="en-GB"/>
        </w:rPr>
        <w:t>RAN2 would also like to point out that regarding note 3 and note 4, in existing RAN2 specification there is no such restriction that only one of FG 11-2c and FG 11-2g is reported if supported, and no restriction that only one of FG 11-2a and FG 11-2f is reported if supported. To ensure backward compatibility, RAN2 respectively asks RAN1 to clarify how to interpret it if the UE reports both of FG 11-2c and FG 11-2g, or both of FG 11-2a and FG 11-2f?</w:t>
      </w:r>
    </w:p>
    <w:p w14:paraId="611860A0" w14:textId="40642D20" w:rsidR="002F70F4" w:rsidRPr="00325340" w:rsidRDefault="002F70F4" w:rsidP="007213EB">
      <w:pPr>
        <w:overflowPunct w:val="0"/>
        <w:autoSpaceDE w:val="0"/>
        <w:autoSpaceDN w:val="0"/>
        <w:adjustRightInd w:val="0"/>
        <w:spacing w:before="120" w:after="120"/>
        <w:jc w:val="left"/>
        <w:textAlignment w:val="baseline"/>
        <w:rPr>
          <w:rFonts w:asciiTheme="majorBidi" w:hAnsiTheme="majorBidi" w:cstheme="majorBidi"/>
          <w:kern w:val="0"/>
          <w:sz w:val="20"/>
          <w:lang w:val="en-GB"/>
        </w:rPr>
      </w:pP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Answer</w:t>
      </w:r>
      <w:r>
        <w:rPr>
          <w:rFonts w:asciiTheme="minorBidi" w:hAnsiTheme="minorBidi" w:cstheme="minorBidi"/>
          <w:b/>
          <w:bCs/>
          <w:kern w:val="0"/>
          <w:sz w:val="20"/>
          <w:lang w:val="en-GB"/>
        </w:rPr>
        <w:t xml:space="preserve"> 2</w:t>
      </w:r>
      <w:r>
        <w:rPr>
          <w:rFonts w:asciiTheme="minorBidi" w:hAnsiTheme="minorBidi" w:cstheme="minorBidi"/>
          <w:kern w:val="0"/>
          <w:sz w:val="20"/>
          <w:lang w:val="en-GB"/>
        </w:rPr>
        <w:t xml:space="preserve">: </w:t>
      </w:r>
      <w:r w:rsidR="00B90099">
        <w:rPr>
          <w:rFonts w:asciiTheme="minorBidi" w:hAnsiTheme="minorBidi" w:cstheme="minorBidi"/>
          <w:kern w:val="0"/>
          <w:sz w:val="20"/>
          <w:lang w:val="en-GB"/>
        </w:rPr>
        <w:t xml:space="preserve">If UE reports both FG 11-2c and 11-2g or both 11-2a and 11-2f, the report can be interpreted to be the higher capability. How to choose the higher capability between the two needs </w:t>
      </w:r>
      <w:r w:rsidR="007213EB">
        <w:rPr>
          <w:rFonts w:asciiTheme="minorBidi" w:hAnsiTheme="minorBidi" w:cstheme="minorBidi"/>
          <w:kern w:val="0"/>
          <w:sz w:val="20"/>
          <w:lang w:val="en-GB"/>
        </w:rPr>
        <w:t xml:space="preserve">further </w:t>
      </w:r>
      <w:r w:rsidR="00B90099">
        <w:rPr>
          <w:rFonts w:asciiTheme="minorBidi" w:hAnsiTheme="minorBidi" w:cstheme="minorBidi"/>
          <w:kern w:val="0"/>
          <w:sz w:val="20"/>
          <w:lang w:val="en-GB"/>
        </w:rPr>
        <w:t>discuss</w:t>
      </w:r>
      <w:r w:rsidR="007213EB">
        <w:rPr>
          <w:rFonts w:asciiTheme="minorBidi" w:hAnsiTheme="minorBidi" w:cstheme="minorBidi"/>
          <w:kern w:val="0"/>
          <w:sz w:val="20"/>
          <w:lang w:val="en-GB"/>
        </w:rPr>
        <w:t>ion</w:t>
      </w:r>
      <w:r w:rsidR="00B90099">
        <w:rPr>
          <w:rFonts w:asciiTheme="minorBidi" w:hAnsiTheme="minorBidi" w:cstheme="minorBidi"/>
          <w:kern w:val="0"/>
          <w:sz w:val="20"/>
          <w:lang w:val="en-GB"/>
        </w:rPr>
        <w:t>.</w:t>
      </w:r>
      <w:r>
        <w:rPr>
          <w:rFonts w:asciiTheme="minorBidi" w:hAnsiTheme="minorBidi" w:cstheme="minorBidi"/>
          <w:kern w:val="0"/>
          <w:sz w:val="20"/>
          <w:lang w:val="en-GB"/>
        </w:rPr>
        <w:t xml:space="preserve"> </w:t>
      </w:r>
    </w:p>
    <w:p w14:paraId="7F3FD78D" w14:textId="77777777" w:rsidR="00BD452D" w:rsidRPr="007213EB" w:rsidRDefault="00BD452D">
      <w:pPr>
        <w:spacing w:beforeLines="0" w:afterLines="0"/>
        <w:jc w:val="left"/>
        <w:rPr>
          <w:rFonts w:eastAsiaTheme="minorEastAsia"/>
          <w:b/>
          <w:iCs/>
          <w:sz w:val="20"/>
          <w:lang w:val="en-GB"/>
        </w:rPr>
      </w:pPr>
    </w:p>
    <w:p w14:paraId="4F3D3EF9" w14:textId="77777777" w:rsidR="00C93764" w:rsidRPr="00D14450" w:rsidRDefault="005224EB">
      <w:pPr>
        <w:pStyle w:val="Heading1"/>
        <w:spacing w:before="120" w:after="120"/>
        <w:rPr>
          <w:rFonts w:eastAsia="SimSun"/>
        </w:rPr>
      </w:pPr>
      <w:r w:rsidRPr="00D14450">
        <w:rPr>
          <w:rFonts w:eastAsia="SimSun" w:hint="eastAsia"/>
        </w:rPr>
        <w:t>Conclusion</w:t>
      </w:r>
    </w:p>
    <w:p w14:paraId="61B7F52F" w14:textId="4EC7224E" w:rsidR="0027648D" w:rsidRDefault="007213EB" w:rsidP="0027648D">
      <w:pPr>
        <w:spacing w:beforeLines="0" w:afterLines="0"/>
        <w:jc w:val="left"/>
        <w:rPr>
          <w:sz w:val="20"/>
        </w:rPr>
      </w:pPr>
      <w:r>
        <w:rPr>
          <w:sz w:val="20"/>
        </w:rPr>
        <w:t>In conclusion</w:t>
      </w:r>
      <w:r w:rsidR="00782586">
        <w:rPr>
          <w:sz w:val="20"/>
        </w:rPr>
        <w:t>,</w:t>
      </w:r>
      <w:r>
        <w:rPr>
          <w:sz w:val="20"/>
        </w:rPr>
        <w:t xml:space="preserve"> we provide the following answers to the questioned asked in RAN2 LS.</w:t>
      </w:r>
    </w:p>
    <w:p w14:paraId="70E73D4C" w14:textId="77777777" w:rsidR="007213EB" w:rsidRDefault="007213EB" w:rsidP="0078258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Bidi" w:hAnsiTheme="minorBidi" w:cstheme="minorBidi"/>
          <w:kern w:val="0"/>
          <w:sz w:val="20"/>
          <w:lang w:val="en-GB"/>
        </w:rPr>
      </w:pPr>
      <w:r w:rsidRPr="00530EB3">
        <w:rPr>
          <w:rFonts w:asciiTheme="minorBidi" w:hAnsiTheme="minorBidi" w:cstheme="minorBidi"/>
          <w:b/>
          <w:bCs/>
          <w:kern w:val="0"/>
          <w:sz w:val="20"/>
          <w:lang w:val="en-GB"/>
        </w:rPr>
        <w:t>Question</w:t>
      </w:r>
      <w:r>
        <w:rPr>
          <w:b/>
          <w:bCs/>
          <w:sz w:val="20"/>
        </w:rPr>
        <w:t xml:space="preserve"> </w:t>
      </w: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1</w:t>
      </w:r>
      <w:r w:rsidRPr="00325340">
        <w:rPr>
          <w:rFonts w:asciiTheme="minorBidi" w:hAnsiTheme="minorBidi" w:cstheme="minorBidi"/>
          <w:sz w:val="20"/>
        </w:rPr>
        <w:t xml:space="preserve">. </w:t>
      </w:r>
      <w:r w:rsidRPr="00325340">
        <w:rPr>
          <w:rFonts w:asciiTheme="minorBidi" w:hAnsiTheme="minorBidi" w:cstheme="minorBidi"/>
          <w:kern w:val="0"/>
          <w:sz w:val="20"/>
          <w:lang w:val="en-GB" w:eastAsia="en-US"/>
        </w:rPr>
        <w:t>RAN2 defined two separate PDCCH blind detection capabilities for MCG (pdcch-BlindDetectionMCG-UE-Mixed-r16) and SCG (pdcch-BlindDetectionSCG-UE-Mixed-r16). In current RAN2 specification, there is no requirement for UE supporting NR-DC to report the capabilities for both MCG and SCG. RAN2 respectively asks RAN1 to clarify whether the wording above means that UE is required to report both capabilities for MCG</w:t>
      </w:r>
      <w:r w:rsidRPr="00325340">
        <w:rPr>
          <w:rFonts w:asciiTheme="minorBidi" w:hAnsiTheme="minorBidi" w:cstheme="minorBidi"/>
          <w:color w:val="000000" w:themeColor="text1"/>
          <w:kern w:val="0"/>
          <w:sz w:val="20"/>
          <w:lang w:val="en-GB" w:eastAsia="en-US"/>
        </w:rPr>
        <w:t xml:space="preserve"> and SCG? </w:t>
      </w:r>
      <w:r w:rsidRPr="00325340">
        <w:rPr>
          <w:rFonts w:asciiTheme="minorBidi" w:hAnsiTheme="minorBidi" w:cstheme="minorBidi"/>
          <w:kern w:val="0"/>
          <w:sz w:val="20"/>
          <w:lang w:val="en-GB"/>
        </w:rPr>
        <w:t>RAN2 concerns if adding such restriction leads to a non-backward compatible change for Release-16.</w:t>
      </w:r>
    </w:p>
    <w:p w14:paraId="728596FB" w14:textId="77777777" w:rsidR="007213EB" w:rsidRPr="00325340" w:rsidRDefault="007213EB" w:rsidP="0078258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ajorBidi" w:hAnsiTheme="majorBidi" w:cstheme="majorBidi"/>
          <w:kern w:val="0"/>
          <w:sz w:val="20"/>
          <w:lang w:val="en-GB"/>
        </w:rPr>
      </w:pP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Answer</w:t>
      </w:r>
      <w:r>
        <w:rPr>
          <w:rFonts w:asciiTheme="minorBidi" w:hAnsiTheme="minorBidi" w:cstheme="minorBidi"/>
          <w:b/>
          <w:bCs/>
          <w:kern w:val="0"/>
          <w:sz w:val="20"/>
          <w:lang w:val="en-GB"/>
        </w:rPr>
        <w:t xml:space="preserve"> </w:t>
      </w: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1</w:t>
      </w:r>
      <w:r>
        <w:rPr>
          <w:rFonts w:asciiTheme="minorBidi" w:hAnsiTheme="minorBidi" w:cstheme="minorBidi"/>
          <w:kern w:val="0"/>
          <w:sz w:val="20"/>
          <w:lang w:val="en-GB"/>
        </w:rPr>
        <w:t xml:space="preserve">: In our understanding UE is not required to report the capabilities for both MCG and SCG. If the capability is not reported for a CG, then there is no explicit maximum supported values of </w:t>
      </w:r>
      <w:r>
        <w:rPr>
          <w:i/>
          <w:iCs/>
          <w:lang w:eastAsia="ja-JP"/>
        </w:rPr>
        <w:t>pdcch-BlindDetection3 or pdcch-BlindDetection2</w:t>
      </w:r>
      <w:r>
        <w:rPr>
          <w:rFonts w:asciiTheme="minorBidi" w:hAnsiTheme="minorBidi" w:cstheme="minorBidi"/>
          <w:kern w:val="0"/>
          <w:sz w:val="20"/>
          <w:lang w:val="en-GB"/>
        </w:rPr>
        <w:t xml:space="preserve"> for the CG. </w:t>
      </w:r>
    </w:p>
    <w:p w14:paraId="450D219B" w14:textId="77777777" w:rsidR="007213EB" w:rsidRDefault="007213EB" w:rsidP="0027648D">
      <w:pPr>
        <w:spacing w:beforeLines="0" w:afterLines="0"/>
        <w:jc w:val="left"/>
        <w:rPr>
          <w:sz w:val="20"/>
          <w:lang w:val="en-GB"/>
        </w:rPr>
      </w:pPr>
    </w:p>
    <w:p w14:paraId="1EFD7FBD" w14:textId="77777777" w:rsidR="007213EB" w:rsidRDefault="007213EB" w:rsidP="00782586">
      <w:pPr>
        <w:spacing w:beforeLines="0" w:afterLines="100" w:after="240" w:line="240" w:lineRule="auto"/>
        <w:rPr>
          <w:rFonts w:asciiTheme="minorBidi" w:hAnsiTheme="minorBidi" w:cstheme="minorBidi"/>
          <w:kern w:val="0"/>
          <w:sz w:val="20"/>
          <w:lang w:val="en-GB"/>
        </w:rPr>
      </w:pPr>
      <w:r w:rsidRPr="00530EB3">
        <w:rPr>
          <w:rFonts w:asciiTheme="minorBidi" w:hAnsiTheme="minorBidi" w:cstheme="minorBidi"/>
          <w:b/>
          <w:bCs/>
          <w:kern w:val="0"/>
          <w:sz w:val="20"/>
          <w:lang w:val="en-GB"/>
        </w:rPr>
        <w:t>Question</w:t>
      </w:r>
      <w:r>
        <w:rPr>
          <w:b/>
          <w:bCs/>
          <w:sz w:val="20"/>
        </w:rPr>
        <w:t xml:space="preserve"> </w:t>
      </w:r>
      <w:r>
        <w:rPr>
          <w:rFonts w:asciiTheme="minorBidi" w:hAnsiTheme="minorBidi" w:cstheme="minorBidi"/>
          <w:b/>
          <w:bCs/>
          <w:kern w:val="0"/>
          <w:sz w:val="20"/>
          <w:lang w:val="en-GB"/>
        </w:rPr>
        <w:t xml:space="preserve">2 </w:t>
      </w:r>
      <w:r w:rsidRPr="002F70F4">
        <w:rPr>
          <w:rFonts w:asciiTheme="minorBidi" w:hAnsiTheme="minorBidi" w:cstheme="minorBidi"/>
          <w:kern w:val="0"/>
          <w:sz w:val="20"/>
          <w:lang w:val="en-GB"/>
        </w:rPr>
        <w:t>RAN2 would also like to point out that regarding note 3 and note 4, in existing RAN2 specification there is no such restriction that only one of FG 11-2c and FG 11-2g is reported if supported, and no restriction that only one of FG 11-2a and FG 11-2f is reported if supported. To ensure backward compatibility, RAN2 respectively asks RAN1 to clarify how to interpret it if the UE reports both of FG 11-2c and FG 11-2g, or both of FG 11-2a and FG 11-2f?</w:t>
      </w:r>
    </w:p>
    <w:p w14:paraId="7E1A3233" w14:textId="77777777" w:rsidR="007213EB" w:rsidRPr="00325340" w:rsidRDefault="007213EB" w:rsidP="00782586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ajorBidi" w:hAnsiTheme="majorBidi" w:cstheme="majorBidi"/>
          <w:kern w:val="0"/>
          <w:sz w:val="20"/>
          <w:lang w:val="en-GB"/>
        </w:rPr>
      </w:pPr>
      <w:r w:rsidRPr="00167140">
        <w:rPr>
          <w:rFonts w:asciiTheme="minorBidi" w:hAnsiTheme="minorBidi" w:cstheme="minorBidi"/>
          <w:b/>
          <w:bCs/>
          <w:kern w:val="0"/>
          <w:sz w:val="20"/>
          <w:lang w:val="en-GB"/>
        </w:rPr>
        <w:t>Answer</w:t>
      </w:r>
      <w:r>
        <w:rPr>
          <w:rFonts w:asciiTheme="minorBidi" w:hAnsiTheme="minorBidi" w:cstheme="minorBidi"/>
          <w:b/>
          <w:bCs/>
          <w:kern w:val="0"/>
          <w:sz w:val="20"/>
          <w:lang w:val="en-GB"/>
        </w:rPr>
        <w:t xml:space="preserve"> 2</w:t>
      </w:r>
      <w:r>
        <w:rPr>
          <w:rFonts w:asciiTheme="minorBidi" w:hAnsiTheme="minorBidi" w:cstheme="minorBidi"/>
          <w:kern w:val="0"/>
          <w:sz w:val="20"/>
          <w:lang w:val="en-GB"/>
        </w:rPr>
        <w:t xml:space="preserve">: If UE reports both FG 11-2c and 11-2g or both 11-2a and 11-2f, the report can be interpreted to be the higher capability. How to choose the higher capability between the two needs further discussion. </w:t>
      </w:r>
    </w:p>
    <w:p w14:paraId="2978EBDE" w14:textId="77777777" w:rsidR="007213EB" w:rsidRPr="007213EB" w:rsidRDefault="007213EB" w:rsidP="0027648D">
      <w:pPr>
        <w:spacing w:beforeLines="0" w:afterLines="0"/>
        <w:jc w:val="left"/>
        <w:rPr>
          <w:sz w:val="20"/>
          <w:lang w:val="en-GB"/>
        </w:rPr>
      </w:pPr>
    </w:p>
    <w:p w14:paraId="23CF0DDA" w14:textId="77777777" w:rsidR="007213EB" w:rsidRDefault="007213EB" w:rsidP="0027648D">
      <w:pPr>
        <w:spacing w:beforeLines="0" w:afterLines="0"/>
        <w:jc w:val="left"/>
        <w:rPr>
          <w:sz w:val="20"/>
        </w:rPr>
      </w:pPr>
    </w:p>
    <w:p w14:paraId="5953362A" w14:textId="77777777" w:rsidR="007213EB" w:rsidRDefault="007213EB" w:rsidP="0027648D">
      <w:pPr>
        <w:spacing w:beforeLines="0" w:afterLines="0"/>
        <w:jc w:val="left"/>
        <w:rPr>
          <w:rFonts w:eastAsiaTheme="minorEastAsia"/>
          <w:b/>
          <w:i/>
          <w:sz w:val="20"/>
        </w:rPr>
      </w:pPr>
    </w:p>
    <w:p w14:paraId="6945EB75" w14:textId="77777777" w:rsidR="00C93764" w:rsidRDefault="005224EB">
      <w:pPr>
        <w:pStyle w:val="Heading1"/>
        <w:spacing w:before="120" w:after="12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14:paraId="3A66CA1C" w14:textId="1546301D" w:rsidR="00C93764" w:rsidRPr="002B2458" w:rsidRDefault="008D2AF8" w:rsidP="009A4ACB">
      <w:pPr>
        <w:widowControl w:val="0"/>
        <w:snapToGrid w:val="0"/>
        <w:spacing w:before="120" w:after="120"/>
        <w:ind w:left="360"/>
        <w:rPr>
          <w:sz w:val="20"/>
          <w:szCs w:val="22"/>
        </w:rPr>
      </w:pPr>
      <w:bookmarkStart w:id="1" w:name="_Ref17466"/>
      <w:r w:rsidRPr="002B2458">
        <w:rPr>
          <w:rFonts w:hint="eastAsia"/>
          <w:sz w:val="20"/>
        </w:rPr>
        <w:t>R1-</w:t>
      </w:r>
      <w:r w:rsidRPr="002B2458">
        <w:rPr>
          <w:sz w:val="20"/>
        </w:rPr>
        <w:t>2</w:t>
      </w:r>
      <w:r w:rsidR="009A4ACB">
        <w:rPr>
          <w:sz w:val="20"/>
        </w:rPr>
        <w:t>203045</w:t>
      </w:r>
      <w:r w:rsidRPr="002B2458">
        <w:rPr>
          <w:rFonts w:hint="eastAsia"/>
          <w:sz w:val="20"/>
        </w:rPr>
        <w:t>(R2-</w:t>
      </w:r>
      <w:r w:rsidR="009A4ACB">
        <w:rPr>
          <w:sz w:val="20"/>
        </w:rPr>
        <w:t>2204055</w:t>
      </w:r>
      <w:r w:rsidRPr="002B2458">
        <w:rPr>
          <w:rFonts w:hint="eastAsia"/>
          <w:sz w:val="20"/>
        </w:rPr>
        <w:t>)</w:t>
      </w:r>
      <w:r w:rsidR="005224EB" w:rsidRPr="002B2458">
        <w:rPr>
          <w:rFonts w:hint="eastAsia"/>
          <w:sz w:val="20"/>
          <w:szCs w:val="22"/>
        </w:rPr>
        <w:t xml:space="preserve">, </w:t>
      </w:r>
      <w:r w:rsidR="009A4ACB">
        <w:rPr>
          <w:sz w:val="20"/>
          <w:szCs w:val="22"/>
        </w:rPr>
        <w:t xml:space="preserve">Reply </w:t>
      </w:r>
      <w:r w:rsidR="005224EB" w:rsidRPr="002B2458">
        <w:rPr>
          <w:rFonts w:hint="eastAsia"/>
          <w:sz w:val="20"/>
          <w:szCs w:val="22"/>
        </w:rPr>
        <w:t xml:space="preserve">LS </w:t>
      </w:r>
      <w:r w:rsidR="009A4ACB">
        <w:rPr>
          <w:sz w:val="20"/>
          <w:szCs w:val="22"/>
        </w:rPr>
        <w:t xml:space="preserve">to RAN1 </w:t>
      </w:r>
      <w:r w:rsidR="005224EB" w:rsidRPr="002B2458">
        <w:rPr>
          <w:rFonts w:hint="eastAsia"/>
          <w:sz w:val="20"/>
          <w:szCs w:val="22"/>
        </w:rPr>
        <w:t>on</w:t>
      </w:r>
      <w:r w:rsidRPr="002B2458">
        <w:rPr>
          <w:sz w:val="20"/>
          <w:szCs w:val="22"/>
        </w:rPr>
        <w:t xml:space="preserve"> Blind Detection in CA</w:t>
      </w:r>
      <w:r w:rsidR="005224EB" w:rsidRPr="002B2458">
        <w:rPr>
          <w:rFonts w:hint="eastAsia"/>
          <w:sz w:val="20"/>
          <w:szCs w:val="22"/>
        </w:rPr>
        <w:t>, RAN2.</w:t>
      </w:r>
      <w:bookmarkEnd w:id="1"/>
    </w:p>
    <w:sectPr w:rsidR="00C93764" w:rsidRPr="002B2458" w:rsidSect="00C937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DBFB83" w14:textId="77777777" w:rsidR="0048340B" w:rsidRDefault="0048340B" w:rsidP="00614937">
      <w:pPr>
        <w:spacing w:before="120" w:after="120" w:line="240" w:lineRule="auto"/>
      </w:pPr>
      <w:r>
        <w:separator/>
      </w:r>
    </w:p>
  </w:endnote>
  <w:endnote w:type="continuationSeparator" w:id="0">
    <w:p w14:paraId="06E18E33" w14:textId="77777777" w:rsidR="0048340B" w:rsidRDefault="0048340B" w:rsidP="00614937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D2724" w14:textId="77777777" w:rsidR="00C93764" w:rsidRDefault="00C93764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25316"/>
    </w:sdtPr>
    <w:sdtEndPr/>
    <w:sdtContent>
      <w:p w14:paraId="1FA0A0F2" w14:textId="77777777" w:rsidR="00C93764" w:rsidRDefault="00C93764">
        <w:pPr>
          <w:pStyle w:val="Footer"/>
          <w:spacing w:before="120" w:after="120"/>
          <w:jc w:val="center"/>
        </w:pPr>
        <w:r>
          <w:fldChar w:fldCharType="begin"/>
        </w:r>
        <w:r w:rsidR="005224EB">
          <w:instrText xml:space="preserve"> PAGE   \* MERGEFORMAT </w:instrText>
        </w:r>
        <w:r>
          <w:fldChar w:fldCharType="separate"/>
        </w:r>
        <w:r w:rsidR="00690FAB">
          <w:rPr>
            <w:noProof/>
          </w:rPr>
          <w:t>4</w:t>
        </w:r>
        <w:r>
          <w:fldChar w:fldCharType="end"/>
        </w:r>
      </w:p>
    </w:sdtContent>
  </w:sdt>
  <w:p w14:paraId="704B2879" w14:textId="77777777" w:rsidR="00C93764" w:rsidRDefault="00C93764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84740" w14:textId="77777777" w:rsidR="00C93764" w:rsidRDefault="00C93764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3DDE3" w14:textId="77777777" w:rsidR="0048340B" w:rsidRDefault="0048340B" w:rsidP="00614937">
      <w:pPr>
        <w:spacing w:before="120" w:after="120" w:line="240" w:lineRule="auto"/>
      </w:pPr>
      <w:r>
        <w:separator/>
      </w:r>
    </w:p>
  </w:footnote>
  <w:footnote w:type="continuationSeparator" w:id="0">
    <w:p w14:paraId="4A1BD155" w14:textId="77777777" w:rsidR="0048340B" w:rsidRDefault="0048340B" w:rsidP="00614937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93A52" w14:textId="77777777" w:rsidR="00C93764" w:rsidRDefault="00C93764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10BAD" w14:textId="77777777" w:rsidR="00C93764" w:rsidRDefault="00C93764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10D9D" w14:textId="77777777" w:rsidR="00C93764" w:rsidRDefault="00C93764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1AEE651B"/>
    <w:multiLevelType w:val="hybridMultilevel"/>
    <w:tmpl w:val="C2BC2EC4"/>
    <w:lvl w:ilvl="0" w:tplc="B734F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5" w15:restartNumberingAfterBreak="0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E101B10"/>
    <w:multiLevelType w:val="hybridMultilevel"/>
    <w:tmpl w:val="DA9AF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944C1"/>
    <w:multiLevelType w:val="multilevel"/>
    <w:tmpl w:val="48E944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89714E"/>
    <w:multiLevelType w:val="hybridMultilevel"/>
    <w:tmpl w:val="D87C8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75672C"/>
    <w:multiLevelType w:val="hybridMultilevel"/>
    <w:tmpl w:val="995E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54C41"/>
    <w:multiLevelType w:val="multilevel"/>
    <w:tmpl w:val="64154C41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BC76E6"/>
    <w:multiLevelType w:val="multilevel"/>
    <w:tmpl w:val="2E48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712E8B"/>
    <w:multiLevelType w:val="hybridMultilevel"/>
    <w:tmpl w:val="E1422C46"/>
    <w:lvl w:ilvl="0" w:tplc="C268991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B46121F"/>
    <w:multiLevelType w:val="multilevel"/>
    <w:tmpl w:val="0CCA5AF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1"/>
  </w:num>
  <w:num w:numId="7">
    <w:abstractNumId w:val="3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13"/>
  </w:num>
  <w:num w:numId="13">
    <w:abstractNumId w:val="2"/>
  </w:num>
  <w:num w:numId="14">
    <w:abstractNumId w:val="8"/>
    <w:lvlOverride w:ilvl="0">
      <w:startOverride w:val="1"/>
    </w:lvlOverride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9BD"/>
    <w:rsid w:val="0001060B"/>
    <w:rsid w:val="0003031E"/>
    <w:rsid w:val="00031575"/>
    <w:rsid w:val="000635A9"/>
    <w:rsid w:val="00063648"/>
    <w:rsid w:val="00063A9C"/>
    <w:rsid w:val="00064696"/>
    <w:rsid w:val="00073CCE"/>
    <w:rsid w:val="00073EEA"/>
    <w:rsid w:val="000906FF"/>
    <w:rsid w:val="00090806"/>
    <w:rsid w:val="00090F06"/>
    <w:rsid w:val="000A1228"/>
    <w:rsid w:val="000B136A"/>
    <w:rsid w:val="000B51DB"/>
    <w:rsid w:val="000B70A0"/>
    <w:rsid w:val="000C02BB"/>
    <w:rsid w:val="000C5AC6"/>
    <w:rsid w:val="000D0AC1"/>
    <w:rsid w:val="000D0B58"/>
    <w:rsid w:val="000D13F6"/>
    <w:rsid w:val="000E36A2"/>
    <w:rsid w:val="000F2537"/>
    <w:rsid w:val="000F28E8"/>
    <w:rsid w:val="00107394"/>
    <w:rsid w:val="001126B1"/>
    <w:rsid w:val="001175DC"/>
    <w:rsid w:val="00131323"/>
    <w:rsid w:val="0013351F"/>
    <w:rsid w:val="00151F3C"/>
    <w:rsid w:val="001653DB"/>
    <w:rsid w:val="00167140"/>
    <w:rsid w:val="00172A27"/>
    <w:rsid w:val="00177A1F"/>
    <w:rsid w:val="00195929"/>
    <w:rsid w:val="001A2437"/>
    <w:rsid w:val="001A5CC2"/>
    <w:rsid w:val="001C78AF"/>
    <w:rsid w:val="001D0913"/>
    <w:rsid w:val="001D2EB1"/>
    <w:rsid w:val="001E2AF0"/>
    <w:rsid w:val="001E3F97"/>
    <w:rsid w:val="001F760F"/>
    <w:rsid w:val="002046E1"/>
    <w:rsid w:val="002241D4"/>
    <w:rsid w:val="00252D19"/>
    <w:rsid w:val="002639BE"/>
    <w:rsid w:val="0027648D"/>
    <w:rsid w:val="002804DA"/>
    <w:rsid w:val="0028365A"/>
    <w:rsid w:val="00284AAD"/>
    <w:rsid w:val="002A4C6D"/>
    <w:rsid w:val="002B1235"/>
    <w:rsid w:val="002B2458"/>
    <w:rsid w:val="002B7F12"/>
    <w:rsid w:val="002E54C3"/>
    <w:rsid w:val="002F111A"/>
    <w:rsid w:val="002F70F4"/>
    <w:rsid w:val="003040CB"/>
    <w:rsid w:val="00313BBB"/>
    <w:rsid w:val="00323BC3"/>
    <w:rsid w:val="00324423"/>
    <w:rsid w:val="00325340"/>
    <w:rsid w:val="003543F7"/>
    <w:rsid w:val="0035697D"/>
    <w:rsid w:val="003577C9"/>
    <w:rsid w:val="00361091"/>
    <w:rsid w:val="00363A2C"/>
    <w:rsid w:val="00376428"/>
    <w:rsid w:val="0039083B"/>
    <w:rsid w:val="003A4881"/>
    <w:rsid w:val="003A5F3F"/>
    <w:rsid w:val="003B6E7F"/>
    <w:rsid w:val="003F2E37"/>
    <w:rsid w:val="003F6737"/>
    <w:rsid w:val="00415B13"/>
    <w:rsid w:val="00437DCC"/>
    <w:rsid w:val="0044683C"/>
    <w:rsid w:val="00461075"/>
    <w:rsid w:val="0047490E"/>
    <w:rsid w:val="00475225"/>
    <w:rsid w:val="0048340B"/>
    <w:rsid w:val="0048433E"/>
    <w:rsid w:val="00484948"/>
    <w:rsid w:val="00493DCD"/>
    <w:rsid w:val="004C0FB5"/>
    <w:rsid w:val="004C6252"/>
    <w:rsid w:val="004E6C2C"/>
    <w:rsid w:val="0050209B"/>
    <w:rsid w:val="00502BDC"/>
    <w:rsid w:val="005224EB"/>
    <w:rsid w:val="00530EB3"/>
    <w:rsid w:val="00534332"/>
    <w:rsid w:val="00534AAA"/>
    <w:rsid w:val="00545C31"/>
    <w:rsid w:val="005700BD"/>
    <w:rsid w:val="005728E7"/>
    <w:rsid w:val="0058043F"/>
    <w:rsid w:val="005A3FCE"/>
    <w:rsid w:val="005B065E"/>
    <w:rsid w:val="005D2633"/>
    <w:rsid w:val="00614937"/>
    <w:rsid w:val="00617398"/>
    <w:rsid w:val="00653293"/>
    <w:rsid w:val="006649CA"/>
    <w:rsid w:val="00690FAB"/>
    <w:rsid w:val="006917E5"/>
    <w:rsid w:val="00693244"/>
    <w:rsid w:val="00693C4E"/>
    <w:rsid w:val="006A0326"/>
    <w:rsid w:val="006A0F71"/>
    <w:rsid w:val="006B1693"/>
    <w:rsid w:val="006C6155"/>
    <w:rsid w:val="006D7639"/>
    <w:rsid w:val="006E33D4"/>
    <w:rsid w:val="006E49E2"/>
    <w:rsid w:val="006E5395"/>
    <w:rsid w:val="00703D6A"/>
    <w:rsid w:val="007213EB"/>
    <w:rsid w:val="00724BF3"/>
    <w:rsid w:val="00724CB4"/>
    <w:rsid w:val="00750154"/>
    <w:rsid w:val="00751072"/>
    <w:rsid w:val="0076329C"/>
    <w:rsid w:val="0077195B"/>
    <w:rsid w:val="00782586"/>
    <w:rsid w:val="00797F09"/>
    <w:rsid w:val="007B708A"/>
    <w:rsid w:val="007D099D"/>
    <w:rsid w:val="007D0FE8"/>
    <w:rsid w:val="007D3CD0"/>
    <w:rsid w:val="007D484D"/>
    <w:rsid w:val="007D4F7B"/>
    <w:rsid w:val="007D653E"/>
    <w:rsid w:val="007E6EF1"/>
    <w:rsid w:val="007F5083"/>
    <w:rsid w:val="007F5E70"/>
    <w:rsid w:val="008052E8"/>
    <w:rsid w:val="00824FF1"/>
    <w:rsid w:val="008338B3"/>
    <w:rsid w:val="00836DD7"/>
    <w:rsid w:val="00851D75"/>
    <w:rsid w:val="00862778"/>
    <w:rsid w:val="00874B00"/>
    <w:rsid w:val="0088291C"/>
    <w:rsid w:val="00882F32"/>
    <w:rsid w:val="00892B4D"/>
    <w:rsid w:val="008A4814"/>
    <w:rsid w:val="008A657C"/>
    <w:rsid w:val="008D2AF8"/>
    <w:rsid w:val="008F1090"/>
    <w:rsid w:val="00900823"/>
    <w:rsid w:val="00903589"/>
    <w:rsid w:val="00905982"/>
    <w:rsid w:val="00905AB7"/>
    <w:rsid w:val="00915182"/>
    <w:rsid w:val="009307D3"/>
    <w:rsid w:val="009313F9"/>
    <w:rsid w:val="00951001"/>
    <w:rsid w:val="0096044C"/>
    <w:rsid w:val="009A4ACB"/>
    <w:rsid w:val="009B5B25"/>
    <w:rsid w:val="009D5316"/>
    <w:rsid w:val="009F511B"/>
    <w:rsid w:val="00A01D4D"/>
    <w:rsid w:val="00A11F6C"/>
    <w:rsid w:val="00A16738"/>
    <w:rsid w:val="00A37264"/>
    <w:rsid w:val="00A37C0A"/>
    <w:rsid w:val="00A43275"/>
    <w:rsid w:val="00A43FD0"/>
    <w:rsid w:val="00A56B32"/>
    <w:rsid w:val="00A57A6C"/>
    <w:rsid w:val="00A60FB4"/>
    <w:rsid w:val="00A675C8"/>
    <w:rsid w:val="00A72B51"/>
    <w:rsid w:val="00A771B5"/>
    <w:rsid w:val="00AA67A4"/>
    <w:rsid w:val="00AC1721"/>
    <w:rsid w:val="00AE0DD1"/>
    <w:rsid w:val="00AE2E24"/>
    <w:rsid w:val="00B22ED6"/>
    <w:rsid w:val="00B300D8"/>
    <w:rsid w:val="00B347B3"/>
    <w:rsid w:val="00B34D40"/>
    <w:rsid w:val="00B67DA8"/>
    <w:rsid w:val="00B72D86"/>
    <w:rsid w:val="00B844A6"/>
    <w:rsid w:val="00B84DB6"/>
    <w:rsid w:val="00B90099"/>
    <w:rsid w:val="00B9151A"/>
    <w:rsid w:val="00BA0337"/>
    <w:rsid w:val="00BA61AE"/>
    <w:rsid w:val="00BA760E"/>
    <w:rsid w:val="00BC62EA"/>
    <w:rsid w:val="00BD452D"/>
    <w:rsid w:val="00BE2B76"/>
    <w:rsid w:val="00BF6BF0"/>
    <w:rsid w:val="00C06613"/>
    <w:rsid w:val="00C0766C"/>
    <w:rsid w:val="00C12B2D"/>
    <w:rsid w:val="00C24898"/>
    <w:rsid w:val="00C31AC2"/>
    <w:rsid w:val="00C6458C"/>
    <w:rsid w:val="00C76D2D"/>
    <w:rsid w:val="00C93764"/>
    <w:rsid w:val="00C93D2C"/>
    <w:rsid w:val="00CA6D19"/>
    <w:rsid w:val="00CB1E09"/>
    <w:rsid w:val="00CB7E2C"/>
    <w:rsid w:val="00CE01E6"/>
    <w:rsid w:val="00CF36B9"/>
    <w:rsid w:val="00CF6EFE"/>
    <w:rsid w:val="00CF71E4"/>
    <w:rsid w:val="00D1155E"/>
    <w:rsid w:val="00D14450"/>
    <w:rsid w:val="00D2050A"/>
    <w:rsid w:val="00D471FF"/>
    <w:rsid w:val="00D77BE1"/>
    <w:rsid w:val="00D87FBB"/>
    <w:rsid w:val="00D92C30"/>
    <w:rsid w:val="00D967C2"/>
    <w:rsid w:val="00DA10F9"/>
    <w:rsid w:val="00DB3CBC"/>
    <w:rsid w:val="00DE40C8"/>
    <w:rsid w:val="00DF426C"/>
    <w:rsid w:val="00E10D97"/>
    <w:rsid w:val="00E306E7"/>
    <w:rsid w:val="00E30F56"/>
    <w:rsid w:val="00E3426B"/>
    <w:rsid w:val="00E81F53"/>
    <w:rsid w:val="00E90250"/>
    <w:rsid w:val="00E94C3F"/>
    <w:rsid w:val="00EA0D7F"/>
    <w:rsid w:val="00EA1625"/>
    <w:rsid w:val="00EB0C17"/>
    <w:rsid w:val="00EB449B"/>
    <w:rsid w:val="00EB7155"/>
    <w:rsid w:val="00ED5E54"/>
    <w:rsid w:val="00F046CC"/>
    <w:rsid w:val="00F04A09"/>
    <w:rsid w:val="00F21117"/>
    <w:rsid w:val="00F265A9"/>
    <w:rsid w:val="00F339D9"/>
    <w:rsid w:val="00F43963"/>
    <w:rsid w:val="00F44C2E"/>
    <w:rsid w:val="00F64411"/>
    <w:rsid w:val="00F724A5"/>
    <w:rsid w:val="00F74701"/>
    <w:rsid w:val="00F90127"/>
    <w:rsid w:val="00FA1DF7"/>
    <w:rsid w:val="00FA3922"/>
    <w:rsid w:val="00FB2D1B"/>
    <w:rsid w:val="00FB798E"/>
    <w:rsid w:val="00FD161C"/>
    <w:rsid w:val="010815F7"/>
    <w:rsid w:val="0136391B"/>
    <w:rsid w:val="01415422"/>
    <w:rsid w:val="015C6038"/>
    <w:rsid w:val="01764F01"/>
    <w:rsid w:val="01985826"/>
    <w:rsid w:val="01995F56"/>
    <w:rsid w:val="01A26FB7"/>
    <w:rsid w:val="01B37B77"/>
    <w:rsid w:val="01E35463"/>
    <w:rsid w:val="0219662F"/>
    <w:rsid w:val="021A50DE"/>
    <w:rsid w:val="02213A01"/>
    <w:rsid w:val="024D6B6A"/>
    <w:rsid w:val="025F6F73"/>
    <w:rsid w:val="027B320F"/>
    <w:rsid w:val="029B04E7"/>
    <w:rsid w:val="02C33A5D"/>
    <w:rsid w:val="02D31073"/>
    <w:rsid w:val="02E52B54"/>
    <w:rsid w:val="03073BDC"/>
    <w:rsid w:val="03337158"/>
    <w:rsid w:val="033415AD"/>
    <w:rsid w:val="034C0DAC"/>
    <w:rsid w:val="035119DB"/>
    <w:rsid w:val="039255BC"/>
    <w:rsid w:val="03A23370"/>
    <w:rsid w:val="03A571FD"/>
    <w:rsid w:val="03D8045E"/>
    <w:rsid w:val="03D9205C"/>
    <w:rsid w:val="04090E78"/>
    <w:rsid w:val="04101C8A"/>
    <w:rsid w:val="0426573F"/>
    <w:rsid w:val="04371720"/>
    <w:rsid w:val="046A6128"/>
    <w:rsid w:val="05173F03"/>
    <w:rsid w:val="05436F94"/>
    <w:rsid w:val="055156D0"/>
    <w:rsid w:val="0555228E"/>
    <w:rsid w:val="057C67C5"/>
    <w:rsid w:val="05A77897"/>
    <w:rsid w:val="05CB01BD"/>
    <w:rsid w:val="05E078B3"/>
    <w:rsid w:val="05EF7864"/>
    <w:rsid w:val="0626633F"/>
    <w:rsid w:val="06403BDD"/>
    <w:rsid w:val="066D4CAA"/>
    <w:rsid w:val="072451EE"/>
    <w:rsid w:val="07612CE5"/>
    <w:rsid w:val="076B5279"/>
    <w:rsid w:val="07782CC3"/>
    <w:rsid w:val="077D0583"/>
    <w:rsid w:val="07BA79C5"/>
    <w:rsid w:val="07C21A83"/>
    <w:rsid w:val="07CD7FFF"/>
    <w:rsid w:val="08010EE0"/>
    <w:rsid w:val="080F2C8A"/>
    <w:rsid w:val="08256511"/>
    <w:rsid w:val="082A352F"/>
    <w:rsid w:val="08482B83"/>
    <w:rsid w:val="08891EDC"/>
    <w:rsid w:val="08B871E6"/>
    <w:rsid w:val="08D82235"/>
    <w:rsid w:val="08E67840"/>
    <w:rsid w:val="08F833BE"/>
    <w:rsid w:val="08FE2EE2"/>
    <w:rsid w:val="0920787B"/>
    <w:rsid w:val="09910A80"/>
    <w:rsid w:val="09B70218"/>
    <w:rsid w:val="09B85D2F"/>
    <w:rsid w:val="09E66949"/>
    <w:rsid w:val="09F67CD5"/>
    <w:rsid w:val="09F84337"/>
    <w:rsid w:val="0A074246"/>
    <w:rsid w:val="0A0B7EA8"/>
    <w:rsid w:val="0A32643C"/>
    <w:rsid w:val="0A395040"/>
    <w:rsid w:val="0A604507"/>
    <w:rsid w:val="0A7403AD"/>
    <w:rsid w:val="0AA76EC6"/>
    <w:rsid w:val="0AC310AE"/>
    <w:rsid w:val="0AF53788"/>
    <w:rsid w:val="0AFD671A"/>
    <w:rsid w:val="0B0565CA"/>
    <w:rsid w:val="0B5A12D7"/>
    <w:rsid w:val="0B7C73E1"/>
    <w:rsid w:val="0B9E71DF"/>
    <w:rsid w:val="0BEF7A7C"/>
    <w:rsid w:val="0C080A80"/>
    <w:rsid w:val="0C0A15BD"/>
    <w:rsid w:val="0C2327C2"/>
    <w:rsid w:val="0C5D0766"/>
    <w:rsid w:val="0C8430EB"/>
    <w:rsid w:val="0CA374C0"/>
    <w:rsid w:val="0CAA55C7"/>
    <w:rsid w:val="0CF72605"/>
    <w:rsid w:val="0D0B641D"/>
    <w:rsid w:val="0D3E3903"/>
    <w:rsid w:val="0D692AE3"/>
    <w:rsid w:val="0D831114"/>
    <w:rsid w:val="0E3D059D"/>
    <w:rsid w:val="0E665AE6"/>
    <w:rsid w:val="0EC15100"/>
    <w:rsid w:val="0EFE7C55"/>
    <w:rsid w:val="0F476C8A"/>
    <w:rsid w:val="0F5D04D8"/>
    <w:rsid w:val="0FE40E07"/>
    <w:rsid w:val="0FE66CDB"/>
    <w:rsid w:val="0FFC0031"/>
    <w:rsid w:val="100A1D1A"/>
    <w:rsid w:val="10A50104"/>
    <w:rsid w:val="10C12078"/>
    <w:rsid w:val="10D506FF"/>
    <w:rsid w:val="10DE08C5"/>
    <w:rsid w:val="10E304EE"/>
    <w:rsid w:val="118C7CE4"/>
    <w:rsid w:val="119D7849"/>
    <w:rsid w:val="11D3070D"/>
    <w:rsid w:val="12114809"/>
    <w:rsid w:val="12483C4B"/>
    <w:rsid w:val="124A4EC4"/>
    <w:rsid w:val="12565D72"/>
    <w:rsid w:val="12A47B4E"/>
    <w:rsid w:val="12B75FFE"/>
    <w:rsid w:val="12C878FE"/>
    <w:rsid w:val="12DE359D"/>
    <w:rsid w:val="12FA6450"/>
    <w:rsid w:val="12FB2DD3"/>
    <w:rsid w:val="13185389"/>
    <w:rsid w:val="131D55A5"/>
    <w:rsid w:val="13481A16"/>
    <w:rsid w:val="1354541C"/>
    <w:rsid w:val="136C7425"/>
    <w:rsid w:val="13BA118D"/>
    <w:rsid w:val="13CA595A"/>
    <w:rsid w:val="13CC3BA1"/>
    <w:rsid w:val="13FE151E"/>
    <w:rsid w:val="142115F4"/>
    <w:rsid w:val="144C3434"/>
    <w:rsid w:val="146017B5"/>
    <w:rsid w:val="149112CD"/>
    <w:rsid w:val="14B21339"/>
    <w:rsid w:val="14C06758"/>
    <w:rsid w:val="14D36FDC"/>
    <w:rsid w:val="14DA3DA1"/>
    <w:rsid w:val="14E20458"/>
    <w:rsid w:val="15317592"/>
    <w:rsid w:val="153C18BB"/>
    <w:rsid w:val="153D0D44"/>
    <w:rsid w:val="154D7E15"/>
    <w:rsid w:val="15B232A4"/>
    <w:rsid w:val="15C30A81"/>
    <w:rsid w:val="15C3343B"/>
    <w:rsid w:val="15EB2DDC"/>
    <w:rsid w:val="160C36EF"/>
    <w:rsid w:val="16894F77"/>
    <w:rsid w:val="16C5338C"/>
    <w:rsid w:val="16C8152C"/>
    <w:rsid w:val="16D04C14"/>
    <w:rsid w:val="17155857"/>
    <w:rsid w:val="173A061F"/>
    <w:rsid w:val="177D44CE"/>
    <w:rsid w:val="177F599E"/>
    <w:rsid w:val="1790184A"/>
    <w:rsid w:val="17AB3717"/>
    <w:rsid w:val="17BC31C0"/>
    <w:rsid w:val="17D40569"/>
    <w:rsid w:val="18061537"/>
    <w:rsid w:val="180F06FB"/>
    <w:rsid w:val="184934F7"/>
    <w:rsid w:val="187E21BC"/>
    <w:rsid w:val="188F0AC5"/>
    <w:rsid w:val="189C0535"/>
    <w:rsid w:val="18C12C94"/>
    <w:rsid w:val="18D2090B"/>
    <w:rsid w:val="18F53A95"/>
    <w:rsid w:val="18FB16B0"/>
    <w:rsid w:val="19010C43"/>
    <w:rsid w:val="19084C73"/>
    <w:rsid w:val="19363361"/>
    <w:rsid w:val="193C5FF4"/>
    <w:rsid w:val="193F019D"/>
    <w:rsid w:val="19607427"/>
    <w:rsid w:val="19653003"/>
    <w:rsid w:val="19F9086F"/>
    <w:rsid w:val="1A03471D"/>
    <w:rsid w:val="1A044025"/>
    <w:rsid w:val="1A054259"/>
    <w:rsid w:val="1A0C6E10"/>
    <w:rsid w:val="1A1F4038"/>
    <w:rsid w:val="1ACC4E68"/>
    <w:rsid w:val="1B1B20F3"/>
    <w:rsid w:val="1B1F4DB7"/>
    <w:rsid w:val="1B70220F"/>
    <w:rsid w:val="1B7F6005"/>
    <w:rsid w:val="1B893DBD"/>
    <w:rsid w:val="1BAB2ECE"/>
    <w:rsid w:val="1BAF00C0"/>
    <w:rsid w:val="1BDA0055"/>
    <w:rsid w:val="1C132CB9"/>
    <w:rsid w:val="1C544E92"/>
    <w:rsid w:val="1C7A0D82"/>
    <w:rsid w:val="1C96001E"/>
    <w:rsid w:val="1C976D9B"/>
    <w:rsid w:val="1CCC26CA"/>
    <w:rsid w:val="1CE60535"/>
    <w:rsid w:val="1CE92A4B"/>
    <w:rsid w:val="1D3C05BA"/>
    <w:rsid w:val="1DC7084F"/>
    <w:rsid w:val="1DE1589E"/>
    <w:rsid w:val="1E152CE2"/>
    <w:rsid w:val="1E4E7BF8"/>
    <w:rsid w:val="1E68580A"/>
    <w:rsid w:val="1E7749FE"/>
    <w:rsid w:val="1E804E6F"/>
    <w:rsid w:val="1E9D6342"/>
    <w:rsid w:val="1EE26936"/>
    <w:rsid w:val="1F04781B"/>
    <w:rsid w:val="1F2D14F9"/>
    <w:rsid w:val="1F334B87"/>
    <w:rsid w:val="1F56727C"/>
    <w:rsid w:val="1F922F6A"/>
    <w:rsid w:val="1F986125"/>
    <w:rsid w:val="20067279"/>
    <w:rsid w:val="2011087F"/>
    <w:rsid w:val="2022075E"/>
    <w:rsid w:val="20314BD3"/>
    <w:rsid w:val="20362DBF"/>
    <w:rsid w:val="204E6676"/>
    <w:rsid w:val="206B1672"/>
    <w:rsid w:val="20703C98"/>
    <w:rsid w:val="20B34CB8"/>
    <w:rsid w:val="20C5460A"/>
    <w:rsid w:val="20D5379F"/>
    <w:rsid w:val="20E1109F"/>
    <w:rsid w:val="211C4CEC"/>
    <w:rsid w:val="212F6639"/>
    <w:rsid w:val="21555AF6"/>
    <w:rsid w:val="216A7EE4"/>
    <w:rsid w:val="21780F3C"/>
    <w:rsid w:val="2195668B"/>
    <w:rsid w:val="219A26CD"/>
    <w:rsid w:val="21BC0868"/>
    <w:rsid w:val="21DF2DEE"/>
    <w:rsid w:val="22160332"/>
    <w:rsid w:val="222072D6"/>
    <w:rsid w:val="224709DB"/>
    <w:rsid w:val="227C70AA"/>
    <w:rsid w:val="22AC32FF"/>
    <w:rsid w:val="22EA4EA4"/>
    <w:rsid w:val="233732F5"/>
    <w:rsid w:val="237E0BA0"/>
    <w:rsid w:val="242E6DF2"/>
    <w:rsid w:val="245C52F8"/>
    <w:rsid w:val="2463385E"/>
    <w:rsid w:val="24683999"/>
    <w:rsid w:val="2495735D"/>
    <w:rsid w:val="24E11799"/>
    <w:rsid w:val="25134332"/>
    <w:rsid w:val="256277D4"/>
    <w:rsid w:val="257E508F"/>
    <w:rsid w:val="258E69E5"/>
    <w:rsid w:val="259E63F9"/>
    <w:rsid w:val="26401730"/>
    <w:rsid w:val="26456883"/>
    <w:rsid w:val="265A7989"/>
    <w:rsid w:val="26872FC8"/>
    <w:rsid w:val="26BA65F9"/>
    <w:rsid w:val="26C128E7"/>
    <w:rsid w:val="26CB75BA"/>
    <w:rsid w:val="26E35D58"/>
    <w:rsid w:val="26F85F4E"/>
    <w:rsid w:val="27695916"/>
    <w:rsid w:val="277B6D77"/>
    <w:rsid w:val="27A61EB2"/>
    <w:rsid w:val="27AB7429"/>
    <w:rsid w:val="27B27745"/>
    <w:rsid w:val="283A1E41"/>
    <w:rsid w:val="288C17EC"/>
    <w:rsid w:val="28BC2BF0"/>
    <w:rsid w:val="28F1751F"/>
    <w:rsid w:val="28F41C5B"/>
    <w:rsid w:val="28F54C6F"/>
    <w:rsid w:val="29014FF1"/>
    <w:rsid w:val="290366FF"/>
    <w:rsid w:val="291D53D8"/>
    <w:rsid w:val="29386F00"/>
    <w:rsid w:val="29E3478C"/>
    <w:rsid w:val="29EB08BE"/>
    <w:rsid w:val="29ED118B"/>
    <w:rsid w:val="29FA7F26"/>
    <w:rsid w:val="2A0840C1"/>
    <w:rsid w:val="2A0A6BFC"/>
    <w:rsid w:val="2A1E7852"/>
    <w:rsid w:val="2A2E5140"/>
    <w:rsid w:val="2A6553BA"/>
    <w:rsid w:val="2A782D5E"/>
    <w:rsid w:val="2A83650F"/>
    <w:rsid w:val="2A9D178A"/>
    <w:rsid w:val="2AA363A7"/>
    <w:rsid w:val="2AAD6914"/>
    <w:rsid w:val="2ABD1A05"/>
    <w:rsid w:val="2AE75BAD"/>
    <w:rsid w:val="2AFA399D"/>
    <w:rsid w:val="2B044A6F"/>
    <w:rsid w:val="2B302F5C"/>
    <w:rsid w:val="2B3B277E"/>
    <w:rsid w:val="2B574CF5"/>
    <w:rsid w:val="2B705CB6"/>
    <w:rsid w:val="2B8B30BF"/>
    <w:rsid w:val="2BAE1A53"/>
    <w:rsid w:val="2BD2348F"/>
    <w:rsid w:val="2BD37D5E"/>
    <w:rsid w:val="2BDE6F9E"/>
    <w:rsid w:val="2BED5BE5"/>
    <w:rsid w:val="2C080D9F"/>
    <w:rsid w:val="2C4E6C6C"/>
    <w:rsid w:val="2C716798"/>
    <w:rsid w:val="2CAE2E43"/>
    <w:rsid w:val="2CB52FBF"/>
    <w:rsid w:val="2CC8136A"/>
    <w:rsid w:val="2CCF4BA0"/>
    <w:rsid w:val="2CF92879"/>
    <w:rsid w:val="2D81664B"/>
    <w:rsid w:val="2DAB3F1D"/>
    <w:rsid w:val="2DD02AC7"/>
    <w:rsid w:val="2E1675EA"/>
    <w:rsid w:val="2E28606F"/>
    <w:rsid w:val="2E4E3081"/>
    <w:rsid w:val="2E5501D6"/>
    <w:rsid w:val="2E8A7DBC"/>
    <w:rsid w:val="2EAF25DE"/>
    <w:rsid w:val="2ED54DC6"/>
    <w:rsid w:val="2EF84028"/>
    <w:rsid w:val="2EFD6AD7"/>
    <w:rsid w:val="2F1251F2"/>
    <w:rsid w:val="2F2909FC"/>
    <w:rsid w:val="2F342AE4"/>
    <w:rsid w:val="2F3E33E4"/>
    <w:rsid w:val="2FC34B4E"/>
    <w:rsid w:val="2FDF6FD5"/>
    <w:rsid w:val="2FE24C5E"/>
    <w:rsid w:val="2FED2F7D"/>
    <w:rsid w:val="301A0352"/>
    <w:rsid w:val="308871CD"/>
    <w:rsid w:val="30962F3E"/>
    <w:rsid w:val="30C21DAF"/>
    <w:rsid w:val="30C63409"/>
    <w:rsid w:val="30CC33EE"/>
    <w:rsid w:val="30D17E68"/>
    <w:rsid w:val="30FD2EA2"/>
    <w:rsid w:val="30FF2795"/>
    <w:rsid w:val="316C44F9"/>
    <w:rsid w:val="31795041"/>
    <w:rsid w:val="31D2689F"/>
    <w:rsid w:val="31DA51BD"/>
    <w:rsid w:val="31F24371"/>
    <w:rsid w:val="32061B07"/>
    <w:rsid w:val="3219254B"/>
    <w:rsid w:val="32342292"/>
    <w:rsid w:val="326C5BDB"/>
    <w:rsid w:val="32885BAE"/>
    <w:rsid w:val="329266E3"/>
    <w:rsid w:val="32984BF3"/>
    <w:rsid w:val="329A6ACE"/>
    <w:rsid w:val="329E67A1"/>
    <w:rsid w:val="32EC346F"/>
    <w:rsid w:val="33041556"/>
    <w:rsid w:val="331B6E26"/>
    <w:rsid w:val="3322792B"/>
    <w:rsid w:val="332A7391"/>
    <w:rsid w:val="333A1523"/>
    <w:rsid w:val="3349648F"/>
    <w:rsid w:val="339938A1"/>
    <w:rsid w:val="33A313BA"/>
    <w:rsid w:val="33AA747D"/>
    <w:rsid w:val="33E71E06"/>
    <w:rsid w:val="33EA38B7"/>
    <w:rsid w:val="34373016"/>
    <w:rsid w:val="345D6E8A"/>
    <w:rsid w:val="34786606"/>
    <w:rsid w:val="349F77FA"/>
    <w:rsid w:val="34C520CE"/>
    <w:rsid w:val="34D04BBA"/>
    <w:rsid w:val="34E52C26"/>
    <w:rsid w:val="3589307F"/>
    <w:rsid w:val="35A9068B"/>
    <w:rsid w:val="35D95105"/>
    <w:rsid w:val="360B1D73"/>
    <w:rsid w:val="36182203"/>
    <w:rsid w:val="361F3323"/>
    <w:rsid w:val="36296359"/>
    <w:rsid w:val="36463CEB"/>
    <w:rsid w:val="366A0E72"/>
    <w:rsid w:val="36963216"/>
    <w:rsid w:val="36BD175E"/>
    <w:rsid w:val="36E93760"/>
    <w:rsid w:val="36F73CF0"/>
    <w:rsid w:val="370E36AE"/>
    <w:rsid w:val="371F1267"/>
    <w:rsid w:val="37444568"/>
    <w:rsid w:val="3784394E"/>
    <w:rsid w:val="37A73CE2"/>
    <w:rsid w:val="37B41B9A"/>
    <w:rsid w:val="37F74D19"/>
    <w:rsid w:val="380C5E8D"/>
    <w:rsid w:val="3841578A"/>
    <w:rsid w:val="38A97269"/>
    <w:rsid w:val="38AE3BB0"/>
    <w:rsid w:val="38D44F5D"/>
    <w:rsid w:val="3933336C"/>
    <w:rsid w:val="39410D8B"/>
    <w:rsid w:val="397B569D"/>
    <w:rsid w:val="399F09EA"/>
    <w:rsid w:val="39A72AEC"/>
    <w:rsid w:val="39CE69AE"/>
    <w:rsid w:val="39E9024E"/>
    <w:rsid w:val="39F7167A"/>
    <w:rsid w:val="3A3425C1"/>
    <w:rsid w:val="3A657DA2"/>
    <w:rsid w:val="3A8F661C"/>
    <w:rsid w:val="3AB14BC0"/>
    <w:rsid w:val="3AC4552B"/>
    <w:rsid w:val="3ACA5EE5"/>
    <w:rsid w:val="3ACB5746"/>
    <w:rsid w:val="3B03669D"/>
    <w:rsid w:val="3B0936A4"/>
    <w:rsid w:val="3B10060D"/>
    <w:rsid w:val="3B257BBC"/>
    <w:rsid w:val="3B2B7E19"/>
    <w:rsid w:val="3B6E410F"/>
    <w:rsid w:val="3B7F7154"/>
    <w:rsid w:val="3B9973DE"/>
    <w:rsid w:val="3BB20883"/>
    <w:rsid w:val="3BB43F03"/>
    <w:rsid w:val="3BBF297A"/>
    <w:rsid w:val="3BC00786"/>
    <w:rsid w:val="3C2130EF"/>
    <w:rsid w:val="3C220368"/>
    <w:rsid w:val="3C4835E1"/>
    <w:rsid w:val="3C751B1E"/>
    <w:rsid w:val="3CCC63DF"/>
    <w:rsid w:val="3CD143DD"/>
    <w:rsid w:val="3CFA6018"/>
    <w:rsid w:val="3D0C05A1"/>
    <w:rsid w:val="3D0E14EE"/>
    <w:rsid w:val="3D1D7E31"/>
    <w:rsid w:val="3D3C5AF1"/>
    <w:rsid w:val="3D827C4D"/>
    <w:rsid w:val="3D8D0A54"/>
    <w:rsid w:val="3DCE1312"/>
    <w:rsid w:val="3DF20177"/>
    <w:rsid w:val="3DFA4879"/>
    <w:rsid w:val="3E000C7A"/>
    <w:rsid w:val="3E1A1175"/>
    <w:rsid w:val="3E1C0F14"/>
    <w:rsid w:val="3E2B1EA2"/>
    <w:rsid w:val="3E417AF7"/>
    <w:rsid w:val="3E441C7D"/>
    <w:rsid w:val="3E7C72BF"/>
    <w:rsid w:val="3EA5515A"/>
    <w:rsid w:val="3EAA7601"/>
    <w:rsid w:val="3EB12AB3"/>
    <w:rsid w:val="3EC74B00"/>
    <w:rsid w:val="3EF94A44"/>
    <w:rsid w:val="3F093324"/>
    <w:rsid w:val="3F413064"/>
    <w:rsid w:val="3F4F2CA3"/>
    <w:rsid w:val="3F50246C"/>
    <w:rsid w:val="3F640582"/>
    <w:rsid w:val="3F6B406D"/>
    <w:rsid w:val="3FC956FF"/>
    <w:rsid w:val="3FCA461C"/>
    <w:rsid w:val="3FEA129F"/>
    <w:rsid w:val="40154A89"/>
    <w:rsid w:val="404402D4"/>
    <w:rsid w:val="40A36A71"/>
    <w:rsid w:val="40DD293C"/>
    <w:rsid w:val="410975DE"/>
    <w:rsid w:val="411735FE"/>
    <w:rsid w:val="411E3D0D"/>
    <w:rsid w:val="412669F1"/>
    <w:rsid w:val="41511CAF"/>
    <w:rsid w:val="416C36BE"/>
    <w:rsid w:val="417453A6"/>
    <w:rsid w:val="418803D5"/>
    <w:rsid w:val="41F466FD"/>
    <w:rsid w:val="420007D6"/>
    <w:rsid w:val="422A1A00"/>
    <w:rsid w:val="42526F73"/>
    <w:rsid w:val="429C375B"/>
    <w:rsid w:val="42A67A24"/>
    <w:rsid w:val="42B0123D"/>
    <w:rsid w:val="42DB1343"/>
    <w:rsid w:val="43146828"/>
    <w:rsid w:val="4323295A"/>
    <w:rsid w:val="43A8708C"/>
    <w:rsid w:val="440A44B7"/>
    <w:rsid w:val="440D5045"/>
    <w:rsid w:val="44106F81"/>
    <w:rsid w:val="4428347A"/>
    <w:rsid w:val="446D1058"/>
    <w:rsid w:val="44794C68"/>
    <w:rsid w:val="44C00D19"/>
    <w:rsid w:val="44CF7D34"/>
    <w:rsid w:val="44E955E2"/>
    <w:rsid w:val="451A65C5"/>
    <w:rsid w:val="452B48BD"/>
    <w:rsid w:val="4550698C"/>
    <w:rsid w:val="457C35C1"/>
    <w:rsid w:val="45876B40"/>
    <w:rsid w:val="459A37A5"/>
    <w:rsid w:val="45B15C6C"/>
    <w:rsid w:val="45B76AAA"/>
    <w:rsid w:val="45BE6191"/>
    <w:rsid w:val="46090FAA"/>
    <w:rsid w:val="460C5979"/>
    <w:rsid w:val="46365D49"/>
    <w:rsid w:val="46917782"/>
    <w:rsid w:val="46C03839"/>
    <w:rsid w:val="46D31791"/>
    <w:rsid w:val="470E1561"/>
    <w:rsid w:val="47101348"/>
    <w:rsid w:val="471A7159"/>
    <w:rsid w:val="472B3E16"/>
    <w:rsid w:val="47C01792"/>
    <w:rsid w:val="47DA0DFE"/>
    <w:rsid w:val="47E01296"/>
    <w:rsid w:val="47F31F6D"/>
    <w:rsid w:val="4808150F"/>
    <w:rsid w:val="4834304B"/>
    <w:rsid w:val="484059CE"/>
    <w:rsid w:val="4857494D"/>
    <w:rsid w:val="48733BEB"/>
    <w:rsid w:val="48BA1529"/>
    <w:rsid w:val="49341083"/>
    <w:rsid w:val="493F7A63"/>
    <w:rsid w:val="49646ED9"/>
    <w:rsid w:val="49770273"/>
    <w:rsid w:val="49D34C08"/>
    <w:rsid w:val="4A3224FB"/>
    <w:rsid w:val="4A425491"/>
    <w:rsid w:val="4A5653D9"/>
    <w:rsid w:val="4A625A8B"/>
    <w:rsid w:val="4A7F035D"/>
    <w:rsid w:val="4AAD35CE"/>
    <w:rsid w:val="4AB36B67"/>
    <w:rsid w:val="4AB5550D"/>
    <w:rsid w:val="4AC31003"/>
    <w:rsid w:val="4AD149F8"/>
    <w:rsid w:val="4AE93159"/>
    <w:rsid w:val="4B6031AA"/>
    <w:rsid w:val="4B792DA0"/>
    <w:rsid w:val="4BD0339A"/>
    <w:rsid w:val="4BE219AB"/>
    <w:rsid w:val="4BEC586D"/>
    <w:rsid w:val="4C080729"/>
    <w:rsid w:val="4C5441D8"/>
    <w:rsid w:val="4C754C55"/>
    <w:rsid w:val="4CA22D8F"/>
    <w:rsid w:val="4CDC02DB"/>
    <w:rsid w:val="4CF35830"/>
    <w:rsid w:val="4D0E017F"/>
    <w:rsid w:val="4D125303"/>
    <w:rsid w:val="4D462159"/>
    <w:rsid w:val="4D701C0A"/>
    <w:rsid w:val="4D766A6D"/>
    <w:rsid w:val="4DB20406"/>
    <w:rsid w:val="4DBC7264"/>
    <w:rsid w:val="4DC605B6"/>
    <w:rsid w:val="4DC81D5C"/>
    <w:rsid w:val="4DD24307"/>
    <w:rsid w:val="4DE96F16"/>
    <w:rsid w:val="4DEC0985"/>
    <w:rsid w:val="4DF03112"/>
    <w:rsid w:val="4E27683A"/>
    <w:rsid w:val="4E284423"/>
    <w:rsid w:val="4E2D6ED1"/>
    <w:rsid w:val="4E2F46BE"/>
    <w:rsid w:val="4E654861"/>
    <w:rsid w:val="4E787E01"/>
    <w:rsid w:val="4E804D8F"/>
    <w:rsid w:val="4ED705ED"/>
    <w:rsid w:val="4F085419"/>
    <w:rsid w:val="4F25399D"/>
    <w:rsid w:val="4F2765B1"/>
    <w:rsid w:val="4F285975"/>
    <w:rsid w:val="4F2A4DAA"/>
    <w:rsid w:val="4F930B48"/>
    <w:rsid w:val="4F987EA8"/>
    <w:rsid w:val="4FF865AD"/>
    <w:rsid w:val="50093607"/>
    <w:rsid w:val="50193A24"/>
    <w:rsid w:val="50237801"/>
    <w:rsid w:val="5072107A"/>
    <w:rsid w:val="508B01F1"/>
    <w:rsid w:val="50D6632A"/>
    <w:rsid w:val="50DD2FE1"/>
    <w:rsid w:val="51141B89"/>
    <w:rsid w:val="511B6D36"/>
    <w:rsid w:val="51511686"/>
    <w:rsid w:val="51803DA1"/>
    <w:rsid w:val="51867298"/>
    <w:rsid w:val="51AC662B"/>
    <w:rsid w:val="52283CC2"/>
    <w:rsid w:val="52313CB4"/>
    <w:rsid w:val="52BA79AE"/>
    <w:rsid w:val="52D573D7"/>
    <w:rsid w:val="52D73E62"/>
    <w:rsid w:val="52E04D27"/>
    <w:rsid w:val="530A21A2"/>
    <w:rsid w:val="53397E13"/>
    <w:rsid w:val="53B30943"/>
    <w:rsid w:val="53C85BEC"/>
    <w:rsid w:val="53DB3477"/>
    <w:rsid w:val="53DE04C8"/>
    <w:rsid w:val="543321CC"/>
    <w:rsid w:val="544057C2"/>
    <w:rsid w:val="547A60B6"/>
    <w:rsid w:val="54810DCB"/>
    <w:rsid w:val="55396B97"/>
    <w:rsid w:val="553B0C1C"/>
    <w:rsid w:val="55540163"/>
    <w:rsid w:val="558B0FB3"/>
    <w:rsid w:val="55DD6F2A"/>
    <w:rsid w:val="55F11DB0"/>
    <w:rsid w:val="55F21D07"/>
    <w:rsid w:val="560C0FE1"/>
    <w:rsid w:val="56C127A9"/>
    <w:rsid w:val="56CC5358"/>
    <w:rsid w:val="5725306E"/>
    <w:rsid w:val="572E185D"/>
    <w:rsid w:val="5740051C"/>
    <w:rsid w:val="57465833"/>
    <w:rsid w:val="575042B0"/>
    <w:rsid w:val="57515E42"/>
    <w:rsid w:val="575223F6"/>
    <w:rsid w:val="575D49B9"/>
    <w:rsid w:val="578F220A"/>
    <w:rsid w:val="57AE16CE"/>
    <w:rsid w:val="57FC07D9"/>
    <w:rsid w:val="584F0A6E"/>
    <w:rsid w:val="584F3EC1"/>
    <w:rsid w:val="58500F22"/>
    <w:rsid w:val="58571712"/>
    <w:rsid w:val="585C2BCD"/>
    <w:rsid w:val="58611FA6"/>
    <w:rsid w:val="58896727"/>
    <w:rsid w:val="58C03E9F"/>
    <w:rsid w:val="58D06F7D"/>
    <w:rsid w:val="58EA3634"/>
    <w:rsid w:val="5911631B"/>
    <w:rsid w:val="59254685"/>
    <w:rsid w:val="596473CC"/>
    <w:rsid w:val="596B5E6C"/>
    <w:rsid w:val="59707ED6"/>
    <w:rsid w:val="59714B80"/>
    <w:rsid w:val="59740238"/>
    <w:rsid w:val="59974E1C"/>
    <w:rsid w:val="59AC2530"/>
    <w:rsid w:val="59B341A4"/>
    <w:rsid w:val="59C4586C"/>
    <w:rsid w:val="59D42326"/>
    <w:rsid w:val="59D91835"/>
    <w:rsid w:val="59FE0E98"/>
    <w:rsid w:val="5A672422"/>
    <w:rsid w:val="5A857F62"/>
    <w:rsid w:val="5AC02657"/>
    <w:rsid w:val="5ACB19B6"/>
    <w:rsid w:val="5ACF0F3A"/>
    <w:rsid w:val="5AD52CBE"/>
    <w:rsid w:val="5AE10AFF"/>
    <w:rsid w:val="5AE26434"/>
    <w:rsid w:val="5B2D58B9"/>
    <w:rsid w:val="5B46482A"/>
    <w:rsid w:val="5B514CC0"/>
    <w:rsid w:val="5B966B84"/>
    <w:rsid w:val="5BAB38E6"/>
    <w:rsid w:val="5BCC36B1"/>
    <w:rsid w:val="5BD9382E"/>
    <w:rsid w:val="5BEC1F3E"/>
    <w:rsid w:val="5C306708"/>
    <w:rsid w:val="5C6B1600"/>
    <w:rsid w:val="5CAD1908"/>
    <w:rsid w:val="5CBF74DB"/>
    <w:rsid w:val="5CC85916"/>
    <w:rsid w:val="5D3E6C78"/>
    <w:rsid w:val="5D5313C9"/>
    <w:rsid w:val="5D572C1B"/>
    <w:rsid w:val="5D6158AB"/>
    <w:rsid w:val="5D9155E2"/>
    <w:rsid w:val="5D972B60"/>
    <w:rsid w:val="5D9D7CEE"/>
    <w:rsid w:val="5DEB23B4"/>
    <w:rsid w:val="5DFD51DB"/>
    <w:rsid w:val="5E0D36E5"/>
    <w:rsid w:val="5E403B42"/>
    <w:rsid w:val="5E611BC2"/>
    <w:rsid w:val="5E7008C7"/>
    <w:rsid w:val="5E8A0947"/>
    <w:rsid w:val="5E8E36A2"/>
    <w:rsid w:val="5E950C48"/>
    <w:rsid w:val="5EB016E3"/>
    <w:rsid w:val="5EBE625C"/>
    <w:rsid w:val="5EC75D72"/>
    <w:rsid w:val="5ED4683B"/>
    <w:rsid w:val="5EE9770A"/>
    <w:rsid w:val="5F1550C3"/>
    <w:rsid w:val="5F2847D6"/>
    <w:rsid w:val="5F2A30E7"/>
    <w:rsid w:val="5FB96064"/>
    <w:rsid w:val="5FC82DDC"/>
    <w:rsid w:val="5FD02838"/>
    <w:rsid w:val="607C3753"/>
    <w:rsid w:val="60846D02"/>
    <w:rsid w:val="60A462D7"/>
    <w:rsid w:val="60C30855"/>
    <w:rsid w:val="6102420F"/>
    <w:rsid w:val="6102508A"/>
    <w:rsid w:val="61264BF9"/>
    <w:rsid w:val="61421EFD"/>
    <w:rsid w:val="615C5041"/>
    <w:rsid w:val="61DD7C0C"/>
    <w:rsid w:val="61DE0EAB"/>
    <w:rsid w:val="61E9645D"/>
    <w:rsid w:val="62012D3E"/>
    <w:rsid w:val="62121358"/>
    <w:rsid w:val="625A68A1"/>
    <w:rsid w:val="625C0331"/>
    <w:rsid w:val="62A562BD"/>
    <w:rsid w:val="62AF2FD6"/>
    <w:rsid w:val="62C71B24"/>
    <w:rsid w:val="62E16B5F"/>
    <w:rsid w:val="62E57334"/>
    <w:rsid w:val="62E62D73"/>
    <w:rsid w:val="63064E59"/>
    <w:rsid w:val="633E28FA"/>
    <w:rsid w:val="635B1143"/>
    <w:rsid w:val="63750DFE"/>
    <w:rsid w:val="638C3E95"/>
    <w:rsid w:val="63AD37B9"/>
    <w:rsid w:val="63CE239E"/>
    <w:rsid w:val="63D56EAA"/>
    <w:rsid w:val="63D73BD5"/>
    <w:rsid w:val="63E605D3"/>
    <w:rsid w:val="640B6DDD"/>
    <w:rsid w:val="643504F5"/>
    <w:rsid w:val="647A7CCD"/>
    <w:rsid w:val="64830BC5"/>
    <w:rsid w:val="649354A2"/>
    <w:rsid w:val="64B10831"/>
    <w:rsid w:val="64BC72C8"/>
    <w:rsid w:val="65877DE3"/>
    <w:rsid w:val="658B3D0F"/>
    <w:rsid w:val="65EE156C"/>
    <w:rsid w:val="664805B8"/>
    <w:rsid w:val="666C79D1"/>
    <w:rsid w:val="66763606"/>
    <w:rsid w:val="66C871E0"/>
    <w:rsid w:val="66E23DEE"/>
    <w:rsid w:val="671A50DD"/>
    <w:rsid w:val="67B825B7"/>
    <w:rsid w:val="67C610B1"/>
    <w:rsid w:val="67C70B17"/>
    <w:rsid w:val="67D35C40"/>
    <w:rsid w:val="67EE6F4A"/>
    <w:rsid w:val="67FB14B8"/>
    <w:rsid w:val="68121833"/>
    <w:rsid w:val="685748AE"/>
    <w:rsid w:val="68610D3B"/>
    <w:rsid w:val="686D30B2"/>
    <w:rsid w:val="686F58DF"/>
    <w:rsid w:val="68B8471D"/>
    <w:rsid w:val="68F52B8B"/>
    <w:rsid w:val="69013CA8"/>
    <w:rsid w:val="690F418B"/>
    <w:rsid w:val="694D105E"/>
    <w:rsid w:val="695D4A1A"/>
    <w:rsid w:val="6988066A"/>
    <w:rsid w:val="699B7785"/>
    <w:rsid w:val="69C877BD"/>
    <w:rsid w:val="69EE1F9F"/>
    <w:rsid w:val="69F02687"/>
    <w:rsid w:val="6A02427C"/>
    <w:rsid w:val="6A1D7CF8"/>
    <w:rsid w:val="6A2D7569"/>
    <w:rsid w:val="6A6A06DA"/>
    <w:rsid w:val="6A700F0C"/>
    <w:rsid w:val="6A7A2736"/>
    <w:rsid w:val="6A7B4B9C"/>
    <w:rsid w:val="6A7D6163"/>
    <w:rsid w:val="6AAD71EA"/>
    <w:rsid w:val="6AD55730"/>
    <w:rsid w:val="6B017560"/>
    <w:rsid w:val="6B3B4ECF"/>
    <w:rsid w:val="6B814D22"/>
    <w:rsid w:val="6B884B09"/>
    <w:rsid w:val="6BB431CE"/>
    <w:rsid w:val="6BF77E77"/>
    <w:rsid w:val="6C270618"/>
    <w:rsid w:val="6C300ADA"/>
    <w:rsid w:val="6C533B2B"/>
    <w:rsid w:val="6C7967F3"/>
    <w:rsid w:val="6C89456C"/>
    <w:rsid w:val="6C99373E"/>
    <w:rsid w:val="6CA41EAB"/>
    <w:rsid w:val="6CBA153B"/>
    <w:rsid w:val="6CD17437"/>
    <w:rsid w:val="6D687088"/>
    <w:rsid w:val="6D6F59C7"/>
    <w:rsid w:val="6D8401EB"/>
    <w:rsid w:val="6D9C298F"/>
    <w:rsid w:val="6E5D4454"/>
    <w:rsid w:val="6EA62883"/>
    <w:rsid w:val="6ECF34F4"/>
    <w:rsid w:val="6ED77D56"/>
    <w:rsid w:val="6EE577F0"/>
    <w:rsid w:val="6EEB42D3"/>
    <w:rsid w:val="6F0D5601"/>
    <w:rsid w:val="6F1A42A0"/>
    <w:rsid w:val="6F380EF1"/>
    <w:rsid w:val="6F3D101E"/>
    <w:rsid w:val="6F4341D9"/>
    <w:rsid w:val="6F711974"/>
    <w:rsid w:val="6FA629D4"/>
    <w:rsid w:val="703646F1"/>
    <w:rsid w:val="7045763C"/>
    <w:rsid w:val="7071626C"/>
    <w:rsid w:val="70885CFC"/>
    <w:rsid w:val="70905216"/>
    <w:rsid w:val="70B47527"/>
    <w:rsid w:val="70BB2EF0"/>
    <w:rsid w:val="70BE211D"/>
    <w:rsid w:val="711C1038"/>
    <w:rsid w:val="711E75BD"/>
    <w:rsid w:val="71302519"/>
    <w:rsid w:val="713B096D"/>
    <w:rsid w:val="715A196E"/>
    <w:rsid w:val="715C46F5"/>
    <w:rsid w:val="716550A2"/>
    <w:rsid w:val="71B35932"/>
    <w:rsid w:val="71C245F6"/>
    <w:rsid w:val="71ED09CC"/>
    <w:rsid w:val="71FE12AC"/>
    <w:rsid w:val="72801DBE"/>
    <w:rsid w:val="72AB2FE8"/>
    <w:rsid w:val="72BF3D37"/>
    <w:rsid w:val="73070334"/>
    <w:rsid w:val="73110A8A"/>
    <w:rsid w:val="736D2ADE"/>
    <w:rsid w:val="7386151A"/>
    <w:rsid w:val="73D425F7"/>
    <w:rsid w:val="74292B39"/>
    <w:rsid w:val="744C175F"/>
    <w:rsid w:val="74C10E66"/>
    <w:rsid w:val="74F45B3B"/>
    <w:rsid w:val="750A5172"/>
    <w:rsid w:val="750B3051"/>
    <w:rsid w:val="751901E2"/>
    <w:rsid w:val="75614BD4"/>
    <w:rsid w:val="756310F8"/>
    <w:rsid w:val="75A6336E"/>
    <w:rsid w:val="75AD1C5A"/>
    <w:rsid w:val="75C36E92"/>
    <w:rsid w:val="75F96A04"/>
    <w:rsid w:val="76274B15"/>
    <w:rsid w:val="762C5A1F"/>
    <w:rsid w:val="765B63CE"/>
    <w:rsid w:val="76933951"/>
    <w:rsid w:val="7697404C"/>
    <w:rsid w:val="769F12D4"/>
    <w:rsid w:val="76AE5D5C"/>
    <w:rsid w:val="76CE2247"/>
    <w:rsid w:val="76F86DB9"/>
    <w:rsid w:val="76FD06EF"/>
    <w:rsid w:val="770C5B97"/>
    <w:rsid w:val="772C650E"/>
    <w:rsid w:val="77342219"/>
    <w:rsid w:val="77385508"/>
    <w:rsid w:val="773D1605"/>
    <w:rsid w:val="77405CDA"/>
    <w:rsid w:val="775D348F"/>
    <w:rsid w:val="776D3298"/>
    <w:rsid w:val="77F41A2E"/>
    <w:rsid w:val="77F84DDA"/>
    <w:rsid w:val="78693F5C"/>
    <w:rsid w:val="78782A0D"/>
    <w:rsid w:val="78AC5790"/>
    <w:rsid w:val="78B37A7D"/>
    <w:rsid w:val="78B626A1"/>
    <w:rsid w:val="78BA3098"/>
    <w:rsid w:val="79365B6F"/>
    <w:rsid w:val="796B4E06"/>
    <w:rsid w:val="797163F5"/>
    <w:rsid w:val="797E58B4"/>
    <w:rsid w:val="79A2171F"/>
    <w:rsid w:val="79A252FF"/>
    <w:rsid w:val="79C02698"/>
    <w:rsid w:val="79D33056"/>
    <w:rsid w:val="79D83B6A"/>
    <w:rsid w:val="79E323AD"/>
    <w:rsid w:val="7A867CD9"/>
    <w:rsid w:val="7A9865DD"/>
    <w:rsid w:val="7AA10169"/>
    <w:rsid w:val="7AA409AF"/>
    <w:rsid w:val="7AA634E6"/>
    <w:rsid w:val="7AF4293B"/>
    <w:rsid w:val="7AFA470E"/>
    <w:rsid w:val="7AFE4A93"/>
    <w:rsid w:val="7B1A7E3F"/>
    <w:rsid w:val="7B21417A"/>
    <w:rsid w:val="7B4A3A14"/>
    <w:rsid w:val="7B790098"/>
    <w:rsid w:val="7C0425AD"/>
    <w:rsid w:val="7C207868"/>
    <w:rsid w:val="7C2431EB"/>
    <w:rsid w:val="7C26369C"/>
    <w:rsid w:val="7C3B352A"/>
    <w:rsid w:val="7C9E5A24"/>
    <w:rsid w:val="7CC444C2"/>
    <w:rsid w:val="7CC97E23"/>
    <w:rsid w:val="7CD158BB"/>
    <w:rsid w:val="7CEA02E8"/>
    <w:rsid w:val="7D1259D2"/>
    <w:rsid w:val="7D204086"/>
    <w:rsid w:val="7D62117D"/>
    <w:rsid w:val="7D7539A5"/>
    <w:rsid w:val="7D8C1FF2"/>
    <w:rsid w:val="7D9F6596"/>
    <w:rsid w:val="7DFA0F74"/>
    <w:rsid w:val="7E242BAF"/>
    <w:rsid w:val="7E3E1EF2"/>
    <w:rsid w:val="7E4E6EC3"/>
    <w:rsid w:val="7E9D17F0"/>
    <w:rsid w:val="7EA50EBD"/>
    <w:rsid w:val="7EBC421D"/>
    <w:rsid w:val="7EE14276"/>
    <w:rsid w:val="7EE4797D"/>
    <w:rsid w:val="7EF74FC9"/>
    <w:rsid w:val="7F3D7143"/>
    <w:rsid w:val="7F5A38D2"/>
    <w:rsid w:val="7FB7122A"/>
    <w:rsid w:val="7FF14F66"/>
    <w:rsid w:val="7FF343B3"/>
    <w:rsid w:val="7F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A6576"/>
  <w15:docId w15:val="{FB6E6A17-B8C8-412E-9A6D-D808CFA5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764"/>
    <w:pPr>
      <w:spacing w:beforeLines="50" w:afterLines="50" w:line="259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C93764"/>
    <w:pPr>
      <w:keepNext/>
      <w:keepLines/>
      <w:numPr>
        <w:numId w:val="1"/>
      </w:numPr>
      <w:pBdr>
        <w:top w:val="single" w:sz="12" w:space="3" w:color="auto"/>
      </w:pBdr>
      <w:spacing w:before="50" w:after="50" w:line="260" w:lineRule="auto"/>
      <w:ind w:left="0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C93764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C93764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C93764"/>
    <w:pPr>
      <w:ind w:left="1418" w:hanging="1418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C93764"/>
    <w:pPr>
      <w:ind w:leftChars="400" w:left="400"/>
    </w:pPr>
  </w:style>
  <w:style w:type="paragraph" w:styleId="List2">
    <w:name w:val="List 2"/>
    <w:basedOn w:val="List"/>
    <w:uiPriority w:val="99"/>
    <w:qFormat/>
    <w:rsid w:val="00C93764"/>
    <w:pPr>
      <w:ind w:leftChars="200" w:left="100"/>
    </w:pPr>
  </w:style>
  <w:style w:type="paragraph" w:styleId="List">
    <w:name w:val="List"/>
    <w:basedOn w:val="Normal"/>
    <w:qFormat/>
    <w:rsid w:val="00C93764"/>
    <w:pPr>
      <w:ind w:left="200" w:hangingChars="200" w:hanging="200"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C93764"/>
    <w:pPr>
      <w:spacing w:line="240" w:lineRule="auto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93764"/>
    <w:pPr>
      <w:jc w:val="left"/>
    </w:pPr>
  </w:style>
  <w:style w:type="paragraph" w:styleId="BodyText">
    <w:name w:val="Body Text"/>
    <w:basedOn w:val="Normal"/>
    <w:qFormat/>
    <w:rsid w:val="00C93764"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93764"/>
    <w:pPr>
      <w:spacing w:line="240" w:lineRule="auto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C93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C93764"/>
    <w:pPr>
      <w:tabs>
        <w:tab w:val="center" w:pos="4320"/>
        <w:tab w:val="right" w:pos="8640"/>
      </w:tabs>
      <w:spacing w:line="240" w:lineRule="auto"/>
    </w:pPr>
  </w:style>
  <w:style w:type="paragraph" w:styleId="TOC1">
    <w:name w:val="toc 1"/>
    <w:basedOn w:val="Normal"/>
    <w:next w:val="Normal"/>
    <w:uiPriority w:val="39"/>
    <w:unhideWhenUsed/>
    <w:qFormat/>
    <w:rsid w:val="00C93764"/>
    <w:rPr>
      <w:rFonts w:eastAsiaTheme="minorEastAsia"/>
      <w:b/>
      <w:i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C93764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C93764"/>
    <w:pPr>
      <w:ind w:leftChars="200" w:left="420"/>
    </w:pPr>
    <w:rPr>
      <w:b/>
      <w:i/>
      <w:sz w:val="20"/>
    </w:rPr>
  </w:style>
  <w:style w:type="paragraph" w:styleId="List4">
    <w:name w:val="List 4"/>
    <w:basedOn w:val="List3"/>
    <w:qFormat/>
    <w:rsid w:val="00C93764"/>
    <w:pPr>
      <w:ind w:leftChars="600" w:left="6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C93764"/>
    <w:pPr>
      <w:spacing w:line="240" w:lineRule="auto"/>
      <w:jc w:val="both"/>
    </w:pPr>
    <w:rPr>
      <w:b/>
      <w:bCs/>
      <w:sz w:val="20"/>
    </w:rPr>
  </w:style>
  <w:style w:type="table" w:styleId="TableGrid">
    <w:name w:val="Table Grid"/>
    <w:basedOn w:val="TableNormal"/>
    <w:uiPriority w:val="99"/>
    <w:unhideWhenUsed/>
    <w:qFormat/>
    <w:rsid w:val="00C937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sid w:val="00C937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93764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93764"/>
    <w:rPr>
      <w:rFonts w:ascii="Microsoft YaHei UI" w:eastAsia="Microsoft YaHei UI"/>
      <w:kern w:val="2"/>
      <w:sz w:val="18"/>
      <w:szCs w:val="18"/>
    </w:rPr>
  </w:style>
  <w:style w:type="paragraph" w:customStyle="1" w:styleId="YJ-Proposal">
    <w:name w:val="YJ-Proposal"/>
    <w:basedOn w:val="Normal"/>
    <w:qFormat/>
    <w:rsid w:val="00C93764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C93764"/>
    <w:pPr>
      <w:numPr>
        <w:numId w:val="3"/>
      </w:numPr>
      <w:tabs>
        <w:tab w:val="left" w:pos="420"/>
      </w:tabs>
    </w:pPr>
  </w:style>
  <w:style w:type="paragraph" w:customStyle="1" w:styleId="sub-proposal">
    <w:name w:val="sub-proposal"/>
    <w:basedOn w:val="YJ-Proposal"/>
    <w:next w:val="Normal"/>
    <w:qFormat/>
    <w:rsid w:val="00C93764"/>
    <w:pPr>
      <w:numPr>
        <w:numId w:val="4"/>
      </w:numPr>
    </w:pPr>
  </w:style>
  <w:style w:type="paragraph" w:customStyle="1" w:styleId="sub-observation">
    <w:name w:val="sub-observation"/>
    <w:basedOn w:val="sub-proposal"/>
    <w:next w:val="Normal"/>
    <w:qFormat/>
    <w:rsid w:val="00C93764"/>
  </w:style>
  <w:style w:type="paragraph" w:customStyle="1" w:styleId="References">
    <w:name w:val="References"/>
    <w:basedOn w:val="Normal"/>
    <w:qFormat/>
    <w:rsid w:val="00C93764"/>
    <w:pPr>
      <w:numPr>
        <w:numId w:val="5"/>
      </w:numPr>
      <w:spacing w:after="60"/>
    </w:pPr>
    <w:rPr>
      <w:szCs w:val="16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"/>
    <w:basedOn w:val="Normal"/>
    <w:link w:val="ListParagraphChar"/>
    <w:uiPriority w:val="34"/>
    <w:qFormat/>
    <w:rsid w:val="00C9376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C9376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93764"/>
    <w:rPr>
      <w:rFonts w:eastAsia="SimSun"/>
      <w:kern w:val="2"/>
      <w:sz w:val="21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93764"/>
    <w:rPr>
      <w:rFonts w:eastAsia="SimSun"/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C93764"/>
    <w:rPr>
      <w:rFonts w:eastAsia="SimSun"/>
      <w:b/>
      <w:bCs/>
      <w:kern w:val="2"/>
      <w:sz w:val="21"/>
    </w:rPr>
  </w:style>
  <w:style w:type="paragraph" w:customStyle="1" w:styleId="B1">
    <w:name w:val="B1"/>
    <w:basedOn w:val="Normal"/>
    <w:link w:val="B1Zchn"/>
    <w:qFormat/>
    <w:rsid w:val="00C93764"/>
    <w:pPr>
      <w:ind w:left="568" w:hanging="284"/>
    </w:pPr>
    <w:rPr>
      <w:lang w:val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C93764"/>
    <w:rPr>
      <w:rFonts w:ascii="Tahoma" w:eastAsia="SimSun" w:hAnsi="Tahoma" w:cs="Tahoma"/>
      <w:kern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93764"/>
    <w:rPr>
      <w:rFonts w:eastAsia="SimSun"/>
      <w:kern w:val="2"/>
      <w:sz w:val="18"/>
      <w:szCs w:val="18"/>
    </w:rPr>
  </w:style>
  <w:style w:type="paragraph" w:customStyle="1" w:styleId="TH">
    <w:name w:val="TH"/>
    <w:basedOn w:val="Normal"/>
    <w:qFormat/>
    <w:rsid w:val="00C937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rsid w:val="00C93764"/>
    <w:pPr>
      <w:keepNext w:val="0"/>
      <w:spacing w:before="0" w:after="240"/>
    </w:pPr>
  </w:style>
  <w:style w:type="paragraph" w:customStyle="1" w:styleId="ZTE--">
    <w:name w:val="ZTE--正文"/>
    <w:basedOn w:val="Normal"/>
    <w:qFormat/>
    <w:rsid w:val="00C93764"/>
    <w:pPr>
      <w:widowControl w:val="0"/>
      <w:spacing w:before="50" w:after="50" w:line="360" w:lineRule="auto"/>
      <w:ind w:firstLineChars="200" w:firstLine="420"/>
    </w:pPr>
    <w:rPr>
      <w:rFonts w:cs="SimSun"/>
    </w:rPr>
  </w:style>
  <w:style w:type="paragraph" w:customStyle="1" w:styleId="B2">
    <w:name w:val="B2"/>
    <w:basedOn w:val="List2"/>
    <w:qFormat/>
    <w:rsid w:val="00C93764"/>
    <w:pPr>
      <w:ind w:leftChars="0" w:left="851" w:firstLineChars="0" w:hanging="284"/>
    </w:pPr>
  </w:style>
  <w:style w:type="paragraph" w:customStyle="1" w:styleId="B3">
    <w:name w:val="B3"/>
    <w:basedOn w:val="List3"/>
    <w:qFormat/>
    <w:rsid w:val="00C93764"/>
    <w:pPr>
      <w:ind w:leftChars="0" w:left="1135" w:firstLineChars="0" w:hanging="284"/>
    </w:pPr>
  </w:style>
  <w:style w:type="paragraph" w:customStyle="1" w:styleId="B4">
    <w:name w:val="B4"/>
    <w:basedOn w:val="List4"/>
    <w:qFormat/>
    <w:rsid w:val="00C93764"/>
    <w:pPr>
      <w:ind w:leftChars="0" w:left="1418" w:firstLineChars="0" w:hanging="284"/>
    </w:pPr>
  </w:style>
  <w:style w:type="paragraph" w:customStyle="1" w:styleId="TAL">
    <w:name w:val="TAL"/>
    <w:basedOn w:val="Normal"/>
    <w:link w:val="TALCar"/>
    <w:qFormat/>
    <w:rsid w:val="00C93764"/>
    <w:pPr>
      <w:keepNext/>
      <w:keepLines/>
    </w:pPr>
    <w:rPr>
      <w:rFonts w:ascii="Arial" w:hAnsi="Arial"/>
      <w:sz w:val="18"/>
    </w:rPr>
  </w:style>
  <w:style w:type="paragraph" w:customStyle="1" w:styleId="10">
    <w:name w:val="修订1"/>
    <w:hidden/>
    <w:uiPriority w:val="99"/>
    <w:unhideWhenUsed/>
    <w:qFormat/>
    <w:rsid w:val="00C93764"/>
    <w:rPr>
      <w:kern w:val="2"/>
      <w:sz w:val="21"/>
    </w:rPr>
  </w:style>
  <w:style w:type="paragraph" w:customStyle="1" w:styleId="2">
    <w:name w:val="修订2"/>
    <w:hidden/>
    <w:uiPriority w:val="99"/>
    <w:unhideWhenUsed/>
    <w:qFormat/>
    <w:rsid w:val="00C93764"/>
    <w:rPr>
      <w:kern w:val="2"/>
      <w:sz w:val="21"/>
    </w:rPr>
  </w:style>
  <w:style w:type="character" w:styleId="PlaceholderText">
    <w:name w:val="Placeholder Text"/>
    <w:basedOn w:val="DefaultParagraphFont"/>
    <w:uiPriority w:val="99"/>
    <w:unhideWhenUsed/>
    <w:qFormat/>
    <w:rsid w:val="00C93764"/>
    <w:rPr>
      <w:color w:val="808080"/>
    </w:rPr>
  </w:style>
  <w:style w:type="paragraph" w:customStyle="1" w:styleId="xxxmsolistparagraph">
    <w:name w:val="x_xxmsolistparagraph"/>
    <w:basedOn w:val="Normal"/>
    <w:uiPriority w:val="99"/>
    <w:qFormat/>
    <w:rsid w:val="00C93764"/>
    <w:pPr>
      <w:ind w:left="800"/>
    </w:pPr>
    <w:rPr>
      <w:szCs w:val="21"/>
    </w:rPr>
  </w:style>
  <w:style w:type="paragraph" w:customStyle="1" w:styleId="Doc-text2">
    <w:name w:val="Doc-text2"/>
    <w:basedOn w:val="Normal"/>
    <w:qFormat/>
    <w:rsid w:val="00C93764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basedOn w:val="DefaultParagraphFont"/>
    <w:link w:val="ListParagraph"/>
    <w:uiPriority w:val="34"/>
    <w:qFormat/>
    <w:locked/>
    <w:rsid w:val="00AC1721"/>
    <w:rPr>
      <w:rFonts w:eastAsia="Times New Roman"/>
      <w:kern w:val="2"/>
      <w:sz w:val="24"/>
      <w:szCs w:val="24"/>
    </w:rPr>
  </w:style>
  <w:style w:type="character" w:customStyle="1" w:styleId="B1Zchn">
    <w:name w:val="B1 Zchn"/>
    <w:link w:val="B1"/>
    <w:qFormat/>
    <w:rsid w:val="00F64411"/>
    <w:rPr>
      <w:kern w:val="2"/>
      <w:sz w:val="21"/>
      <w:lang w:val="zh-CN"/>
    </w:rPr>
  </w:style>
  <w:style w:type="character" w:customStyle="1" w:styleId="TALCar">
    <w:name w:val="TAL Car"/>
    <w:basedOn w:val="DefaultParagraphFont"/>
    <w:link w:val="TAL"/>
    <w:qFormat/>
    <w:locked/>
    <w:rsid w:val="002A4C6D"/>
    <w:rPr>
      <w:rFonts w:ascii="Arial" w:hAnsi="Arial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2AA511-47FD-44F7-84E2-ED484311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Corporation, Sanechips</Company>
  <LinksUpToDate>false</LinksUpToDate>
  <CharactersWithSpaces>10764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Hamid Saber</cp:lastModifiedBy>
  <cp:revision>8</cp:revision>
  <dcterms:created xsi:type="dcterms:W3CDTF">2022-04-13T22:22:00Z</dcterms:created>
  <dcterms:modified xsi:type="dcterms:W3CDTF">2022-04-22T21:47:00Z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NSCPROP_SA">
    <vt:lpwstr>C:\Users\hamid.saber\AppData\Local\Temp\1\Temp1_R1-2109735.zip\R1-2109735.docx</vt:lpwstr>
  </property>
</Properties>
</file>