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C76647D" w:rsidR="00FE7EC6" w:rsidRPr="006B734C" w:rsidRDefault="00FE7EC6" w:rsidP="00FE7EC6">
      <w:pPr>
        <w:pStyle w:val="Header"/>
        <w:widowControl w:val="0"/>
        <w:jc w:val="left"/>
        <w:rPr>
          <w:rFonts w:ascii="Arial" w:hAnsi="Arial" w:cs="Arial"/>
          <w:b/>
          <w:bCs/>
          <w:lang w:val="en-US" w:eastAsia="zh-CN"/>
        </w:rPr>
      </w:pPr>
      <w:r w:rsidRPr="00F419EC">
        <w:rPr>
          <w:rFonts w:ascii="Arial" w:hAnsi="Arial" w:cs="Arial"/>
          <w:b/>
          <w:bCs/>
          <w:lang w:val="de-DE"/>
        </w:rPr>
        <w:t>3GPP TSG RAN WG1 #10</w:t>
      </w:r>
      <w:r w:rsidR="00444568">
        <w:rPr>
          <w:rFonts w:ascii="Arial" w:hAnsi="Arial" w:cs="Arial"/>
          <w:b/>
          <w:bCs/>
          <w:lang w:val="en-US" w:eastAsia="zh-CN"/>
        </w:rPr>
        <w:t>9</w:t>
      </w:r>
      <w:r w:rsidR="00900890">
        <w:rPr>
          <w:rFonts w:ascii="Arial" w:hAnsi="Arial" w:cs="Arial"/>
          <w:b/>
          <w:bCs/>
          <w:lang w:val="de-DE"/>
        </w:rPr>
        <w:t>-</w:t>
      </w:r>
      <w:r w:rsidR="00900890">
        <w:rPr>
          <w:rFonts w:ascii="Arial" w:hAnsi="Arial" w:cs="Arial" w:hint="eastAsia"/>
          <w:b/>
          <w:bCs/>
          <w:lang w:val="de-DE" w:eastAsia="zh-CN"/>
        </w:rPr>
        <w:t>e</w:t>
      </w:r>
      <w:r w:rsidR="00900890">
        <w:rPr>
          <w:rFonts w:ascii="Arial" w:hAnsi="Arial" w:cs="Arial"/>
          <w:b/>
          <w:bCs/>
          <w:lang w:val="de-DE"/>
        </w:rPr>
        <w:t xml:space="preserve">   </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F16756">
        <w:rPr>
          <w:rFonts w:ascii="Arial" w:hAnsi="Arial" w:cs="Arial"/>
          <w:b/>
          <w:bCs/>
          <w:lang w:val="de-DE" w:eastAsia="zh-CN"/>
        </w:rPr>
        <w:t xml:space="preserve"> </w:t>
      </w:r>
      <w:r w:rsidR="00CD482C">
        <w:rPr>
          <w:rFonts w:ascii="Arial" w:hAnsi="Arial" w:cs="Arial"/>
          <w:b/>
          <w:bCs/>
          <w:lang w:val="de-DE" w:eastAsia="zh-CN"/>
        </w:rPr>
        <w:t xml:space="preserve">   </w:t>
      </w:r>
      <w:r w:rsidR="00F16756">
        <w:rPr>
          <w:rFonts w:ascii="Arial" w:hAnsi="Arial" w:cs="Arial"/>
          <w:b/>
          <w:bCs/>
          <w:lang w:val="de-DE" w:eastAsia="zh-CN"/>
        </w:rPr>
        <w:t xml:space="preserve"> </w:t>
      </w:r>
      <w:r w:rsidR="00523C2E" w:rsidRPr="00523C2E">
        <w:rPr>
          <w:rFonts w:ascii="Arial" w:hAnsi="Arial" w:cs="Arial"/>
          <w:b/>
          <w:bCs/>
          <w:lang w:val="de-DE" w:eastAsia="zh-CN"/>
        </w:rPr>
        <w:t>R1-2</w:t>
      </w:r>
      <w:r w:rsidR="00683D2D">
        <w:rPr>
          <w:rFonts w:ascii="Arial" w:hAnsi="Arial" w:cs="Arial"/>
          <w:b/>
          <w:bCs/>
          <w:lang w:val="de-DE" w:eastAsia="zh-CN"/>
        </w:rPr>
        <w:t>2</w:t>
      </w:r>
      <w:r w:rsidR="004A76A8">
        <w:rPr>
          <w:rFonts w:ascii="Arial" w:hAnsi="Arial" w:cs="Arial"/>
          <w:b/>
          <w:bCs/>
          <w:lang w:val="de-DE" w:eastAsia="zh-CN"/>
        </w:rPr>
        <w:t>03704</w:t>
      </w:r>
    </w:p>
    <w:p w14:paraId="2501BD26" w14:textId="72DA9D85" w:rsidR="00FE7EC6" w:rsidRPr="00111FEE" w:rsidRDefault="006B734C"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w:t>
      </w:r>
      <w:r w:rsidRPr="00F1223F">
        <w:rPr>
          <w:rFonts w:ascii="Arial" w:eastAsia="MS Mincho" w:hAnsi="Arial" w:cs="Arial"/>
          <w:b/>
          <w:bCs/>
          <w:lang w:eastAsia="ja-JP"/>
        </w:rPr>
        <w:t xml:space="preserve">Meeting, </w:t>
      </w:r>
      <w:r w:rsidR="00444568" w:rsidRPr="00444568">
        <w:rPr>
          <w:rFonts w:ascii="Arial" w:eastAsia="MS Mincho" w:hAnsi="Arial" w:cs="Arial"/>
          <w:b/>
          <w:bCs/>
          <w:lang w:eastAsia="ja-JP"/>
        </w:rPr>
        <w:t>May 9</w:t>
      </w:r>
      <w:r w:rsidR="00444568" w:rsidRPr="00444568">
        <w:rPr>
          <w:rFonts w:ascii="Arial" w:eastAsia="MS Mincho" w:hAnsi="Arial" w:cs="Arial"/>
          <w:b/>
          <w:bCs/>
          <w:vertAlign w:val="superscript"/>
          <w:lang w:eastAsia="ja-JP"/>
        </w:rPr>
        <w:t>th</w:t>
      </w:r>
      <w:r w:rsidR="00444568" w:rsidRPr="00444568">
        <w:rPr>
          <w:rFonts w:ascii="Arial" w:eastAsia="MS Mincho" w:hAnsi="Arial" w:cs="Arial"/>
          <w:b/>
          <w:bCs/>
          <w:lang w:eastAsia="ja-JP"/>
        </w:rPr>
        <w:t xml:space="preserve"> – 20</w:t>
      </w:r>
      <w:r w:rsidR="00444568" w:rsidRPr="00444568">
        <w:rPr>
          <w:rFonts w:ascii="Arial" w:eastAsia="MS Mincho" w:hAnsi="Arial" w:cs="Arial"/>
          <w:b/>
          <w:bCs/>
          <w:vertAlign w:val="superscript"/>
          <w:lang w:eastAsia="ja-JP"/>
        </w:rPr>
        <w:t>th</w:t>
      </w:r>
      <w:r w:rsidR="00444568" w:rsidRPr="00444568">
        <w:rPr>
          <w:rFonts w:ascii="Arial" w:eastAsia="MS Mincho" w:hAnsi="Arial" w:cs="Arial"/>
          <w:b/>
          <w:bCs/>
          <w:lang w:eastAsia="ja-JP"/>
        </w:rPr>
        <w:t>, 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Physical layer design framework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2C4B8586" w14:textId="712AE288" w:rsidR="00141C62" w:rsidRPr="00141C62" w:rsidRDefault="00141C62" w:rsidP="00141C62">
      <w:pPr>
        <w:pStyle w:val="BodyText"/>
      </w:pPr>
      <w:bookmarkStart w:id="3" w:name="_Hlk101872194"/>
      <w:r w:rsidRPr="00141C62">
        <w:t>The Rel-18 NR Sidelink evolution WID was agreed upon during the RAN#94-e meeting</w:t>
      </w:r>
      <w:r>
        <w:t xml:space="preserve"> </w:t>
      </w:r>
      <w:r w:rsidRPr="00141C62">
        <w:t xml:space="preserve">[1], where one of the objectives </w:t>
      </w:r>
      <w:r>
        <w:rPr>
          <w:rFonts w:hint="eastAsia"/>
          <w:lang w:eastAsia="zh-CN"/>
        </w:rPr>
        <w:t>is</w:t>
      </w:r>
      <w:r>
        <w:t xml:space="preserve"> </w:t>
      </w:r>
      <w:r>
        <w:rPr>
          <w:rFonts w:hint="eastAsia"/>
          <w:lang w:eastAsia="zh-CN"/>
        </w:rPr>
        <w:t>targeted</w:t>
      </w:r>
      <w:r>
        <w:t xml:space="preserve"> to study the support of sidelink transmission on unlicensed spectrum</w:t>
      </w:r>
      <w:r w:rsidRPr="00141C62">
        <w:t xml:space="preserve">. The </w:t>
      </w:r>
      <w:r>
        <w:t>detailed</w:t>
      </w:r>
      <w:r w:rsidRPr="00141C62">
        <w:t xml:space="preserve"> objectives </w:t>
      </w:r>
      <w:r>
        <w:t xml:space="preserve">in the </w:t>
      </w:r>
      <w:r w:rsidRPr="00141C62">
        <w:t xml:space="preserve">WID </w:t>
      </w:r>
      <w:r>
        <w:t>are listed below</w:t>
      </w:r>
      <w:r w:rsidRPr="00141C6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141C62" w:rsidRPr="00141C62" w14:paraId="336E1957" w14:textId="77777777" w:rsidTr="00C66AE0">
        <w:tc>
          <w:tcPr>
            <w:tcW w:w="9749" w:type="dxa"/>
            <w:shd w:val="clear" w:color="auto" w:fill="auto"/>
          </w:tcPr>
          <w:p w14:paraId="2D5D620C" w14:textId="77777777" w:rsidR="00141C62" w:rsidRPr="00141C62" w:rsidRDefault="00141C62" w:rsidP="00141C62">
            <w:pPr>
              <w:numPr>
                <w:ilvl w:val="0"/>
                <w:numId w:val="13"/>
              </w:numPr>
              <w:overflowPunct w:val="0"/>
              <w:autoSpaceDE w:val="0"/>
              <w:autoSpaceDN w:val="0"/>
              <w:adjustRightInd w:val="0"/>
              <w:spacing w:before="120" w:after="0" w:line="240" w:lineRule="auto"/>
              <w:rPr>
                <w:rFonts w:ascii="Times" w:hAnsi="Times" w:cs="Times"/>
                <w:sz w:val="20"/>
                <w:szCs w:val="20"/>
                <w:lang w:eastAsia="en-GB"/>
              </w:rPr>
            </w:pPr>
            <w:r w:rsidRPr="00141C62">
              <w:rPr>
                <w:rFonts w:ascii="Times" w:hAnsi="Times" w:cs="Times"/>
                <w:sz w:val="20"/>
                <w:szCs w:val="20"/>
              </w:rPr>
              <w:t xml:space="preserve">Study the support of sidelink on unlicensed spectrum for both mode 1 and mode 2 where </w:t>
            </w:r>
            <w:proofErr w:type="spellStart"/>
            <w:r w:rsidRPr="00141C62">
              <w:rPr>
                <w:rFonts w:ascii="Times" w:hAnsi="Times" w:cs="Times"/>
                <w:sz w:val="20"/>
                <w:szCs w:val="20"/>
              </w:rPr>
              <w:t>Uu</w:t>
            </w:r>
            <w:proofErr w:type="spellEnd"/>
            <w:r w:rsidRPr="00141C62">
              <w:rPr>
                <w:rFonts w:ascii="Times" w:hAnsi="Times" w:cs="Times"/>
                <w:sz w:val="20"/>
                <w:szCs w:val="20"/>
              </w:rPr>
              <w:t xml:space="preserve"> operation for mode 1 is limited to licensed spectrum only [RAN1, RAN2, RAN4]</w:t>
            </w:r>
          </w:p>
          <w:p w14:paraId="728721B3" w14:textId="77777777" w:rsidR="00141C62" w:rsidRPr="00141C62" w:rsidRDefault="00141C62" w:rsidP="00141C62">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Evaluation methodology for sidelink operation on unlicensed spectrum</w:t>
            </w:r>
          </w:p>
          <w:p w14:paraId="4524CAD6" w14:textId="77777777" w:rsidR="00141C62" w:rsidRPr="00141C62" w:rsidRDefault="00141C62" w:rsidP="00141C62">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Sidelink channel access mechanism for unlicensed spectrum based on regional regulation requirement and use the existing channel success schemes from NR-U as a starting point</w:t>
            </w:r>
          </w:p>
          <w:p w14:paraId="2F86427E" w14:textId="77777777" w:rsidR="00141C62" w:rsidRPr="00141C62" w:rsidRDefault="00141C62" w:rsidP="00141C62">
            <w:pPr>
              <w:numPr>
                <w:ilvl w:val="1"/>
                <w:numId w:val="11"/>
              </w:numPr>
              <w:overflowPunct w:val="0"/>
              <w:autoSpaceDE w:val="0"/>
              <w:autoSpaceDN w:val="0"/>
              <w:adjustRightInd w:val="0"/>
              <w:spacing w:before="60" w:after="60" w:line="240" w:lineRule="auto"/>
              <w:ind w:left="1418" w:hanging="284"/>
              <w:rPr>
                <w:rFonts w:ascii="Times" w:hAnsi="Times" w:cs="Times"/>
                <w:sz w:val="20"/>
                <w:szCs w:val="20"/>
                <w:lang w:eastAsia="ko-KR"/>
              </w:rPr>
            </w:pPr>
            <w:r w:rsidRPr="00141C62">
              <w:rPr>
                <w:rFonts w:ascii="Times" w:hAnsi="Times" w:cs="Times"/>
                <w:sz w:val="20"/>
                <w:szCs w:val="20"/>
                <w:lang w:eastAsia="ko-KR"/>
              </w:rPr>
              <w:t>Reuse Rel-16 resource allocation mechanism as much as possible</w:t>
            </w:r>
          </w:p>
          <w:p w14:paraId="4CB1B1F1" w14:textId="77777777" w:rsidR="00141C62" w:rsidRPr="00141C62" w:rsidRDefault="00141C62" w:rsidP="00141C62">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Required changes to NR sidelink physical channel structures and procedures to operate on unlicensed spectrum</w:t>
            </w:r>
          </w:p>
          <w:p w14:paraId="5804400B" w14:textId="77777777" w:rsidR="00141C62" w:rsidRPr="00141C62" w:rsidRDefault="00141C62" w:rsidP="00141C62">
            <w:pPr>
              <w:numPr>
                <w:ilvl w:val="1"/>
                <w:numId w:val="11"/>
              </w:numPr>
              <w:overflowPunct w:val="0"/>
              <w:autoSpaceDE w:val="0"/>
              <w:autoSpaceDN w:val="0"/>
              <w:adjustRightInd w:val="0"/>
              <w:spacing w:before="60" w:after="60" w:line="240" w:lineRule="auto"/>
              <w:ind w:left="1418" w:hanging="284"/>
              <w:rPr>
                <w:rFonts w:ascii="Times" w:hAnsi="Times" w:cs="Times"/>
                <w:sz w:val="20"/>
                <w:szCs w:val="20"/>
                <w:lang w:eastAsia="ko-KR"/>
              </w:rPr>
            </w:pPr>
            <w:r w:rsidRPr="00141C62">
              <w:rPr>
                <w:rFonts w:ascii="Times" w:hAnsi="Times" w:cs="Times"/>
                <w:sz w:val="20"/>
                <w:szCs w:val="20"/>
                <w:lang w:eastAsia="ko-KR"/>
              </w:rPr>
              <w:t>No specific optimizations for existing NR SL feature</w:t>
            </w:r>
          </w:p>
          <w:p w14:paraId="3619C980" w14:textId="77777777" w:rsidR="00141C62" w:rsidRPr="00141C62" w:rsidRDefault="00141C62" w:rsidP="00141C62">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Frequency bands for the unlicensed spectrum in FR1 are 5GHz and 6GHz</w:t>
            </w:r>
          </w:p>
          <w:p w14:paraId="165415BC" w14:textId="77777777" w:rsidR="00141C62" w:rsidRPr="00141C62" w:rsidRDefault="00141C62" w:rsidP="00141C62">
            <w:pPr>
              <w:numPr>
                <w:ilvl w:val="0"/>
                <w:numId w:val="11"/>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No specific optimizations for FR2 unlicensed spectrum</w:t>
            </w:r>
          </w:p>
          <w:p w14:paraId="6FB5FB14" w14:textId="74558D02" w:rsidR="00141C62" w:rsidRPr="00141C62" w:rsidRDefault="00141C62" w:rsidP="00141C62">
            <w:pPr>
              <w:spacing w:after="0" w:line="240" w:lineRule="auto"/>
              <w:ind w:left="1080"/>
              <w:rPr>
                <w:rFonts w:ascii="Times New Roman" w:eastAsia="Batang" w:hAnsi="Times New Roman" w:cs="Times New Roman"/>
                <w:bCs/>
                <w:sz w:val="20"/>
                <w:szCs w:val="20"/>
                <w:lang w:val="en-GB" w:eastAsia="en-US"/>
              </w:rPr>
            </w:pPr>
          </w:p>
        </w:tc>
      </w:tr>
    </w:tbl>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p>
    <w:p w14:paraId="650A5A97" w14:textId="6801A7A3" w:rsidR="003F0F8B" w:rsidRPr="00141C62" w:rsidRDefault="00141C62" w:rsidP="000C654B">
      <w:pPr>
        <w:pStyle w:val="BodyText"/>
      </w:pPr>
      <w:r>
        <w:t xml:space="preserve">For unlicensed spectrum, </w:t>
      </w:r>
      <w:r w:rsidR="004A76A8">
        <w:t>based on the learning from Rel-16 NR-U, the main target is to design physical layer channels and signals to meet the regulation requirements. In t</w:t>
      </w:r>
      <w:r w:rsidRPr="00141C62">
        <w:t>his contribution</w:t>
      </w:r>
      <w:r w:rsidR="004A76A8">
        <w:t>, we present our views on</w:t>
      </w:r>
      <w:r w:rsidRPr="00141C62">
        <w:t xml:space="preserve"> sidelink physical layer structure and procedure </w:t>
      </w:r>
      <w:r w:rsidR="004A76A8">
        <w:t xml:space="preserve">design so as </w:t>
      </w:r>
      <w:r w:rsidRPr="00141C62">
        <w:t xml:space="preserve">to </w:t>
      </w:r>
      <w:r w:rsidR="004A76A8">
        <w:t>not only meet regulation requirements but also improve spectrum efficiency</w:t>
      </w:r>
      <w:r w:rsidRPr="00141C62">
        <w:t xml:space="preserve"> </w:t>
      </w:r>
      <w:r w:rsidR="004A76A8">
        <w:t>for</w:t>
      </w:r>
      <w:r w:rsidRPr="00141C62">
        <w:t xml:space="preserve"> unlicensed spectrum</w:t>
      </w:r>
      <w:bookmarkEnd w:id="3"/>
      <w:r w:rsidR="004A76A8">
        <w:t>.</w:t>
      </w:r>
    </w:p>
    <w:p w14:paraId="0FADE2CD" w14:textId="77777777" w:rsidR="00D01415" w:rsidRPr="00D01415" w:rsidRDefault="00D01415"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2967A7C5" w:rsidR="002C46E1" w:rsidRDefault="009E1BDD" w:rsidP="002C46E1">
      <w:pPr>
        <w:pStyle w:val="Heading2"/>
        <w:rPr>
          <w:lang w:eastAsia="zh-CN"/>
        </w:rPr>
      </w:pPr>
      <w:r>
        <w:rPr>
          <w:lang w:eastAsia="zh-CN"/>
        </w:rPr>
        <w:t>Interlace</w:t>
      </w:r>
      <w:r w:rsidR="00FE4286">
        <w:rPr>
          <w:lang w:eastAsia="zh-CN"/>
        </w:rPr>
        <w:t xml:space="preserve">-based </w:t>
      </w:r>
      <w:r>
        <w:rPr>
          <w:lang w:eastAsia="zh-CN"/>
        </w:rPr>
        <w:t xml:space="preserve">structure </w:t>
      </w:r>
    </w:p>
    <w:p w14:paraId="2FDE9EAA" w14:textId="77777777" w:rsidR="00015320" w:rsidRDefault="00015320" w:rsidP="00015320">
      <w:pPr>
        <w:pStyle w:val="BodyText"/>
      </w:pPr>
      <w:r w:rsidRPr="00754B86">
        <w:t xml:space="preserve">Wireless signal transmission on unlicensed spectrum should meet the requirements of regulation subject to the management of the located country/region. Hence, </w:t>
      </w:r>
      <w:r>
        <w:t>the design of</w:t>
      </w:r>
      <w:r w:rsidRPr="00754B86">
        <w:t xml:space="preserve"> uplink waveform for </w:t>
      </w:r>
      <w:r>
        <w:t>NR-U PUSCH/</w:t>
      </w:r>
      <w:r w:rsidRPr="00754B86">
        <w:t xml:space="preserve">PUCCH </w:t>
      </w:r>
      <w:r>
        <w:t xml:space="preserve">should </w:t>
      </w:r>
      <w:r w:rsidRPr="00754B86">
        <w:t>meet the regulation requirements on unlicensed spectrum.</w:t>
      </w:r>
      <w:r>
        <w:t xml:space="preserve"> </w:t>
      </w:r>
    </w:p>
    <w:p w14:paraId="0A799BDB" w14:textId="77777777" w:rsidR="00015320" w:rsidRDefault="00015320" w:rsidP="00015320">
      <w:pPr>
        <w:pStyle w:val="BodyText"/>
      </w:pPr>
      <w:r>
        <w:t>The r</w:t>
      </w:r>
      <w:r w:rsidRPr="00754B86">
        <w:t>equirement</w:t>
      </w:r>
      <w:r>
        <w:t>s mainly include</w:t>
      </w:r>
      <w:r w:rsidRPr="00754B86">
        <w:t xml:space="preserve"> </w:t>
      </w:r>
      <w:r>
        <w:t xml:space="preserve">two aspects: </w:t>
      </w:r>
    </w:p>
    <w:p w14:paraId="765CC798" w14:textId="77777777" w:rsidR="00015320" w:rsidRDefault="00015320" w:rsidP="00AB288C">
      <w:pPr>
        <w:pStyle w:val="BodyText"/>
        <w:numPr>
          <w:ilvl w:val="0"/>
          <w:numId w:val="8"/>
        </w:numPr>
      </w:pPr>
      <w:r>
        <w:t>O</w:t>
      </w:r>
      <w:r w:rsidRPr="00754B86">
        <w:t>ccupied channel bandwidth</w:t>
      </w:r>
      <w:r>
        <w:t xml:space="preserve"> (OCB):</w:t>
      </w:r>
      <w:r w:rsidRPr="00754B86">
        <w:t xml:space="preserve"> the bandwidth containing 99% of the power of the signal, shall be between 80% and 100% of declared Nominal Channel Bandwidth</w:t>
      </w:r>
      <w:r>
        <w:t xml:space="preserve">; </w:t>
      </w:r>
    </w:p>
    <w:p w14:paraId="60620468" w14:textId="77777777" w:rsidR="00015320" w:rsidRDefault="00015320" w:rsidP="00AB288C">
      <w:pPr>
        <w:pStyle w:val="BodyText"/>
        <w:numPr>
          <w:ilvl w:val="0"/>
          <w:numId w:val="8"/>
        </w:numPr>
      </w:pPr>
      <w:r>
        <w:t>M</w:t>
      </w:r>
      <w:r w:rsidRPr="00754B86">
        <w:t>aximum PSD (power spectrum density) with a resolution bandwidth of 1MHz</w:t>
      </w:r>
      <w:r>
        <w:t>, e.g., 10dBm/</w:t>
      </w:r>
      <w:proofErr w:type="spellStart"/>
      <w:r>
        <w:t>MHz</w:t>
      </w:r>
      <w:r w:rsidRPr="00754B86">
        <w:t>.</w:t>
      </w:r>
      <w:proofErr w:type="spellEnd"/>
      <w:r w:rsidRPr="00754B86">
        <w:t xml:space="preserve"> </w:t>
      </w:r>
    </w:p>
    <w:p w14:paraId="2B500317" w14:textId="77777777" w:rsidR="00015320" w:rsidRDefault="00015320" w:rsidP="00015320">
      <w:pPr>
        <w:pStyle w:val="BodyText"/>
      </w:pPr>
      <w:r>
        <w:t>These two requirements dictate</w:t>
      </w:r>
      <w:r w:rsidRPr="00754B86">
        <w:t xml:space="preserve"> that a signal which occupies a small portion of the </w:t>
      </w:r>
      <w:r>
        <w:t xml:space="preserve">channel </w:t>
      </w:r>
      <w:r w:rsidRPr="00754B86">
        <w:t xml:space="preserve">bandwidth cannot be transmitted at the maximum available power at the UE due to the PSD and </w:t>
      </w:r>
      <w:r>
        <w:t>OCB</w:t>
      </w:r>
      <w:r w:rsidRPr="00754B86">
        <w:t xml:space="preserve"> constraints.</w:t>
      </w:r>
      <w:r>
        <w:t xml:space="preserve"> </w:t>
      </w:r>
    </w:p>
    <w:p w14:paraId="7746E852" w14:textId="2FEB7EDC" w:rsidR="00FE4286" w:rsidRDefault="00015320" w:rsidP="00FE4286">
      <w:pPr>
        <w:pStyle w:val="BodyText"/>
      </w:pPr>
      <w:r w:rsidRPr="008552F9">
        <w:t>In Rel-1</w:t>
      </w:r>
      <w:r w:rsidR="00995B80">
        <w:rPr>
          <w:lang w:val="en-US"/>
        </w:rPr>
        <w:t>6</w:t>
      </w:r>
      <w:r w:rsidRPr="008552F9">
        <w:t xml:space="preserve"> </w:t>
      </w:r>
      <w:r w:rsidR="00995B80">
        <w:rPr>
          <w:lang w:val="en-US"/>
        </w:rPr>
        <w:t>NR over unlicensed spectrum (NR-U)</w:t>
      </w:r>
      <w:r w:rsidRPr="008552F9">
        <w:t xml:space="preserve">, interlace-based waveform is adopted as uplink waveform for unlicensed spectrum. </w:t>
      </w:r>
      <w:r w:rsidR="00995B80" w:rsidRPr="008552F9">
        <w:t xml:space="preserve">Each interlace is equally distributed within the whole </w:t>
      </w:r>
      <w:r w:rsidR="00995B80">
        <w:rPr>
          <w:lang w:val="en-US"/>
        </w:rPr>
        <w:t xml:space="preserve">carrier </w:t>
      </w:r>
      <w:r w:rsidR="00995B80" w:rsidRPr="008552F9">
        <w:t>bandwidth</w:t>
      </w:r>
      <w:r w:rsidR="000D0F3E">
        <w:rPr>
          <w:lang w:val="en-US"/>
        </w:rPr>
        <w:t xml:space="preserve"> and</w:t>
      </w:r>
      <w:r w:rsidR="00995B80" w:rsidRPr="008552F9">
        <w:t xml:space="preserve"> spans more than </w:t>
      </w:r>
      <w:r w:rsidR="00995B80" w:rsidRPr="008552F9">
        <w:lastRenderedPageBreak/>
        <w:t xml:space="preserve">80% </w:t>
      </w:r>
      <w:r w:rsidR="000D0F3E">
        <w:rPr>
          <w:lang w:val="en-US"/>
        </w:rPr>
        <w:t>carrier</w:t>
      </w:r>
      <w:r w:rsidR="00995B80" w:rsidRPr="008552F9">
        <w:t xml:space="preserve"> bandwidth</w:t>
      </w:r>
      <w:r w:rsidR="000D0F3E">
        <w:rPr>
          <w:lang w:val="en-US"/>
        </w:rPr>
        <w:t>.</w:t>
      </w:r>
      <w:r w:rsidR="00995B80" w:rsidRPr="008552F9">
        <w:t xml:space="preserve"> </w:t>
      </w:r>
      <w:proofErr w:type="spellStart"/>
      <w:r w:rsidR="005D4BBC">
        <w:rPr>
          <w:lang w:val="en-US"/>
        </w:rPr>
        <w:t>T</w:t>
      </w:r>
      <w:r w:rsidR="005D4BBC" w:rsidRPr="008552F9">
        <w:t>he</w:t>
      </w:r>
      <w:proofErr w:type="spellEnd"/>
      <w:r w:rsidR="00995B80" w:rsidRPr="008552F9">
        <w:t xml:space="preserve"> regulation requirements of OCB can be met</w:t>
      </w:r>
      <w:r w:rsidR="000D0F3E" w:rsidRPr="000D0F3E">
        <w:rPr>
          <w:lang w:val="en-US"/>
        </w:rPr>
        <w:t xml:space="preserve"> </w:t>
      </w:r>
      <w:r w:rsidR="000D0F3E">
        <w:rPr>
          <w:lang w:val="en-US"/>
        </w:rPr>
        <w:t>if a</w:t>
      </w:r>
      <w:r w:rsidR="00995B80" w:rsidRPr="00995B80">
        <w:t xml:space="preserve"> signal</w:t>
      </w:r>
      <w:r w:rsidR="000D0F3E">
        <w:rPr>
          <w:lang w:val="en-US"/>
        </w:rPr>
        <w:t xml:space="preserve"> or channel</w:t>
      </w:r>
      <w:r w:rsidR="00995B80" w:rsidRPr="00995B80">
        <w:t xml:space="preserve"> can occupy</w:t>
      </w:r>
      <w:r w:rsidR="005D4BBC">
        <w:rPr>
          <w:lang w:val="en-US"/>
        </w:rPr>
        <w:t xml:space="preserve"> at least</w:t>
      </w:r>
      <w:r w:rsidR="00995B80" w:rsidRPr="00995B80">
        <w:t xml:space="preserve"> one interlace.</w:t>
      </w:r>
      <w:r w:rsidR="00995B80" w:rsidRPr="008552F9">
        <w:t xml:space="preserve"> Moreover, two adjacent PRBs of one interlace are separated by </w:t>
      </w:r>
      <w:r w:rsidR="000D0F3E">
        <w:rPr>
          <w:lang w:val="en-US"/>
        </w:rPr>
        <w:t xml:space="preserve">above </w:t>
      </w:r>
      <w:r w:rsidR="00995B80" w:rsidRPr="008552F9">
        <w:t>1</w:t>
      </w:r>
      <w:r w:rsidR="000D0F3E">
        <w:rPr>
          <w:lang w:val="en-US"/>
        </w:rPr>
        <w:t xml:space="preserve"> </w:t>
      </w:r>
      <w:r w:rsidR="00995B80" w:rsidRPr="008552F9">
        <w:t xml:space="preserve">MHz distance and power boosting can be </w:t>
      </w:r>
      <w:r w:rsidR="000D0F3E">
        <w:rPr>
          <w:lang w:val="en-US"/>
        </w:rPr>
        <w:t xml:space="preserve">adopted </w:t>
      </w:r>
      <w:r w:rsidR="00995B80" w:rsidRPr="008552F9">
        <w:t>for each PRB of one interlace.</w:t>
      </w:r>
      <w:r w:rsidR="000D0F3E">
        <w:rPr>
          <w:lang w:val="en-US"/>
        </w:rPr>
        <w:t xml:space="preserve"> E.g., f</w:t>
      </w:r>
      <w:r w:rsidR="000D0F3E" w:rsidRPr="008552F9">
        <w:t>or 20MHz bandwidth</w:t>
      </w:r>
      <w:r w:rsidR="000D0F3E">
        <w:rPr>
          <w:lang w:val="en-US"/>
        </w:rPr>
        <w:t xml:space="preserve"> and 15kHz SCS</w:t>
      </w:r>
      <w:r w:rsidR="000D0F3E" w:rsidRPr="008552F9">
        <w:t>, all the available 10</w:t>
      </w:r>
      <w:r w:rsidR="000D0F3E">
        <w:rPr>
          <w:lang w:val="en-US"/>
        </w:rPr>
        <w:t>6</w:t>
      </w:r>
      <w:r w:rsidR="000D0F3E" w:rsidRPr="008552F9">
        <w:t xml:space="preserve"> PRBs are partitioned into 10 interlaces. Each interlace has 1</w:t>
      </w:r>
      <w:r w:rsidR="000D0F3E">
        <w:rPr>
          <w:lang w:val="en-US"/>
        </w:rPr>
        <w:t>1 or 1</w:t>
      </w:r>
      <w:r w:rsidR="000D0F3E" w:rsidRPr="008552F9">
        <w:t xml:space="preserve">0 PRBs and is equally distributed within the </w:t>
      </w:r>
      <w:r w:rsidR="000D0F3E">
        <w:rPr>
          <w:lang w:val="en-US"/>
        </w:rPr>
        <w:t>20MHz</w:t>
      </w:r>
      <w:r w:rsidR="000D0F3E" w:rsidRPr="008552F9">
        <w:t xml:space="preserve"> bandwidth. In this way, each interlace spans more than 80% system bandwidth so that the regulation requirements of OCB can be met. Moreover, 10 PRBs of one interlace are equally spaced in frequency so that two adjacent PRBs of one interlace are separated by 1.8MHz distance.</w:t>
      </w:r>
      <w:r w:rsidR="00E97910">
        <w:t xml:space="preserve"> </w:t>
      </w:r>
      <w:r w:rsidR="00E97910">
        <w:rPr>
          <w:rFonts w:hint="eastAsia"/>
          <w:lang w:eastAsia="zh-CN"/>
        </w:rPr>
        <w:t>Hence</w:t>
      </w:r>
      <w:r w:rsidR="00E97910">
        <w:t xml:space="preserve">, </w:t>
      </w:r>
      <w:r w:rsidR="00995B80" w:rsidRPr="00995B80">
        <w:t xml:space="preserve">one PRB within one interlace can be transmitted with 10dBm </w:t>
      </w:r>
      <w:r w:rsidR="00E97910">
        <w:t xml:space="preserve">maximum </w:t>
      </w:r>
      <w:r w:rsidR="00995B80" w:rsidRPr="00995B80">
        <w:t>power.</w:t>
      </w:r>
      <w:r w:rsidR="009149BE">
        <w:t xml:space="preserve"> </w:t>
      </w:r>
    </w:p>
    <w:p w14:paraId="786E85ED" w14:textId="77777777" w:rsidR="00C54B3D" w:rsidRDefault="00C54B3D" w:rsidP="00FE4286">
      <w:pPr>
        <w:pStyle w:val="BodyText"/>
      </w:pPr>
    </w:p>
    <w:p w14:paraId="4D2B1DBD" w14:textId="5D30C4EA" w:rsidR="00995B80" w:rsidRDefault="00995B80" w:rsidP="00995B80">
      <w:pPr>
        <w:pStyle w:val="BodyText"/>
        <w:jc w:val="center"/>
        <w:rPr>
          <w:lang w:val="en-US"/>
        </w:rPr>
      </w:pPr>
      <w:r>
        <w:rPr>
          <w:noProof/>
          <w:lang w:val="en-US"/>
        </w:rPr>
        <w:drawing>
          <wp:inline distT="0" distB="0" distL="0" distR="0" wp14:anchorId="66BF2C36" wp14:editId="7F077C19">
            <wp:extent cx="5862320" cy="1420034"/>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3447" cy="1432419"/>
                    </a:xfrm>
                    <a:prstGeom prst="rect">
                      <a:avLst/>
                    </a:prstGeom>
                    <a:noFill/>
                  </pic:spPr>
                </pic:pic>
              </a:graphicData>
            </a:graphic>
          </wp:inline>
        </w:drawing>
      </w:r>
    </w:p>
    <w:p w14:paraId="32FF2C56" w14:textId="2F1442F8" w:rsidR="00995B80" w:rsidRPr="00995B80" w:rsidRDefault="00995B80" w:rsidP="00995B80">
      <w:pPr>
        <w:pStyle w:val="BodyText"/>
        <w:jc w:val="center"/>
        <w:rPr>
          <w:lang w:val="en-US"/>
        </w:rPr>
      </w:pPr>
      <w:r>
        <w:rPr>
          <w:lang w:val="en-US"/>
        </w:rPr>
        <w:t>Figure 1: Interlace-based structure for 15kHz SCS</w:t>
      </w:r>
    </w:p>
    <w:p w14:paraId="6F9BBBC3" w14:textId="77777777" w:rsidR="009149BE" w:rsidRDefault="009149BE" w:rsidP="009149BE">
      <w:pPr>
        <w:pStyle w:val="BodyText"/>
      </w:pPr>
    </w:p>
    <w:p w14:paraId="4C39198C" w14:textId="777A1264" w:rsidR="009149BE" w:rsidRDefault="009149BE" w:rsidP="009149BE">
      <w:pPr>
        <w:pStyle w:val="BodyText"/>
      </w:pPr>
      <w:r>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t>Sidelink transmission/reception happens in a resource pool which</w:t>
      </w:r>
      <w:r>
        <w:t xml:space="preserve"> can be configured with ‘M’ sub-channels with each subchannel including ‘N’ contiguous PRBs. The possible sub-channel size can be configured within the set of {n10, n12, n15, n20, n25, n50, n75, n100}. </w:t>
      </w:r>
      <w:r w:rsidR="00E36DB9">
        <w:t xml:space="preserve">A resource pool for sidelink does not span across entire sidelink carrier or LBT sub-band. </w:t>
      </w:r>
      <w:r>
        <w:t xml:space="preserve">Furthermore, each sub-channel is a self-contained structure containing PSCCH, PSSCH and PSFCH resources. </w:t>
      </w:r>
    </w:p>
    <w:p w14:paraId="33B19DDB" w14:textId="7C11A6AC" w:rsidR="00FE1550" w:rsidRDefault="00FE1550" w:rsidP="00FE1550">
      <w:pPr>
        <w:pStyle w:val="BodyText"/>
      </w:pPr>
      <w:r>
        <w:t xml:space="preserve">Therefore, there are two options to </w:t>
      </w:r>
      <w:r w:rsidRPr="00FE1550">
        <w:t xml:space="preserve">meet the regulatory requirements </w:t>
      </w:r>
      <w:r>
        <w:t>for</w:t>
      </w:r>
      <w:r w:rsidRPr="00FE1550">
        <w:t xml:space="preserve"> sidelink </w:t>
      </w:r>
      <w:r>
        <w:t xml:space="preserve">transmission on </w:t>
      </w:r>
      <w:r w:rsidRPr="00FE1550">
        <w:t xml:space="preserve">unlicensed </w:t>
      </w:r>
      <w:r>
        <w:t>spectrum:</w:t>
      </w:r>
    </w:p>
    <w:p w14:paraId="4C73D58F" w14:textId="64C0C590" w:rsidR="00FE1550" w:rsidRDefault="00FE1550" w:rsidP="00FE1550">
      <w:pPr>
        <w:pStyle w:val="BodyText"/>
        <w:numPr>
          <w:ilvl w:val="0"/>
          <w:numId w:val="14"/>
        </w:numPr>
      </w:pPr>
      <w:r>
        <w:t>Option 1: reuse Rel-16 NR-U design with PRB-based interlace structure for sidelink channels, e.g., PSCCH, PSSCH and PSFCH</w:t>
      </w:r>
      <w:r w:rsidR="00C54B3D">
        <w:t>,</w:t>
      </w:r>
      <w:r w:rsidR="00C54B3D" w:rsidRPr="00C54B3D">
        <w:t xml:space="preserve"> to meet regulation requirements on OCB (at least 80% frequency spanning) and PSD (e.g., 10dBm/MHz).</w:t>
      </w:r>
      <w:r w:rsidR="00C54B3D">
        <w:t xml:space="preserve"> </w:t>
      </w:r>
    </w:p>
    <w:p w14:paraId="4388FB8F" w14:textId="6A3191D1" w:rsidR="00FE1550" w:rsidRDefault="00FE1550" w:rsidP="00FE1550">
      <w:pPr>
        <w:pStyle w:val="BodyText"/>
        <w:numPr>
          <w:ilvl w:val="0"/>
          <w:numId w:val="14"/>
        </w:numPr>
      </w:pPr>
      <w:r>
        <w:t>Option 2: A</w:t>
      </w:r>
      <w:r w:rsidRPr="00FE1550">
        <w:t xml:space="preserve"> new interlacing structure based on sub-channel wise interlacing by considering the traditional sidelink design as much as possible i.e., PSCCH, PSSCH and PSFCH</w:t>
      </w:r>
      <w:r>
        <w:t>, as shown in below Table 1</w:t>
      </w:r>
      <w:r w:rsidRPr="00FE1550">
        <w:t>. For other subchannel size than 10, there are some left overs PRBs that might constitute a full subchannel. Depending on the numerology decision i.e.., SCS, sub-channel size this could be further studied and optimized.</w:t>
      </w:r>
    </w:p>
    <w:p w14:paraId="22A79009" w14:textId="0AB3FD8F" w:rsidR="00FE1550" w:rsidRDefault="00FE1550" w:rsidP="00FE1550">
      <w:pPr>
        <w:pStyle w:val="BodyText"/>
        <w:ind w:left="720"/>
      </w:pPr>
    </w:p>
    <w:p w14:paraId="36130960" w14:textId="30CA8AF5" w:rsidR="00FE1550" w:rsidRPr="00FE1550" w:rsidRDefault="00FE1550" w:rsidP="00FE1550">
      <w:pPr>
        <w:pStyle w:val="BodyText"/>
        <w:ind w:left="720"/>
        <w:jc w:val="center"/>
      </w:pPr>
      <w:r>
        <w:t>Table 1: Sub-channel wise interlacing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2790"/>
        <w:gridCol w:w="2746"/>
        <w:gridCol w:w="2516"/>
      </w:tblGrid>
      <w:tr w:rsidR="00FE1550" w:rsidRPr="00FE1550" w14:paraId="2221D8A3" w14:textId="77777777" w:rsidTr="00FE1550">
        <w:trPr>
          <w:trHeight w:val="845"/>
        </w:trPr>
        <w:tc>
          <w:tcPr>
            <w:tcW w:w="1255" w:type="dxa"/>
            <w:shd w:val="clear" w:color="auto" w:fill="E7E6E6"/>
          </w:tcPr>
          <w:p w14:paraId="792768A0"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Subchannel size (PRBs)</w:t>
            </w:r>
          </w:p>
        </w:tc>
        <w:tc>
          <w:tcPr>
            <w:tcW w:w="2790" w:type="dxa"/>
            <w:shd w:val="clear" w:color="auto" w:fill="E7E6E6"/>
          </w:tcPr>
          <w:p w14:paraId="77E5AD7F"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 xml:space="preserve">No of sub-channels in a resource pool with 20MHz BW (100PRBs @15KHz SCS) </w:t>
            </w:r>
          </w:p>
        </w:tc>
        <w:tc>
          <w:tcPr>
            <w:tcW w:w="2746" w:type="dxa"/>
            <w:shd w:val="clear" w:color="auto" w:fill="E7E6E6"/>
          </w:tcPr>
          <w:p w14:paraId="413DC637"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Interlacing structure examples considering 15kHz SCS</w:t>
            </w:r>
          </w:p>
        </w:tc>
        <w:tc>
          <w:tcPr>
            <w:tcW w:w="2516" w:type="dxa"/>
            <w:shd w:val="clear" w:color="auto" w:fill="E7E6E6"/>
          </w:tcPr>
          <w:p w14:paraId="79EA072A" w14:textId="17764213"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Percentage of occupied channel ban</w:t>
            </w:r>
            <w:r>
              <w:rPr>
                <w:rFonts w:ascii="Times New Roman" w:eastAsia="Batang" w:hAnsi="Times New Roman" w:cs="Times New Roman"/>
                <w:b/>
                <w:bCs/>
                <w:kern w:val="2"/>
                <w:sz w:val="20"/>
                <w:szCs w:val="20"/>
                <w:lang w:eastAsia="x-none"/>
              </w:rPr>
              <w:t>d</w:t>
            </w:r>
            <w:r w:rsidRPr="00FE1550">
              <w:rPr>
                <w:rFonts w:ascii="Times New Roman" w:eastAsia="Batang" w:hAnsi="Times New Roman" w:cs="Times New Roman"/>
                <w:b/>
                <w:bCs/>
                <w:kern w:val="2"/>
                <w:sz w:val="20"/>
                <w:szCs w:val="20"/>
                <w:lang w:eastAsia="x-none"/>
              </w:rPr>
              <w:t xml:space="preserve">width per interlace </w:t>
            </w:r>
          </w:p>
        </w:tc>
      </w:tr>
      <w:tr w:rsidR="00FE1550" w:rsidRPr="00FE1550" w14:paraId="14731425" w14:textId="77777777" w:rsidTr="00FE1550">
        <w:trPr>
          <w:trHeight w:val="858"/>
        </w:trPr>
        <w:tc>
          <w:tcPr>
            <w:tcW w:w="1255" w:type="dxa"/>
            <w:shd w:val="clear" w:color="auto" w:fill="auto"/>
          </w:tcPr>
          <w:p w14:paraId="07809ACB"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lang w:eastAsia="x-none"/>
              </w:rPr>
            </w:pPr>
            <w:r w:rsidRPr="00FE1550">
              <w:rPr>
                <w:rFonts w:ascii="Times New Roman" w:eastAsia="Batang" w:hAnsi="Times New Roman" w:cs="Times New Roman"/>
                <w:kern w:val="2"/>
                <w:lang w:eastAsia="x-none"/>
              </w:rPr>
              <w:t>10</w:t>
            </w:r>
          </w:p>
        </w:tc>
        <w:tc>
          <w:tcPr>
            <w:tcW w:w="2790" w:type="dxa"/>
            <w:shd w:val="clear" w:color="auto" w:fill="auto"/>
          </w:tcPr>
          <w:p w14:paraId="6BBF0C59"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lang w:eastAsia="x-none"/>
              </w:rPr>
            </w:pPr>
            <w:r w:rsidRPr="00FE1550">
              <w:rPr>
                <w:rFonts w:ascii="Times New Roman" w:eastAsia="Batang" w:hAnsi="Times New Roman" w:cs="Times New Roman"/>
                <w:kern w:val="2"/>
                <w:lang w:eastAsia="x-none"/>
              </w:rPr>
              <w:t>10</w:t>
            </w:r>
          </w:p>
        </w:tc>
        <w:tc>
          <w:tcPr>
            <w:tcW w:w="2746" w:type="dxa"/>
            <w:shd w:val="clear" w:color="auto" w:fill="auto"/>
          </w:tcPr>
          <w:p w14:paraId="1B49B1CA"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20"/>
                <w:szCs w:val="20"/>
                <w:lang w:eastAsia="x-none"/>
              </w:rPr>
            </w:pPr>
            <w:r w:rsidRPr="00FE1550">
              <w:rPr>
                <w:rFonts w:ascii="Times New Roman" w:eastAsia="Batang" w:hAnsi="Times New Roman" w:cs="Times New Roman"/>
                <w:kern w:val="2"/>
                <w:sz w:val="20"/>
                <w:szCs w:val="20"/>
                <w:lang w:eastAsia="x-none"/>
              </w:rPr>
              <w:t>M= 2, N= 5</w:t>
            </w:r>
          </w:p>
          <w:p w14:paraId="753644CE"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18"/>
                <w:szCs w:val="18"/>
                <w:lang w:eastAsia="x-none"/>
              </w:rPr>
            </w:pPr>
            <w:r w:rsidRPr="00FE1550">
              <w:rPr>
                <w:rFonts w:ascii="Times New Roman" w:eastAsia="Batang" w:hAnsi="Times New Roman" w:cs="Times New Roman"/>
                <w:kern w:val="2"/>
                <w:sz w:val="18"/>
                <w:szCs w:val="18"/>
                <w:lang w:eastAsia="x-none"/>
              </w:rPr>
              <w:t>Interlace 0 SC #0, 2, 4, 6, 8</w:t>
            </w:r>
          </w:p>
          <w:p w14:paraId="3DFA9C68"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18"/>
                <w:szCs w:val="18"/>
                <w:lang w:eastAsia="x-none"/>
              </w:rPr>
            </w:pPr>
            <w:r w:rsidRPr="00FE1550">
              <w:rPr>
                <w:rFonts w:ascii="Times New Roman" w:eastAsia="Batang" w:hAnsi="Times New Roman" w:cs="Times New Roman"/>
                <w:kern w:val="2"/>
                <w:sz w:val="18"/>
                <w:szCs w:val="18"/>
                <w:lang w:eastAsia="x-none"/>
              </w:rPr>
              <w:t>Interlace 1 SC #1, 3, 5, 7, 9</w:t>
            </w:r>
          </w:p>
          <w:p w14:paraId="524F0823"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16"/>
                <w:szCs w:val="16"/>
                <w:lang w:eastAsia="x-none"/>
              </w:rPr>
            </w:pPr>
          </w:p>
        </w:tc>
        <w:tc>
          <w:tcPr>
            <w:tcW w:w="2516" w:type="dxa"/>
            <w:shd w:val="clear" w:color="auto" w:fill="auto"/>
          </w:tcPr>
          <w:p w14:paraId="3CF8160F"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20"/>
                <w:szCs w:val="20"/>
                <w:lang w:eastAsia="x-none"/>
              </w:rPr>
            </w:pPr>
            <w:r w:rsidRPr="00FE1550">
              <w:rPr>
                <w:rFonts w:ascii="Times New Roman" w:eastAsia="Batang" w:hAnsi="Times New Roman" w:cs="Times New Roman"/>
                <w:kern w:val="2"/>
                <w:sz w:val="20"/>
                <w:szCs w:val="20"/>
                <w:lang w:eastAsia="x-none"/>
              </w:rPr>
              <w:t>90%</w:t>
            </w:r>
          </w:p>
        </w:tc>
      </w:tr>
    </w:tbl>
    <w:p w14:paraId="044AEBBC" w14:textId="77777777" w:rsidR="00FE1550" w:rsidRDefault="00FE1550" w:rsidP="009149BE">
      <w:pPr>
        <w:pStyle w:val="BodyText"/>
      </w:pPr>
    </w:p>
    <w:p w14:paraId="177E99CC" w14:textId="77777777" w:rsidR="00FE1550" w:rsidRDefault="00FE1550" w:rsidP="009149BE">
      <w:pPr>
        <w:pStyle w:val="BodyText"/>
      </w:pPr>
    </w:p>
    <w:p w14:paraId="3B3C3257" w14:textId="287321A0" w:rsidR="009037B9" w:rsidRDefault="00FE1550" w:rsidP="009037B9">
      <w:pPr>
        <w:pStyle w:val="BodyText"/>
      </w:pPr>
      <w:r>
        <w:t>In addition, t</w:t>
      </w:r>
      <w:r w:rsidR="009037B9" w:rsidRPr="008552F9">
        <w:t xml:space="preserve">here are multiple numerologies defined for NR including 15, 30, 60 kHz for FR1. </w:t>
      </w:r>
      <w:r w:rsidR="009037B9">
        <w:t>Rel-16 NR-U</w:t>
      </w:r>
      <w:r w:rsidR="009037B9" w:rsidRPr="008552F9">
        <w:t xml:space="preserve"> has agreed </w:t>
      </w:r>
      <w:r w:rsidR="009037B9">
        <w:t xml:space="preserve">the number of interlaces is determined according to the subcarrier spacing, i.e., </w:t>
      </w:r>
      <w:r w:rsidR="009037B9" w:rsidRPr="008552F9">
        <w:t xml:space="preserve">10 interlaces with 10 or 11 PRBs per interlace for 15 kHz subcarrier spacing and 5 interlaces with 10 or 11 PRBs per interlace for 30kHz subcarrier spacing. For 60 kHz subcarrier spacing, </w:t>
      </w:r>
      <w:r w:rsidR="009037B9">
        <w:t xml:space="preserve">it is not specified in Rel-16 NR-U for interlace-based structure. </w:t>
      </w:r>
    </w:p>
    <w:p w14:paraId="2E8C33C2" w14:textId="77777777" w:rsidR="009037B9" w:rsidRDefault="009037B9" w:rsidP="009037B9">
      <w:pPr>
        <w:pStyle w:val="BodyText"/>
      </w:pPr>
    </w:p>
    <w:p w14:paraId="2C63737C" w14:textId="4A53E2B4" w:rsidR="00015320" w:rsidRPr="00E7424C" w:rsidRDefault="00015320" w:rsidP="00FE1550">
      <w:pPr>
        <w:pStyle w:val="BodyText"/>
        <w:ind w:left="720"/>
        <w:jc w:val="center"/>
      </w:pPr>
      <w:r w:rsidRPr="00FE1550">
        <w:lastRenderedPageBreak/>
        <w:t xml:space="preserve">Table </w:t>
      </w:r>
      <w:r w:rsidR="00FE1550" w:rsidRPr="00FE1550">
        <w:t>2</w:t>
      </w:r>
      <w:r w:rsidRPr="00FE1550">
        <w:t xml:space="preserve">: Max transmission bandwidth configuration NRB for FR1 (450 – </w:t>
      </w:r>
      <w:r w:rsidR="009037B9" w:rsidRPr="00FE1550">
        <w:t>7125</w:t>
      </w:r>
      <w:r w:rsidRPr="00FE1550">
        <w:t xml:space="preserve"> MHz)</w:t>
      </w:r>
    </w:p>
    <w:p w14:paraId="3337B3A5" w14:textId="4FFBA063" w:rsidR="00015320" w:rsidRDefault="00015320" w:rsidP="00015320">
      <w:pPr>
        <w:spacing w:after="0"/>
        <w:jc w:val="center"/>
        <w:rPr>
          <w:sz w:val="20"/>
          <w:szCs w:val="20"/>
        </w:rPr>
      </w:pPr>
      <w:r>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77777777" w:rsidR="00015320" w:rsidRDefault="00015320" w:rsidP="00015320">
      <w:pPr>
        <w:spacing w:after="0"/>
        <w:jc w:val="center"/>
        <w:rPr>
          <w:sz w:val="20"/>
          <w:szCs w:val="20"/>
        </w:rPr>
      </w:pPr>
    </w:p>
    <w:p w14:paraId="6F09F660" w14:textId="45F3C06E" w:rsidR="00015320" w:rsidRPr="00725851" w:rsidRDefault="00015320" w:rsidP="00995B80">
      <w:pPr>
        <w:pStyle w:val="BodyText"/>
        <w:rPr>
          <w:lang w:val="en-US"/>
        </w:rPr>
      </w:pPr>
      <w:r w:rsidRPr="00995B80">
        <w:t xml:space="preserve">For </w:t>
      </w:r>
      <w:r w:rsidR="009037B9">
        <w:t xml:space="preserve">the combination of </w:t>
      </w:r>
      <w:r w:rsidRPr="00995B80">
        <w:t>20MHz bandwidth and 60 kHz subcarrier spacing, candidate PRB-based interlace designs are listed in Table 2</w:t>
      </w:r>
      <w:r w:rsidR="00725851">
        <w:rPr>
          <w:lang w:val="en-US"/>
        </w:rPr>
        <w:t>, wherein M is the number of interlaces and N is the number of PRBs per interlace</w:t>
      </w:r>
      <w:r w:rsidRPr="00995B80">
        <w:t xml:space="preserve">. Generally, the combination of 4 interlaces and 6 PRBs per interlace can’t meet the regulation requirement of at least 80% occupancy ratio. The combination of 3 interlaces and 8 PRBs per interlace can </w:t>
      </w:r>
      <w:r w:rsidR="009037B9">
        <w:t>nearly</w:t>
      </w:r>
      <w:r w:rsidRPr="00995B80">
        <w:t xml:space="preserve"> meet the occupancy ratio requirement. Instead, the combination of 2 interlaces and 12 PRBs per interlace can obviously meet the requirement.</w:t>
      </w:r>
      <w:r w:rsidR="009037B9">
        <w:t xml:space="preserve"> </w:t>
      </w:r>
      <w:r w:rsidR="00725851">
        <w:rPr>
          <w:lang w:val="en-US"/>
        </w:rPr>
        <w:t>The</w:t>
      </w:r>
      <w:r w:rsidR="009037B9">
        <w:t xml:space="preserve"> drawback is the frequency separation is 1.44MHz between two adjacent RBs of one interlace</w:t>
      </w:r>
      <w:r w:rsidR="00725851">
        <w:t xml:space="preserve"> so </w:t>
      </w:r>
      <w:r w:rsidR="00725851">
        <w:rPr>
          <w:lang w:val="en-US"/>
        </w:rPr>
        <w:t xml:space="preserve">the power boosting target for 10dBm per PRB can’t be met due to the regulation requirements of PSD requirement of </w:t>
      </w:r>
      <w:r w:rsidR="00725851">
        <w:t>10</w:t>
      </w:r>
      <w:r w:rsidR="00725851">
        <w:rPr>
          <w:rFonts w:hint="eastAsia"/>
          <w:lang w:eastAsia="zh-CN"/>
        </w:rPr>
        <w:t>d</w:t>
      </w:r>
      <w:r w:rsidR="00725851">
        <w:rPr>
          <w:lang w:val="en-US"/>
        </w:rPr>
        <w:t>Bm/</w:t>
      </w:r>
      <w:proofErr w:type="spellStart"/>
      <w:r w:rsidR="00725851">
        <w:rPr>
          <w:lang w:val="en-US"/>
        </w:rPr>
        <w:t>MHz.</w:t>
      </w:r>
      <w:proofErr w:type="spellEnd"/>
      <w:r w:rsidR="00725851">
        <w:rPr>
          <w:lang w:val="en-US"/>
        </w:rPr>
        <w:t xml:space="preserve"> </w:t>
      </w:r>
      <w:r w:rsidR="00725851">
        <w:t>However, t</w:t>
      </w:r>
      <w:r w:rsidR="00725851">
        <w:rPr>
          <w:lang w:val="en-US"/>
        </w:rPr>
        <w:t>he two interlaces provides some scheduling flexibility on two-UE multiplexing.</w:t>
      </w:r>
    </w:p>
    <w:p w14:paraId="6C3DC2E0" w14:textId="77777777" w:rsidR="00015320" w:rsidRPr="008D1D31" w:rsidRDefault="00015320" w:rsidP="00015320">
      <w:pPr>
        <w:spacing w:after="0"/>
        <w:jc w:val="center"/>
        <w:rPr>
          <w:sz w:val="20"/>
          <w:szCs w:val="20"/>
        </w:rPr>
      </w:pPr>
    </w:p>
    <w:p w14:paraId="1869EAE9" w14:textId="77777777" w:rsidR="00015320" w:rsidRPr="00E7424C" w:rsidRDefault="00015320" w:rsidP="00015320">
      <w:pPr>
        <w:spacing w:after="0"/>
        <w:jc w:val="center"/>
        <w:rPr>
          <w:sz w:val="20"/>
          <w:szCs w:val="20"/>
        </w:rPr>
      </w:pPr>
      <w:r w:rsidRPr="00E7424C">
        <w:rPr>
          <w:b/>
          <w:bCs/>
          <w:sz w:val="20"/>
          <w:szCs w:val="20"/>
        </w:rPr>
        <w:t xml:space="preserve">Table </w:t>
      </w:r>
      <w:r>
        <w:rPr>
          <w:b/>
          <w:bCs/>
          <w:sz w:val="20"/>
          <w:szCs w:val="20"/>
        </w:rPr>
        <w:t>2:</w:t>
      </w:r>
      <w:r w:rsidRPr="00E7424C">
        <w:rPr>
          <w:b/>
          <w:bCs/>
          <w:sz w:val="20"/>
          <w:szCs w:val="20"/>
        </w:rPr>
        <w:t xml:space="preserve"> </w:t>
      </w:r>
      <w:r>
        <w:rPr>
          <w:b/>
          <w:bCs/>
          <w:sz w:val="20"/>
          <w:szCs w:val="20"/>
        </w:rPr>
        <w:t>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14:paraId="634F708D" w14:textId="77777777" w:rsidTr="002C7D5F">
        <w:trPr>
          <w:trHeight w:val="614"/>
          <w:jc w:val="center"/>
        </w:trPr>
        <w:tc>
          <w:tcPr>
            <w:tcW w:w="1479" w:type="dxa"/>
            <w:shd w:val="clear" w:color="auto" w:fill="auto"/>
            <w:vAlign w:val="center"/>
          </w:tcPr>
          <w:p w14:paraId="03266F9F" w14:textId="77777777" w:rsidR="00015320" w:rsidRPr="000E3FAB" w:rsidRDefault="00015320" w:rsidP="00AF62A4">
            <w:pPr>
              <w:widowControl w:val="0"/>
              <w:rPr>
                <w:sz w:val="20"/>
              </w:rPr>
            </w:pPr>
            <w:r w:rsidRPr="000E3FAB">
              <w:rPr>
                <w:sz w:val="20"/>
              </w:rPr>
              <w:t>SCS</w:t>
            </w:r>
          </w:p>
        </w:tc>
        <w:tc>
          <w:tcPr>
            <w:tcW w:w="2126" w:type="dxa"/>
            <w:shd w:val="clear" w:color="auto" w:fill="auto"/>
            <w:vAlign w:val="center"/>
          </w:tcPr>
          <w:p w14:paraId="7494E6F9" w14:textId="77777777" w:rsidR="00015320" w:rsidRPr="000E3FAB" w:rsidRDefault="00015320" w:rsidP="00AF62A4">
            <w:pPr>
              <w:widowControl w:val="0"/>
              <w:rPr>
                <w:sz w:val="20"/>
              </w:rPr>
            </w:pPr>
            <w:r w:rsidRPr="000E3FAB">
              <w:rPr>
                <w:sz w:val="20"/>
              </w:rPr>
              <w:t>Candidate design</w:t>
            </w:r>
          </w:p>
        </w:tc>
        <w:tc>
          <w:tcPr>
            <w:tcW w:w="2960" w:type="dxa"/>
            <w:shd w:val="clear" w:color="auto" w:fill="auto"/>
            <w:vAlign w:val="center"/>
          </w:tcPr>
          <w:p w14:paraId="0F6DD1DA" w14:textId="77777777" w:rsidR="00015320" w:rsidRPr="000E3FAB" w:rsidRDefault="00015320" w:rsidP="00AF62A4">
            <w:pPr>
              <w:widowControl w:val="0"/>
              <w:rPr>
                <w:sz w:val="20"/>
              </w:rPr>
            </w:pPr>
            <w:r w:rsidRPr="000E3FAB">
              <w:rPr>
                <w:sz w:val="20"/>
              </w:rPr>
              <w:t xml:space="preserve">Occupied channel bandwidth per </w:t>
            </w:r>
            <w:proofErr w:type="gramStart"/>
            <w:r w:rsidRPr="000E3FAB">
              <w:rPr>
                <w:sz w:val="20"/>
              </w:rPr>
              <w:t>interlace</w:t>
            </w:r>
            <w:proofErr w:type="gramEnd"/>
          </w:p>
          <w:p w14:paraId="03185843" w14:textId="77777777" w:rsidR="00015320" w:rsidRPr="000E3FAB" w:rsidRDefault="00015320" w:rsidP="00AF62A4">
            <w:pPr>
              <w:widowControl w:val="0"/>
              <w:rPr>
                <w:sz w:val="20"/>
              </w:rPr>
            </w:pPr>
          </w:p>
        </w:tc>
        <w:tc>
          <w:tcPr>
            <w:tcW w:w="2742" w:type="dxa"/>
            <w:shd w:val="clear" w:color="auto" w:fill="auto"/>
          </w:tcPr>
          <w:p w14:paraId="57FEC16E" w14:textId="77777777" w:rsidR="00015320" w:rsidRPr="000E3FAB" w:rsidRDefault="00015320" w:rsidP="00AF62A4">
            <w:pPr>
              <w:widowControl w:val="0"/>
              <w:rPr>
                <w:sz w:val="20"/>
              </w:rPr>
            </w:pPr>
            <w:r w:rsidRPr="000E3FAB">
              <w:rPr>
                <w:sz w:val="20"/>
              </w:rPr>
              <w:t>Percentage of occupied channel bandwidth per interlace over declared channel bandwidth</w:t>
            </w:r>
          </w:p>
        </w:tc>
      </w:tr>
      <w:tr w:rsidR="00015320" w:rsidRPr="000E3FAB" w14:paraId="0E010BD0" w14:textId="77777777" w:rsidTr="002C7D5F">
        <w:trPr>
          <w:jc w:val="center"/>
        </w:trPr>
        <w:tc>
          <w:tcPr>
            <w:tcW w:w="1479" w:type="dxa"/>
            <w:vMerge w:val="restart"/>
            <w:shd w:val="clear" w:color="auto" w:fill="auto"/>
            <w:vAlign w:val="center"/>
          </w:tcPr>
          <w:p w14:paraId="799DCF06" w14:textId="77777777" w:rsidR="00015320" w:rsidRPr="000E3FAB" w:rsidRDefault="00015320" w:rsidP="00AF62A4">
            <w:pPr>
              <w:widowControl w:val="0"/>
              <w:rPr>
                <w:sz w:val="20"/>
              </w:rPr>
            </w:pPr>
            <w:r w:rsidRPr="000E3FAB">
              <w:rPr>
                <w:rFonts w:hint="eastAsia"/>
                <w:sz w:val="20"/>
              </w:rPr>
              <w:t>60</w:t>
            </w:r>
            <w:r w:rsidRPr="000E3FAB">
              <w:rPr>
                <w:sz w:val="20"/>
              </w:rPr>
              <w:t xml:space="preserve"> k</w:t>
            </w:r>
            <w:r w:rsidRPr="000E3FAB">
              <w:rPr>
                <w:rFonts w:hint="eastAsia"/>
                <w:sz w:val="20"/>
              </w:rPr>
              <w:t>Hz</w:t>
            </w:r>
            <w:r w:rsidRPr="000E3FAB">
              <w:rPr>
                <w:sz w:val="20"/>
              </w:rPr>
              <w:t xml:space="preserve"> (total 24 PRBs)</w:t>
            </w:r>
          </w:p>
        </w:tc>
        <w:tc>
          <w:tcPr>
            <w:tcW w:w="2126" w:type="dxa"/>
            <w:shd w:val="clear" w:color="auto" w:fill="auto"/>
            <w:vAlign w:val="center"/>
          </w:tcPr>
          <w:p w14:paraId="361C1869" w14:textId="77777777" w:rsidR="00015320" w:rsidRPr="000E3FAB" w:rsidRDefault="00015320" w:rsidP="00AF62A4">
            <w:pPr>
              <w:widowControl w:val="0"/>
              <w:rPr>
                <w:sz w:val="20"/>
              </w:rPr>
            </w:pPr>
            <w:r w:rsidRPr="000E3FAB">
              <w:rPr>
                <w:sz w:val="20"/>
              </w:rPr>
              <w:t>M = 4, N = 6</w:t>
            </w:r>
            <w:r w:rsidRPr="000E3FAB">
              <w:rPr>
                <w:sz w:val="20"/>
              </w:rPr>
              <w:tab/>
            </w:r>
          </w:p>
        </w:tc>
        <w:tc>
          <w:tcPr>
            <w:tcW w:w="2960" w:type="dxa"/>
            <w:shd w:val="clear" w:color="auto" w:fill="auto"/>
            <w:vAlign w:val="center"/>
          </w:tcPr>
          <w:p w14:paraId="6EE1381A" w14:textId="77777777" w:rsidR="00015320" w:rsidRPr="000E3FAB" w:rsidRDefault="00015320" w:rsidP="00AF62A4">
            <w:pPr>
              <w:widowControl w:val="0"/>
              <w:rPr>
                <w:sz w:val="20"/>
              </w:rPr>
            </w:pPr>
            <w:r w:rsidRPr="000E3FAB">
              <w:rPr>
                <w:sz w:val="20"/>
              </w:rPr>
              <w:t xml:space="preserve">15.12MHz (21 PRBs) </w:t>
            </w:r>
          </w:p>
        </w:tc>
        <w:tc>
          <w:tcPr>
            <w:tcW w:w="2742" w:type="dxa"/>
            <w:shd w:val="clear" w:color="auto" w:fill="auto"/>
          </w:tcPr>
          <w:p w14:paraId="513233FB" w14:textId="77777777" w:rsidR="00015320" w:rsidRPr="000E3FAB" w:rsidRDefault="00015320" w:rsidP="00AF62A4">
            <w:pPr>
              <w:widowControl w:val="0"/>
              <w:rPr>
                <w:color w:val="0070C0"/>
                <w:sz w:val="20"/>
              </w:rPr>
            </w:pPr>
            <w:r w:rsidRPr="000E3FAB">
              <w:rPr>
                <w:color w:val="0070C0"/>
                <w:sz w:val="20"/>
              </w:rPr>
              <w:t>75.6%</w:t>
            </w:r>
          </w:p>
        </w:tc>
      </w:tr>
      <w:tr w:rsidR="00015320" w:rsidRPr="00687F18" w14:paraId="46679F58" w14:textId="77777777" w:rsidTr="002C7D5F">
        <w:trPr>
          <w:jc w:val="center"/>
        </w:trPr>
        <w:tc>
          <w:tcPr>
            <w:tcW w:w="1479" w:type="dxa"/>
            <w:vMerge/>
            <w:shd w:val="clear" w:color="auto" w:fill="auto"/>
            <w:vAlign w:val="center"/>
          </w:tcPr>
          <w:p w14:paraId="592EE60E" w14:textId="77777777" w:rsidR="00015320" w:rsidRPr="000E3FAB" w:rsidRDefault="00015320" w:rsidP="00AF62A4">
            <w:pPr>
              <w:widowControl w:val="0"/>
              <w:rPr>
                <w:sz w:val="20"/>
              </w:rPr>
            </w:pPr>
          </w:p>
        </w:tc>
        <w:tc>
          <w:tcPr>
            <w:tcW w:w="2126" w:type="dxa"/>
            <w:shd w:val="clear" w:color="auto" w:fill="auto"/>
            <w:vAlign w:val="center"/>
          </w:tcPr>
          <w:p w14:paraId="773C8977" w14:textId="77777777" w:rsidR="00015320" w:rsidRPr="000E3FAB" w:rsidRDefault="00015320" w:rsidP="00AF62A4">
            <w:pPr>
              <w:widowControl w:val="0"/>
              <w:rPr>
                <w:sz w:val="20"/>
              </w:rPr>
            </w:pPr>
            <w:r w:rsidRPr="000E3FAB">
              <w:rPr>
                <w:sz w:val="20"/>
              </w:rPr>
              <w:t>M = 3, N = 8</w:t>
            </w:r>
          </w:p>
        </w:tc>
        <w:tc>
          <w:tcPr>
            <w:tcW w:w="2960" w:type="dxa"/>
            <w:shd w:val="clear" w:color="auto" w:fill="auto"/>
            <w:vAlign w:val="center"/>
          </w:tcPr>
          <w:p w14:paraId="68728706" w14:textId="77777777" w:rsidR="00015320" w:rsidRPr="000E3FAB" w:rsidRDefault="00015320" w:rsidP="00AF62A4">
            <w:pPr>
              <w:widowControl w:val="0"/>
              <w:rPr>
                <w:sz w:val="20"/>
              </w:rPr>
            </w:pPr>
            <w:r w:rsidRPr="000E3FAB">
              <w:rPr>
                <w:sz w:val="20"/>
              </w:rPr>
              <w:t>15.84MHz (22 PRBs)</w:t>
            </w:r>
          </w:p>
        </w:tc>
        <w:tc>
          <w:tcPr>
            <w:tcW w:w="2742" w:type="dxa"/>
            <w:shd w:val="clear" w:color="auto" w:fill="auto"/>
          </w:tcPr>
          <w:p w14:paraId="0CB2E77F" w14:textId="77777777" w:rsidR="00015320" w:rsidRPr="000E3FAB" w:rsidRDefault="00015320" w:rsidP="00AF62A4">
            <w:pPr>
              <w:widowControl w:val="0"/>
              <w:rPr>
                <w:color w:val="0070C0"/>
                <w:sz w:val="20"/>
              </w:rPr>
            </w:pPr>
            <w:r w:rsidRPr="000E3FAB">
              <w:rPr>
                <w:color w:val="0070C0"/>
                <w:sz w:val="20"/>
              </w:rPr>
              <w:t>79.2%</w:t>
            </w:r>
          </w:p>
        </w:tc>
      </w:tr>
      <w:tr w:rsidR="00015320" w14:paraId="56A3266D" w14:textId="77777777" w:rsidTr="002C7D5F">
        <w:trPr>
          <w:jc w:val="center"/>
        </w:trPr>
        <w:tc>
          <w:tcPr>
            <w:tcW w:w="1479" w:type="dxa"/>
            <w:vMerge/>
            <w:shd w:val="clear" w:color="auto" w:fill="auto"/>
            <w:vAlign w:val="center"/>
          </w:tcPr>
          <w:p w14:paraId="1058D341" w14:textId="77777777" w:rsidR="00015320" w:rsidRPr="000E3FAB" w:rsidRDefault="00015320" w:rsidP="00AF62A4">
            <w:pPr>
              <w:widowControl w:val="0"/>
              <w:rPr>
                <w:sz w:val="20"/>
              </w:rPr>
            </w:pPr>
          </w:p>
        </w:tc>
        <w:tc>
          <w:tcPr>
            <w:tcW w:w="2126" w:type="dxa"/>
            <w:shd w:val="clear" w:color="auto" w:fill="auto"/>
            <w:vAlign w:val="center"/>
          </w:tcPr>
          <w:p w14:paraId="3AAD27C0" w14:textId="77777777" w:rsidR="00015320" w:rsidRPr="000E3FAB" w:rsidRDefault="00015320" w:rsidP="00AF62A4">
            <w:pPr>
              <w:widowControl w:val="0"/>
              <w:rPr>
                <w:sz w:val="20"/>
              </w:rPr>
            </w:pPr>
            <w:r w:rsidRPr="000E3FAB">
              <w:rPr>
                <w:sz w:val="20"/>
              </w:rPr>
              <w:t>M = 2, N = 12</w:t>
            </w:r>
          </w:p>
        </w:tc>
        <w:tc>
          <w:tcPr>
            <w:tcW w:w="2960" w:type="dxa"/>
            <w:shd w:val="clear" w:color="auto" w:fill="auto"/>
            <w:vAlign w:val="center"/>
          </w:tcPr>
          <w:p w14:paraId="1FDAC100" w14:textId="77777777" w:rsidR="00015320" w:rsidRPr="000E3FAB" w:rsidRDefault="00015320" w:rsidP="00AF62A4">
            <w:pPr>
              <w:widowControl w:val="0"/>
              <w:rPr>
                <w:sz w:val="20"/>
              </w:rPr>
            </w:pPr>
            <w:r w:rsidRPr="000E3FAB">
              <w:rPr>
                <w:sz w:val="20"/>
              </w:rPr>
              <w:t>16.56MHz (</w:t>
            </w:r>
            <w:r w:rsidRPr="000E3FAB">
              <w:rPr>
                <w:rFonts w:hint="eastAsia"/>
                <w:sz w:val="20"/>
              </w:rPr>
              <w:t>23</w:t>
            </w:r>
            <w:r w:rsidRPr="000E3FAB">
              <w:rPr>
                <w:sz w:val="20"/>
              </w:rPr>
              <w:t xml:space="preserve"> </w:t>
            </w:r>
            <w:r w:rsidRPr="000E3FAB">
              <w:rPr>
                <w:rFonts w:hint="eastAsia"/>
                <w:sz w:val="20"/>
              </w:rPr>
              <w:t>PRB</w:t>
            </w:r>
            <w:r w:rsidRPr="000E3FAB">
              <w:rPr>
                <w:sz w:val="20"/>
              </w:rPr>
              <w:t>s)</w:t>
            </w:r>
            <w:r w:rsidRPr="000E3FAB">
              <w:rPr>
                <w:rFonts w:hint="eastAsia"/>
                <w:sz w:val="20"/>
              </w:rPr>
              <w:t xml:space="preserve"> </w:t>
            </w:r>
          </w:p>
        </w:tc>
        <w:tc>
          <w:tcPr>
            <w:tcW w:w="2742" w:type="dxa"/>
            <w:shd w:val="clear" w:color="auto" w:fill="auto"/>
          </w:tcPr>
          <w:p w14:paraId="262AE515" w14:textId="77777777" w:rsidR="00015320" w:rsidRPr="000E3FAB" w:rsidRDefault="00015320" w:rsidP="00AF62A4">
            <w:pPr>
              <w:widowControl w:val="0"/>
              <w:rPr>
                <w:color w:val="0070C0"/>
                <w:sz w:val="20"/>
              </w:rPr>
            </w:pPr>
            <w:r w:rsidRPr="000E3FAB">
              <w:rPr>
                <w:color w:val="0070C0"/>
                <w:sz w:val="20"/>
              </w:rPr>
              <w:t>82.8%</w:t>
            </w:r>
          </w:p>
        </w:tc>
      </w:tr>
    </w:tbl>
    <w:p w14:paraId="4C060E98" w14:textId="57C96B65" w:rsidR="00015320" w:rsidRDefault="00015320" w:rsidP="00015320">
      <w:pPr>
        <w:rPr>
          <w:rFonts w:cs="Arial"/>
          <w:sz w:val="20"/>
          <w:szCs w:val="20"/>
        </w:rPr>
      </w:pPr>
    </w:p>
    <w:p w14:paraId="6529DA1B" w14:textId="0EF43B40" w:rsidR="002C7D5F" w:rsidRDefault="002C7D5F" w:rsidP="002C7D5F">
      <w:pPr>
        <w:pStyle w:val="BodyText"/>
      </w:pPr>
      <w:r w:rsidRPr="002C7D5F">
        <w:t>Hence, for FR1 unlicensed spectrum, all the subcarrier spacings can be supported</w:t>
      </w:r>
      <w:r>
        <w:rPr>
          <w:lang w:val="en-US"/>
        </w:rPr>
        <w:t>, i.e., 10 interlaces for 15kHz subcarrier spacing, 5 interlaces for 30kHz subcarrier spacing and 2 interlaces for 60kHz subcarrier spacing</w:t>
      </w:r>
      <w:r w:rsidRPr="002C7D5F">
        <w:t xml:space="preserve">. </w:t>
      </w:r>
    </w:p>
    <w:p w14:paraId="4A91B707" w14:textId="77777777" w:rsidR="00FE4286" w:rsidRPr="002C7D5F" w:rsidRDefault="00FE4286" w:rsidP="002C7D5F">
      <w:pPr>
        <w:pStyle w:val="BodyText"/>
      </w:pPr>
    </w:p>
    <w:p w14:paraId="1D3620DB" w14:textId="5EEFD30D" w:rsidR="002C7D5F" w:rsidRPr="002C7D5F" w:rsidRDefault="002C7D5F" w:rsidP="002C7D5F">
      <w:pPr>
        <w:pStyle w:val="BodyText"/>
      </w:pPr>
      <w:r w:rsidRPr="002C7D5F">
        <w:t>Based on above analysis, we have below proposals:</w:t>
      </w:r>
    </w:p>
    <w:p w14:paraId="3E78380A" w14:textId="7FB68B7B" w:rsidR="002C7D5F" w:rsidRDefault="002C7D5F"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Interlace</w:t>
      </w:r>
      <w:r w:rsidRPr="002023FC">
        <w:rPr>
          <w:rFonts w:ascii="Times New Roman" w:eastAsia="+mn-ea" w:hAnsi="Times New Roman" w:cs="Times New Roman"/>
          <w:b/>
          <w:bCs/>
          <w:i/>
          <w:iCs/>
          <w:color w:val="000000"/>
          <w:kern w:val="24"/>
          <w:sz w:val="20"/>
          <w:szCs w:val="20"/>
          <w:u w:val="single"/>
        </w:rPr>
        <w:t xml:space="preserve">-based </w:t>
      </w:r>
      <w:r w:rsidR="00FE4286">
        <w:rPr>
          <w:rFonts w:ascii="Times New Roman" w:eastAsia="+mn-ea" w:hAnsi="Times New Roman" w:cs="Times New Roman"/>
          <w:b/>
          <w:bCs/>
          <w:i/>
          <w:iCs/>
          <w:color w:val="000000"/>
          <w:kern w:val="24"/>
          <w:sz w:val="20"/>
          <w:szCs w:val="20"/>
          <w:u w:val="single"/>
        </w:rPr>
        <w:t>structure</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 xml:space="preserve">sidelink </w:t>
      </w:r>
      <w:r w:rsidR="00FE4286">
        <w:rPr>
          <w:rFonts w:ascii="Times New Roman" w:eastAsia="+mn-ea" w:hAnsi="Times New Roman" w:cs="Times New Roman"/>
          <w:b/>
          <w:bCs/>
          <w:i/>
          <w:iCs/>
          <w:color w:val="000000"/>
          <w:kern w:val="24"/>
          <w:sz w:val="20"/>
          <w:szCs w:val="20"/>
          <w:u w:val="single"/>
        </w:rPr>
        <w:t>transmission</w:t>
      </w:r>
      <w:r>
        <w:rPr>
          <w:rFonts w:ascii="Times New Roman" w:eastAsia="+mn-ea" w:hAnsi="Times New Roman" w:cs="Times New Roman"/>
          <w:b/>
          <w:bCs/>
          <w:i/>
          <w:iCs/>
          <w:color w:val="000000"/>
          <w:kern w:val="24"/>
          <w:sz w:val="20"/>
          <w:szCs w:val="20"/>
          <w:u w:val="single"/>
        </w:rPr>
        <w:t>s in FR1 unlicensed spectrum.</w:t>
      </w:r>
    </w:p>
    <w:p w14:paraId="07F4119F" w14:textId="6CEAF323" w:rsidR="002C7D5F" w:rsidRDefault="002C7D5F" w:rsidP="002C7D5F">
      <w:pPr>
        <w:pStyle w:val="NormalWeb"/>
        <w:spacing w:before="77"/>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FE1550">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w:t>
      </w:r>
      <w:r w:rsidR="00DC555E">
        <w:rPr>
          <w:rFonts w:ascii="Times New Roman" w:eastAsia="+mn-ea" w:hAnsi="Times New Roman" w:cs="Times New Roman"/>
          <w:b/>
          <w:bCs/>
          <w:i/>
          <w:iCs/>
          <w:color w:val="000000"/>
          <w:kern w:val="24"/>
          <w:sz w:val="20"/>
          <w:szCs w:val="20"/>
          <w:u w:val="single"/>
        </w:rPr>
        <w:t xml:space="preserve"> in addition to 15kHz and 30kHz</w:t>
      </w:r>
      <w:r w:rsidRPr="002023FC">
        <w:rPr>
          <w:rFonts w:ascii="Times New Roman" w:eastAsia="+mn-ea" w:hAnsi="Times New Roman" w:cs="Times New Roman"/>
          <w:b/>
          <w:bCs/>
          <w:i/>
          <w:iCs/>
          <w:color w:val="000000"/>
          <w:kern w:val="24"/>
          <w:sz w:val="20"/>
          <w:szCs w:val="20"/>
          <w:u w:val="single"/>
        </w:rPr>
        <w:t xml:space="preserve">. </w:t>
      </w:r>
    </w:p>
    <w:p w14:paraId="35BD0C4E" w14:textId="2CEBB6C0" w:rsidR="00FE1550" w:rsidRPr="00FE1550" w:rsidRDefault="00FE1550" w:rsidP="00FE1550">
      <w:pPr>
        <w:pStyle w:val="NormalWeb"/>
        <w:spacing w:before="77"/>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 xml:space="preserve">RAN1 should discuss </w:t>
      </w:r>
      <w:r w:rsidRPr="00FE1550">
        <w:rPr>
          <w:rFonts w:ascii="Times New Roman" w:eastAsia="+mn-ea" w:hAnsi="Times New Roman" w:cs="Times New Roman"/>
          <w:b/>
          <w:bCs/>
          <w:i/>
          <w:iCs/>
          <w:color w:val="000000"/>
          <w:kern w:val="24"/>
          <w:sz w:val="20"/>
          <w:szCs w:val="20"/>
          <w:u w:val="single"/>
        </w:rPr>
        <w:t>new design for interlacing structure for sidelink unlicensed operation by considering the design of sub-channels and resource pool</w:t>
      </w:r>
    </w:p>
    <w:p w14:paraId="4751C4E3" w14:textId="77777777" w:rsidR="00FE4286" w:rsidRDefault="00FE4286"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54C27A1E" w:rsidR="002C7D5F" w:rsidRPr="00FE4286" w:rsidRDefault="00FE4286" w:rsidP="00FE4286">
      <w:pPr>
        <w:pStyle w:val="Heading2"/>
        <w:rPr>
          <w:lang w:eastAsia="zh-CN"/>
        </w:rPr>
      </w:pPr>
      <w:r w:rsidRPr="00FE4286">
        <w:rPr>
          <w:lang w:eastAsia="zh-CN"/>
        </w:rPr>
        <w:t>Frame structure</w:t>
      </w:r>
    </w:p>
    <w:p w14:paraId="2FF1A373" w14:textId="77777777" w:rsidR="00A44BA4" w:rsidRDefault="00A44BA4" w:rsidP="00FE4286">
      <w:pPr>
        <w:pStyle w:val="BodyText"/>
      </w:pPr>
    </w:p>
    <w:p w14:paraId="36911938" w14:textId="4357D450" w:rsidR="00A44BA4" w:rsidRPr="00A44BA4" w:rsidRDefault="00A44BA4" w:rsidP="00A44BA4">
      <w:pPr>
        <w:pStyle w:val="BodyText"/>
        <w:rPr>
          <w:lang w:val="en-US"/>
        </w:rPr>
      </w:pPr>
      <w:r w:rsidRPr="00A44BA4">
        <w:rPr>
          <w:lang w:val="en-US"/>
        </w:rPr>
        <w:t>When unlicensed spectrum is used for sidelink transmission</w:t>
      </w:r>
      <w:proofErr w:type="gramStart"/>
      <w:r w:rsidRPr="00A44BA4">
        <w:rPr>
          <w:lang w:val="en-US"/>
        </w:rPr>
        <w:t>, needless to say, the</w:t>
      </w:r>
      <w:proofErr w:type="gramEnd"/>
      <w:r w:rsidRPr="00A44BA4">
        <w:rPr>
          <w:lang w:val="en-US"/>
        </w:rPr>
        <w:t xml:space="preserv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lastRenderedPageBreak/>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9"/>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77777777" w:rsidR="00A44BA4" w:rsidRPr="00A44BA4" w:rsidRDefault="00A44BA4" w:rsidP="00FE4286">
      <w:pPr>
        <w:pStyle w:val="BodyText"/>
        <w:rPr>
          <w:lang w:val="en-US"/>
        </w:rPr>
      </w:pPr>
    </w:p>
    <w:p w14:paraId="56960AB4" w14:textId="0DBDDC66" w:rsidR="00FE4286" w:rsidRPr="00FE4286" w:rsidRDefault="00FE4286" w:rsidP="00FE4286">
      <w:pPr>
        <w:pStyle w:val="BodyText"/>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C6313">
        <w:rPr>
          <w:lang w:val="en-US"/>
        </w:rPr>
        <w:t>3</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7D69ED20" w:rsidR="00FE4286" w:rsidRPr="00FE4286" w:rsidRDefault="00FE4286" w:rsidP="00FE4286">
      <w:pPr>
        <w:pStyle w:val="BodyText"/>
        <w:jc w:val="center"/>
        <w:rPr>
          <w:lang w:val="en-US"/>
        </w:rPr>
      </w:pPr>
      <w:r w:rsidRPr="00FE4286">
        <w:rPr>
          <w:lang w:val="en-US"/>
        </w:rPr>
        <w:t xml:space="preserve">Figure </w:t>
      </w:r>
      <w:r w:rsidR="00B437E3">
        <w:rPr>
          <w:lang w:val="en-US"/>
        </w:rPr>
        <w:t>3</w:t>
      </w:r>
      <w:r w:rsidRPr="00FE4286">
        <w:rPr>
          <w:lang w:val="en-US"/>
        </w:rPr>
        <w:t>: UE-to-UE COT sharing for sidelink transmission</w:t>
      </w:r>
    </w:p>
    <w:p w14:paraId="6C1E6582" w14:textId="77777777" w:rsidR="00A44BA4" w:rsidRDefault="00A44BA4" w:rsidP="00A44BA4">
      <w:pPr>
        <w:pStyle w:val="BodyText"/>
      </w:pPr>
    </w:p>
    <w:p w14:paraId="6887ED1D" w14:textId="418A279C" w:rsidR="00A44BA4" w:rsidRPr="002C7D5F" w:rsidRDefault="00A44BA4" w:rsidP="00A44BA4">
      <w:pPr>
        <w:pStyle w:val="BodyText"/>
      </w:pPr>
      <w:r w:rsidRPr="002C7D5F">
        <w:t>Based on above analysis, we have below proposals:</w:t>
      </w:r>
    </w:p>
    <w:p w14:paraId="41A06A18" w14:textId="52640BFA" w:rsidR="00A44BA4"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sidR="007C6313">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sidR="007C6313">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30B06844" w14:textId="353B209A" w:rsidR="007C6313"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Each PSCCH/PSSCH is transmitted from symbol 0 of a slot</w:t>
      </w:r>
      <w:r>
        <w:rPr>
          <w:rFonts w:ascii="Times New Roman" w:eastAsia="+mn-ea" w:hAnsi="Times New Roman" w:cs="Times New Roman"/>
          <w:b/>
          <w:bCs/>
          <w:i/>
          <w:iCs/>
          <w:color w:val="000000"/>
          <w:kern w:val="24"/>
          <w:sz w:val="20"/>
          <w:szCs w:val="20"/>
          <w:u w:val="single"/>
        </w:rPr>
        <w:t>.</w:t>
      </w:r>
    </w:p>
    <w:p w14:paraId="2A14047C" w14:textId="1EE52485" w:rsidR="00B437E3" w:rsidRDefault="00B437E3" w:rsidP="00B437E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r w:rsidR="005B29DB">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4A7EB9F9" w14:textId="33F6225D" w:rsidR="009037B9" w:rsidRDefault="009037B9"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4911D7C" w14:textId="77777777" w:rsidR="00B437E3" w:rsidRDefault="00B437E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0F23ADE2" w:rsidR="00B437E3" w:rsidRDefault="00B437E3" w:rsidP="00B437E3">
      <w:pPr>
        <w:pStyle w:val="Heading2"/>
        <w:rPr>
          <w:lang w:eastAsia="zh-CN"/>
        </w:rPr>
      </w:pPr>
      <w:r>
        <w:rPr>
          <w:lang w:eastAsia="zh-CN"/>
        </w:rPr>
        <w:t>HARQ</w:t>
      </w:r>
    </w:p>
    <w:p w14:paraId="66D260AF" w14:textId="2FD41283" w:rsidR="00B437E3" w:rsidRDefault="00B437E3" w:rsidP="00B437E3"/>
    <w:p w14:paraId="1D5907EE" w14:textId="6EDD896F" w:rsidR="000169F0" w:rsidRDefault="00B437E3" w:rsidP="00B437E3">
      <w:pPr>
        <w:pStyle w:val="BodyText"/>
        <w:rPr>
          <w:lang w:val="en-US"/>
        </w:rPr>
      </w:pPr>
      <w:r w:rsidRPr="00B437E3">
        <w:t xml:space="preserve">For sidelink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sidelink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5EEF1178" w:rsidR="000169F0" w:rsidRDefault="000169F0" w:rsidP="000169F0">
      <w:pPr>
        <w:pStyle w:val="BodyText"/>
      </w:pPr>
      <w:r>
        <w:t xml:space="preserve">Therefore, when </w:t>
      </w:r>
      <w:r w:rsidRPr="000169F0">
        <w:t xml:space="preserve">one sidelink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the sidelink</w:t>
      </w:r>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4,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4982CA9" w14:textId="77777777" w:rsidR="000169F0" w:rsidRPr="00B437E3" w:rsidRDefault="000169F0" w:rsidP="000169F0">
      <w:pPr>
        <w:pStyle w:val="BodyText"/>
      </w:pPr>
    </w:p>
    <w:p w14:paraId="4D6632F7" w14:textId="20F98F7D" w:rsidR="00995B80" w:rsidRDefault="00B437E3" w:rsidP="00995B80">
      <w:pPr>
        <w:pStyle w:val="BodyText"/>
      </w:pPr>
      <w:r>
        <w:rPr>
          <w:noProof/>
          <w:lang w:val="en-US"/>
        </w:rPr>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191B3D09" w14:textId="02D567B5" w:rsidR="000169F0" w:rsidRPr="00FE4286" w:rsidRDefault="000169F0" w:rsidP="000169F0">
      <w:pPr>
        <w:pStyle w:val="BodyText"/>
        <w:jc w:val="center"/>
        <w:rPr>
          <w:lang w:val="en-US"/>
        </w:rPr>
      </w:pPr>
      <w:r w:rsidRPr="00FE4286">
        <w:rPr>
          <w:lang w:val="en-US"/>
        </w:rPr>
        <w:t xml:space="preserve">Figure </w:t>
      </w:r>
      <w:r>
        <w:rPr>
          <w:lang w:val="en-US"/>
        </w:rPr>
        <w:t>4</w:t>
      </w:r>
      <w:r w:rsidRPr="00FE4286">
        <w:rPr>
          <w:lang w:val="en-US"/>
        </w:rPr>
        <w:t xml:space="preserve">: </w:t>
      </w:r>
      <w:r>
        <w:rPr>
          <w:lang w:val="en-US"/>
        </w:rPr>
        <w:t>Multiple transmission opportunities for one sidelink HARQ-ACK feedback</w:t>
      </w:r>
    </w:p>
    <w:p w14:paraId="4154D655" w14:textId="77777777"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75D92E" w14:textId="1B6290A4"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1C959370" w14:textId="3F55C0C3" w:rsidR="00015320" w:rsidRDefault="00015320" w:rsidP="00015320">
      <w:pPr>
        <w:rPr>
          <w:rFonts w:cs="Arial"/>
          <w:sz w:val="20"/>
          <w:szCs w:val="20"/>
        </w:rPr>
      </w:pPr>
    </w:p>
    <w:p w14:paraId="7E5DAF57" w14:textId="77777777" w:rsidR="00FE1550" w:rsidRDefault="00FE1550" w:rsidP="00FE1550">
      <w:pPr>
        <w:pStyle w:val="Heading2"/>
        <w:rPr>
          <w:color w:val="000000" w:themeColor="text1"/>
        </w:rPr>
      </w:pPr>
      <w:r>
        <w:rPr>
          <w:color w:val="000000" w:themeColor="text1"/>
        </w:rPr>
        <w:t>Resource pool structure</w:t>
      </w:r>
    </w:p>
    <w:p w14:paraId="6B1C9AEF" w14:textId="77777777" w:rsidR="00FE1550" w:rsidRDefault="00FE1550" w:rsidP="00FE1550"/>
    <w:p w14:paraId="4370A641" w14:textId="263C3985" w:rsidR="00FE1550" w:rsidRDefault="00FE1550" w:rsidP="00FE1550">
      <w:pPr>
        <w:pStyle w:val="BodyText"/>
      </w:pPr>
      <w:r>
        <w:t xml:space="preserve">In Rel-16/17 NR sidelink communication, higher layer signaling configuration, synchronization procedure and physical channel structure are designed and specified based on resource pool. The data transmission/reception and resource allocation </w:t>
      </w:r>
      <w:r>
        <w:rPr>
          <w:rFonts w:hint="eastAsia"/>
        </w:rPr>
        <w:t>for</w:t>
      </w:r>
      <w:r>
        <w:t xml:space="preserve"> both mode 1 and mode 2 are assigned within a resource pool. So, to consider less </w:t>
      </w:r>
      <w:r w:rsidRPr="008724BE">
        <w:t xml:space="preserve">standardization </w:t>
      </w:r>
      <w:r>
        <w:t xml:space="preserve">workload, </w:t>
      </w:r>
      <w:r w:rsidRPr="00E248AC">
        <w:t>resource pool relevant design</w:t>
      </w:r>
      <w:r>
        <w:t xml:space="preserve"> can be reused</w:t>
      </w:r>
      <w:r w:rsidRPr="00E248AC">
        <w:t xml:space="preserve"> for sidelink on FR1 unlicensed spectrum</w:t>
      </w:r>
      <w:r>
        <w:t>.</w:t>
      </w:r>
    </w:p>
    <w:p w14:paraId="53A6E6F3" w14:textId="349D4858"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8</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p>
    <w:p w14:paraId="57D0BFDF" w14:textId="22F9A78F" w:rsidR="00FE1550" w:rsidRDefault="00FE1550" w:rsidP="00015320">
      <w:pPr>
        <w:rPr>
          <w:rFonts w:cs="Arial"/>
          <w:sz w:val="20"/>
          <w:szCs w:val="20"/>
        </w:rPr>
      </w:pPr>
    </w:p>
    <w:p w14:paraId="66CC625D" w14:textId="77777777" w:rsidR="00FE1550" w:rsidRDefault="00FE1550" w:rsidP="00FE1550">
      <w:pPr>
        <w:pStyle w:val="Heading2"/>
      </w:pPr>
      <w:r>
        <w:rPr>
          <w:lang w:eastAsia="zh-CN"/>
        </w:rPr>
        <w:t>P</w:t>
      </w:r>
      <w:r>
        <w:t>hysical channel design</w:t>
      </w:r>
    </w:p>
    <w:p w14:paraId="49E66CB1" w14:textId="77777777" w:rsidR="00FE1550" w:rsidRDefault="00FE1550" w:rsidP="00FE1550"/>
    <w:p w14:paraId="27E49326" w14:textId="64801C59" w:rsidR="00FE1550" w:rsidRDefault="00FE1550" w:rsidP="00FE1550">
      <w:pPr>
        <w:pStyle w:val="BodyText"/>
      </w:pPr>
      <w:r>
        <w:t xml:space="preserve">In Rel-16/17 NR sidelink communication, potential PSCCH is assigned </w:t>
      </w:r>
      <w:r>
        <w:rPr>
          <w:rFonts w:hint="eastAsia"/>
        </w:rPr>
        <w:t>in</w:t>
      </w:r>
      <w:r>
        <w:t xml:space="preserve"> each subchannel. When scheduling multiple subchannels, PSCCH is allocated in the lowest subchannel in frequency domain. The size of PSCCH in frequency domain can be {10, 12, 15, 20, 25} RBs. In time domain, the PSCCH occupies 2 to 3 symbols.  For </w:t>
      </w:r>
      <w:r w:rsidRPr="00C7245F">
        <w:t>Interlace-based structure</w:t>
      </w:r>
      <w:r>
        <w:t>, potential PSCCH can be still designed to assign in each interlace and to</w:t>
      </w:r>
      <w:r w:rsidRPr="004B6B3A">
        <w:t xml:space="preserve"> </w:t>
      </w:r>
      <w:r>
        <w:t>occupy 2 to 3 symbols.</w:t>
      </w:r>
    </w:p>
    <w:p w14:paraId="06EDF246" w14:textId="7765DAD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5B29DB">
        <w:rPr>
          <w:rFonts w:ascii="Times New Roman" w:eastAsia="+mn-ea" w:hAnsi="Times New Roman" w:cs="Times New Roman"/>
          <w:b/>
          <w:bCs/>
          <w:i/>
          <w:iCs/>
          <w:color w:val="000000"/>
          <w:kern w:val="24"/>
          <w:sz w:val="20"/>
          <w:szCs w:val="20"/>
          <w:u w:val="single"/>
        </w:rPr>
        <w:t>9</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71741642" w14:textId="77777777" w:rsidR="00FE1550" w:rsidRDefault="00FE1550" w:rsidP="00FE1550"/>
    <w:p w14:paraId="0D86CFFA" w14:textId="7C235F07" w:rsidR="00FE1550" w:rsidRDefault="00FE1550" w:rsidP="00FE1550">
      <w:pPr>
        <w:pStyle w:val="BodyText"/>
      </w:pPr>
      <w:r>
        <w:t>In Rel-16/17 NR sidelink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07E54FD0" w14:textId="3A620565"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10</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3339590" w14:textId="77777777" w:rsidR="00FE1550" w:rsidRDefault="00FE1550" w:rsidP="00FE1550"/>
    <w:p w14:paraId="6CFD7539" w14:textId="77777777" w:rsidR="00FE1550" w:rsidRDefault="00FE1550" w:rsidP="00FE1550">
      <w:pPr>
        <w:pStyle w:val="BodyText"/>
      </w:pPr>
      <w:r>
        <w:t xml:space="preserve">In Rel-16/17 NR sidelink communication, unicast, groupcast opiton1/2 and broadcast were supported. For the sidelink communication on unlicensed band, each cast type should be supported. </w:t>
      </w:r>
    </w:p>
    <w:p w14:paraId="52870997" w14:textId="0B2E4460"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11</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p>
    <w:p w14:paraId="2187B668" w14:textId="77777777" w:rsidR="00FE1550" w:rsidRPr="00C23E96" w:rsidRDefault="00FE1550" w:rsidP="00FE1550"/>
    <w:p w14:paraId="6E6D715F" w14:textId="77777777" w:rsidR="00FE1550" w:rsidRDefault="00FE1550" w:rsidP="00FE1550">
      <w:pPr>
        <w:pStyle w:val="BodyText"/>
      </w:pPr>
      <w:r>
        <w:t>For unicast and groupcast opiton1/2, the feedback information is transmitted on PSFCH channel. The PSFCH region is assigned the last second</w:t>
      </w:r>
      <w:r w:rsidRPr="003E421A">
        <w:t xml:space="preserve"> </w:t>
      </w:r>
      <w:r>
        <w:t>and</w:t>
      </w:r>
      <w:r w:rsidRPr="003E421A">
        <w:t xml:space="preserve"> </w:t>
      </w:r>
      <w:r>
        <w:t>third</w:t>
      </w:r>
      <w:r w:rsidRPr="003E421A">
        <w:t xml:space="preserve"> symbols</w:t>
      </w:r>
      <w:r>
        <w:t xml:space="preserve"> at one time slot (the last symbol and the f</w:t>
      </w:r>
      <w:r w:rsidRPr="003E421A">
        <w:t xml:space="preserve">ourth </w:t>
      </w:r>
      <w:r>
        <w:t xml:space="preserve">symbol </w:t>
      </w:r>
      <w:r w:rsidRPr="003E421A">
        <w:t>from last</w:t>
      </w:r>
      <w:r>
        <w:t xml:space="preserve"> symbol are GP). This kind of design can be reused for unlicensed spectrum. In addition, each HARQ feedback should be transmitted on one interlace but not on RB on</w:t>
      </w:r>
      <w:r w:rsidRPr="00F26499">
        <w:t xml:space="preserve"> </w:t>
      </w:r>
      <w:r>
        <w:t xml:space="preserve">unlicensed band, the PSFCH resource may be </w:t>
      </w:r>
      <w:r w:rsidRPr="00F26499">
        <w:t>insufficient</w:t>
      </w:r>
      <w:r>
        <w:t xml:space="preserve">. For example, if a UE performs a groupcast option 2 transmission on 20MHz bandwidth, the 20MHz bandwidth may include 10 interlaces in case of 15KHz SCS, that is only 10 PSFCH resources can be provided to maximum10 number UEs in this group. So besides </w:t>
      </w:r>
      <w:bookmarkStart w:id="4" w:name="OLE_LINK14"/>
      <w:r>
        <w:t xml:space="preserve">legacy PSFCH resources, to </w:t>
      </w:r>
      <w:r w:rsidRPr="008C1D83">
        <w:t xml:space="preserve">study </w:t>
      </w:r>
      <w:r>
        <w:t>increasing the PSFCH resource for unlicensed spectrum</w:t>
      </w:r>
      <w:bookmarkEnd w:id="4"/>
      <w:r>
        <w:t>.</w:t>
      </w:r>
    </w:p>
    <w:p w14:paraId="33E07904" w14:textId="77777777" w:rsid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563102" w14:textId="03363919"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12</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p>
    <w:p w14:paraId="5E9DCCF3" w14:textId="1054A99B" w:rsidR="00FE1550" w:rsidRDefault="00FE1550" w:rsidP="00015320">
      <w:pPr>
        <w:rPr>
          <w:rFonts w:cs="Arial"/>
          <w:sz w:val="20"/>
          <w:szCs w:val="20"/>
        </w:rPr>
      </w:pPr>
    </w:p>
    <w:p w14:paraId="38922473" w14:textId="4641F4C2" w:rsidR="00FE1550" w:rsidRDefault="00FE1550" w:rsidP="00FE1550">
      <w:pPr>
        <w:pStyle w:val="Heading2"/>
        <w:rPr>
          <w:lang w:eastAsia="zh-TW"/>
        </w:rPr>
      </w:pPr>
      <w:r>
        <w:rPr>
          <w:lang w:eastAsia="zh-TW"/>
        </w:rPr>
        <w:t>Resource allocation mode 1 and mode 2</w:t>
      </w:r>
    </w:p>
    <w:p w14:paraId="598D16E2" w14:textId="77777777" w:rsidR="00FE1550" w:rsidRDefault="00FE1550" w:rsidP="00FE1550">
      <w:pPr>
        <w:rPr>
          <w:rFonts w:eastAsia="PMingLiU"/>
          <w:lang w:eastAsia="zh-TW"/>
        </w:rPr>
      </w:pPr>
    </w:p>
    <w:p w14:paraId="14B3C468"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1</w:t>
      </w:r>
    </w:p>
    <w:p w14:paraId="4F827743" w14:textId="77777777" w:rsidR="00FE1550" w:rsidRPr="00FE1550" w:rsidRDefault="00FE1550" w:rsidP="00FE1550">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operation before its scheduled sidelink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5B2628FE" w14:textId="4A7D58D5"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13</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61FF8870" w14:textId="73604A2E" w:rsidR="00FE1550" w:rsidRDefault="00FE1550" w:rsidP="00FE1550"/>
    <w:p w14:paraId="45B4F0D4" w14:textId="00A57118" w:rsidR="001420B4" w:rsidRDefault="001420B4" w:rsidP="001420B4">
      <w:pPr>
        <w:pStyle w:val="BodyText"/>
      </w:pPr>
      <w:r>
        <w:t xml:space="preserve">The sidelink grants are allocated by gNB using DCI format 3_0 and then the Tx UE performs LBT before making any transmission on the indicated sidelink resources. DCI field could indicate the channel access priority value together with the sidelink grant and the behavior of Tx UE as a COT initiator could be different in the following ways: </w:t>
      </w:r>
    </w:p>
    <w:p w14:paraId="4987C796" w14:textId="239CF487" w:rsidR="001420B4" w:rsidRDefault="001420B4" w:rsidP="001420B4">
      <w:pPr>
        <w:pStyle w:val="BodyText"/>
      </w:pPr>
      <w:r w:rsidRPr="002C091A">
        <w:t xml:space="preserve">Tx UE </w:t>
      </w:r>
      <w:r>
        <w:t xml:space="preserve">after receiving the sidelink grant could autonomously </w:t>
      </w:r>
      <w:r w:rsidRPr="002C091A">
        <w:t>choose the channel access priority class value</w:t>
      </w:r>
      <w:r>
        <w:t xml:space="preserve"> to</w:t>
      </w:r>
      <w:r w:rsidRPr="002C091A">
        <w:t xml:space="preserve"> </w:t>
      </w:r>
      <w:r>
        <w:t xml:space="preserve">perform Cat 4 LBT and accordingly </w:t>
      </w:r>
      <w:r w:rsidRPr="002C091A">
        <w:t>initiate channel occupancy</w:t>
      </w:r>
      <w:r>
        <w:t xml:space="preserve"> duration. In this method, the selection of </w:t>
      </w:r>
      <w:r w:rsidRPr="002C091A">
        <w:t>channel access priority class value</w:t>
      </w:r>
      <w:r>
        <w:t xml:space="preserve"> by the Tx UE could be based on the </w:t>
      </w:r>
      <w:r w:rsidRPr="002C091A">
        <w:t xml:space="preserve">priority/latency of the data </w:t>
      </w:r>
      <w:r>
        <w:t>in the buffer which is in accordance with the existing</w:t>
      </w:r>
      <w:r w:rsidRPr="002C091A">
        <w:t xml:space="preserve"> LCP rule</w:t>
      </w:r>
      <w:r>
        <w:t xml:space="preserve">. In the second method, if the DCI indicates the channel access priority value, then the Tx UE could perform the Cat 4 LBT and accordingly initiate channel occupancy duration. </w:t>
      </w:r>
    </w:p>
    <w:p w14:paraId="7900A5C6" w14:textId="1A910179" w:rsid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14</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22641634" w14:textId="77777777"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E4866E" w14:textId="4F10D68E" w:rsidR="001420B4" w:rsidRDefault="001420B4" w:rsidP="001420B4">
      <w:pPr>
        <w:pStyle w:val="BodyText"/>
      </w:pPr>
      <w:r>
        <w:lastRenderedPageBreak/>
        <w:t>The sidelink grants are allocated by gNB using DCI and then the Tx UE performs LBT before making any transmission on the indicated sidelink resources. When LBT fails on all the indicated resources</w:t>
      </w:r>
      <w:r w:rsidRPr="004E72AB">
        <w:t xml:space="preserve"> </w:t>
      </w:r>
      <w:r>
        <w:t xml:space="preserve">more sidelink resources are required from gNB. How the Tx UE request more resource from gNB using the physical layer </w:t>
      </w:r>
      <w:proofErr w:type="spellStart"/>
      <w:r>
        <w:t>signalling</w:t>
      </w:r>
      <w:proofErr w:type="spellEnd"/>
      <w:r>
        <w:t xml:space="preserve"> should be discussed. </w:t>
      </w:r>
    </w:p>
    <w:p w14:paraId="6205FA35" w14:textId="506BB61B"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15</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500AB455" w14:textId="77777777" w:rsidR="001420B4" w:rsidRPr="004A6624" w:rsidRDefault="001420B4" w:rsidP="001420B4">
      <w:pPr>
        <w:pStyle w:val="NormalWeb"/>
        <w:spacing w:before="77" w:beforeAutospacing="0" w:after="120" w:afterAutospacing="0"/>
      </w:pPr>
    </w:p>
    <w:p w14:paraId="23222DAC"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2</w:t>
      </w:r>
    </w:p>
    <w:p w14:paraId="713ED20F" w14:textId="77777777" w:rsidR="00FE1550" w:rsidRDefault="00FE1550" w:rsidP="00FE1550">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sidelink. The </w:t>
      </w:r>
      <w:r w:rsidRPr="002C184B">
        <w:t>assistance information</w:t>
      </w:r>
      <w:r>
        <w:t xml:space="preserve"> can be used by the UE who performs LBT operation, or it can be used by the UE who performs autonomous resource selection.</w:t>
      </w:r>
    </w:p>
    <w:p w14:paraId="120D7A98" w14:textId="0609EC8F"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16</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A24D77C" w14:textId="49D5892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17</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AFB5FAD" w14:textId="77777777" w:rsidR="00FE1550" w:rsidRDefault="00FE1550" w:rsidP="00015320">
      <w:pPr>
        <w:rPr>
          <w:rFonts w:cs="Arial"/>
          <w:sz w:val="20"/>
          <w:szCs w:val="20"/>
        </w:rPr>
      </w:pPr>
    </w:p>
    <w:p w14:paraId="62F6DEDD" w14:textId="77777777" w:rsidR="00FE1550" w:rsidRDefault="00FE1550" w:rsidP="00FE1550">
      <w:pPr>
        <w:pStyle w:val="Heading2"/>
        <w:rPr>
          <w:lang w:eastAsia="zh-CN"/>
        </w:rPr>
      </w:pPr>
      <w:r>
        <w:rPr>
          <w:lang w:eastAsia="zh-CN"/>
        </w:rPr>
        <w:t>Multi-slot scheduling</w:t>
      </w:r>
    </w:p>
    <w:p w14:paraId="33D0B8CD" w14:textId="2241F148" w:rsidR="00FE1550" w:rsidRDefault="00FE1550" w:rsidP="00FE1550">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sidelink physical layer design </w:t>
      </w:r>
      <w:proofErr w:type="spellStart"/>
      <w:r w:rsidRPr="00FE1550">
        <w:t>upto</w:t>
      </w:r>
      <w:proofErr w:type="spellEnd"/>
      <w:r w:rsidRPr="00FE1550">
        <w:t xml:space="preserve"> three non-consecutive sidelink resources could be allocated or reserved within a boundary of 32 slots using the sidelink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694E5541" w14:textId="77777777" w:rsidR="00FE1550" w:rsidRDefault="00FE1550" w:rsidP="00FE1550">
      <w:pPr>
        <w:spacing w:after="0"/>
        <w:jc w:val="both"/>
      </w:pPr>
    </w:p>
    <w:p w14:paraId="7D299512" w14:textId="20FC079D"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18</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1C1E4DD7" w14:textId="159F33AD" w:rsidR="009E1BDD" w:rsidRDefault="009E1BDD" w:rsidP="002C46E1">
      <w:pPr>
        <w:pStyle w:val="BodyText"/>
        <w:rPr>
          <w:lang w:val="en-US"/>
        </w:rPr>
      </w:pPr>
    </w:p>
    <w:p w14:paraId="453F390A" w14:textId="55BD75D6" w:rsidR="001420B4" w:rsidRDefault="001420B4" w:rsidP="001420B4">
      <w:pPr>
        <w:pStyle w:val="Heading2"/>
        <w:rPr>
          <w:lang w:eastAsia="zh-CN"/>
        </w:rPr>
      </w:pPr>
      <w:r>
        <w:rPr>
          <w:lang w:eastAsia="zh-CN"/>
        </w:rPr>
        <w:t>S-SSB design</w:t>
      </w:r>
    </w:p>
    <w:p w14:paraId="178E32CA" w14:textId="77777777" w:rsidR="001420B4" w:rsidRPr="00FE1550" w:rsidRDefault="001420B4" w:rsidP="002C46E1">
      <w:pPr>
        <w:pStyle w:val="BodyText"/>
        <w:rPr>
          <w:lang w:val="en-US"/>
        </w:rPr>
      </w:pPr>
    </w:p>
    <w:p w14:paraId="7B46EE7E" w14:textId="77777777" w:rsidR="001420B4" w:rsidRPr="006C0F45" w:rsidRDefault="001420B4" w:rsidP="001420B4">
      <w:pPr>
        <w:pStyle w:val="BodyText"/>
      </w:pPr>
      <w:r>
        <w:t>In Rel-16/17 NR sidelink communication</w:t>
      </w:r>
      <w:r w:rsidRPr="006C0F45">
        <w:t xml:space="preserve">, the sidelink synchronization information is carried in a S-SSB that consists of S-PSS and S-SSS and PSBCH. The S-SSB spans one slot in time and uses the same numerology as the one (pre-)configured in the SL BWP. The S-SSB spans 11 common RBs in frequency and the frequency location of an S-SSB is (pre-)configured within the SL BWP. Therefore, a UE does not need to perform blind detection in the frequency domain to find an S-SSB. The S-SSBs are transmitted periodically with a period of 160ms. Within each period, the distribution of S-SSB slots is constrained by two parameters: one is offset of the first S-SSB relative to the boundary of the period, the other is the interval between two adjacent S-SSB slots. </w:t>
      </w:r>
    </w:p>
    <w:p w14:paraId="6B385C2B" w14:textId="77777777" w:rsidR="001420B4" w:rsidRPr="006C0F45" w:rsidRDefault="001420B4" w:rsidP="001420B4">
      <w:pPr>
        <w:pStyle w:val="BodyText"/>
      </w:pPr>
      <w:r w:rsidRPr="006C0F45">
        <w:t>In unlicensed band, the challenges that arise in S-SSB design and transmission come from the following aspects. The first is related to the S-SSB design in meeting OCB requirement for large channel bandwidth in unlicensed band. The second is related to the transmission of S-SSB and LBT requirement. As a result, S-SSB need to be redesigned in the unlicensed band.</w:t>
      </w:r>
    </w:p>
    <w:p w14:paraId="6C34DC53" w14:textId="149C7272"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B29DB">
        <w:rPr>
          <w:rFonts w:ascii="Times New Roman" w:eastAsia="+mn-ea" w:hAnsi="Times New Roman" w:cs="Times New Roman"/>
          <w:b/>
          <w:bCs/>
          <w:i/>
          <w:iCs/>
          <w:color w:val="000000"/>
          <w:kern w:val="24"/>
          <w:sz w:val="20"/>
          <w:szCs w:val="20"/>
          <w:u w:val="single"/>
        </w:rPr>
        <w:t>19</w:t>
      </w:r>
      <w:r w:rsidRPr="001420B4">
        <w:rPr>
          <w:rFonts w:ascii="Times New Roman" w:eastAsia="+mn-ea" w:hAnsi="Times New Roman" w:cs="Times New Roman"/>
          <w:b/>
          <w:bCs/>
          <w:i/>
          <w:iCs/>
          <w:color w:val="000000"/>
          <w:kern w:val="24"/>
          <w:sz w:val="20"/>
          <w:szCs w:val="20"/>
          <w:u w:val="single"/>
        </w:rPr>
        <w:t>: Study S-SSB design and transmission in unlicensed band.</w:t>
      </w:r>
    </w:p>
    <w:p w14:paraId="0A78AB20" w14:textId="77777777" w:rsidR="009E1BDD" w:rsidRPr="001420B4" w:rsidRDefault="009E1BDD" w:rsidP="002C46E1">
      <w:pPr>
        <w:pStyle w:val="BodyText"/>
        <w:rPr>
          <w:lang w:val="en-US" w:eastAsia="zh-CN"/>
        </w:rPr>
      </w:pPr>
    </w:p>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3E03B947" w14:textId="77777777"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Interlace</w:t>
      </w:r>
      <w:r w:rsidRPr="002023FC">
        <w:rPr>
          <w:rFonts w:ascii="Times New Roman" w:eastAsia="+mn-ea" w:hAnsi="Times New Roman" w:cs="Times New Roman"/>
          <w:b/>
          <w:bCs/>
          <w:i/>
          <w:iCs/>
          <w:color w:val="000000"/>
          <w:kern w:val="24"/>
          <w:sz w:val="20"/>
          <w:szCs w:val="20"/>
          <w:u w:val="single"/>
        </w:rPr>
        <w:t xml:space="preserve">-based </w:t>
      </w:r>
      <w:r>
        <w:rPr>
          <w:rFonts w:ascii="Times New Roman" w:eastAsia="+mn-ea" w:hAnsi="Times New Roman" w:cs="Times New Roman"/>
          <w:b/>
          <w:bCs/>
          <w:i/>
          <w:iCs/>
          <w:color w:val="000000"/>
          <w:kern w:val="24"/>
          <w:sz w:val="20"/>
          <w:szCs w:val="20"/>
          <w:u w:val="single"/>
        </w:rPr>
        <w:t>structure</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2FE7AB97" w14:textId="77777777"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 in addition to 15kHz and 30kHz</w:t>
      </w:r>
      <w:r w:rsidRPr="002023FC">
        <w:rPr>
          <w:rFonts w:ascii="Times New Roman" w:eastAsia="+mn-ea" w:hAnsi="Times New Roman" w:cs="Times New Roman"/>
          <w:b/>
          <w:bCs/>
          <w:i/>
          <w:iCs/>
          <w:color w:val="000000"/>
          <w:kern w:val="24"/>
          <w:sz w:val="20"/>
          <w:szCs w:val="20"/>
          <w:u w:val="single"/>
        </w:rPr>
        <w:t xml:space="preserve">. </w:t>
      </w:r>
    </w:p>
    <w:p w14:paraId="65AE8EAE" w14:textId="77777777" w:rsidR="00433EC8" w:rsidRPr="00FE1550"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 xml:space="preserve">RAN1 should discuss </w:t>
      </w:r>
      <w:r w:rsidRPr="00FE1550">
        <w:rPr>
          <w:rFonts w:ascii="Times New Roman" w:eastAsia="+mn-ea" w:hAnsi="Times New Roman" w:cs="Times New Roman"/>
          <w:b/>
          <w:bCs/>
          <w:i/>
          <w:iCs/>
          <w:color w:val="000000"/>
          <w:kern w:val="24"/>
          <w:sz w:val="20"/>
          <w:szCs w:val="20"/>
          <w:u w:val="single"/>
        </w:rPr>
        <w:t>new design for interlacing structure for sidelink unlicensed operation by considering the design of sub-channels and resource pool</w:t>
      </w:r>
    </w:p>
    <w:p w14:paraId="1BCF2535" w14:textId="77777777"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74D32995" w14:textId="77777777"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Each PSCCH/PSSCH is transmitted from symbol 0 of a slot.</w:t>
      </w:r>
    </w:p>
    <w:p w14:paraId="63EF3655" w14:textId="77777777"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290472F9" w14:textId="4B7CAD8A"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40E95BBA"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p>
    <w:p w14:paraId="207F8BCA"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4FA48CAA"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5B5A6628"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p>
    <w:p w14:paraId="3CD3090B"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p>
    <w:p w14:paraId="27ED0CA1"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774BBFD2" w14:textId="77777777"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0B73767" w14:textId="77777777" w:rsidR="005B29DB" w:rsidRPr="001420B4"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70CE14F8"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D07654E" w14:textId="7777777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419A8936" w14:textId="7FBCCB34"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1F06371D" w14:textId="77777777" w:rsidR="005B29DB" w:rsidRPr="001420B4"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1420B4">
        <w:rPr>
          <w:rFonts w:ascii="Times New Roman" w:eastAsia="+mn-ea" w:hAnsi="Times New Roman" w:cs="Times New Roman"/>
          <w:b/>
          <w:bCs/>
          <w:i/>
          <w:iCs/>
          <w:color w:val="000000"/>
          <w:kern w:val="24"/>
          <w:sz w:val="20"/>
          <w:szCs w:val="20"/>
          <w:u w:val="single"/>
        </w:rPr>
        <w:t>: Study S-SSB design and transmission in unlicensed band.</w:t>
      </w: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77777777" w:rsidR="00433EC8" w:rsidRPr="00433EC8" w:rsidRDefault="00433EC8" w:rsidP="00433EC8">
      <w:pPr>
        <w:numPr>
          <w:ilvl w:val="0"/>
          <w:numId w:val="16"/>
        </w:numPr>
        <w:spacing w:after="180" w:line="240" w:lineRule="auto"/>
        <w:rPr>
          <w:rFonts w:ascii="Times New Roman" w:hAnsi="Times New Roman" w:cs="Times New Roman"/>
          <w:lang w:bidi="en-US"/>
        </w:rPr>
      </w:pPr>
      <w:bookmarkStart w:id="5" w:name="_Ref7816821"/>
      <w:bookmarkStart w:id="6" w:name="_Ref21117639"/>
      <w:bookmarkStart w:id="7" w:name="_Hlk101873221"/>
      <w:r w:rsidRPr="00433EC8">
        <w:rPr>
          <w:rFonts w:ascii="Times New Roman" w:hAnsi="Times New Roman" w:cs="Times New Roman"/>
          <w:lang w:bidi="en-US"/>
        </w:rPr>
        <w:t>RP-213678, “New WID on NR Sidelink evolution”, RAN#94-e, Dec. 2021.</w:t>
      </w:r>
      <w:bookmarkEnd w:id="5"/>
      <w:bookmarkEnd w:id="6"/>
    </w:p>
    <w:bookmarkEnd w:id="7"/>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A55A" w14:textId="77777777" w:rsidR="00281E36" w:rsidRDefault="00281E36" w:rsidP="000D45AD">
      <w:pPr>
        <w:spacing w:after="0" w:line="240" w:lineRule="auto"/>
      </w:pPr>
      <w:r>
        <w:separator/>
      </w:r>
    </w:p>
  </w:endnote>
  <w:endnote w:type="continuationSeparator" w:id="0">
    <w:p w14:paraId="63B22980" w14:textId="77777777" w:rsidR="00281E36" w:rsidRDefault="00281E3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AA1F" w14:textId="77777777" w:rsidR="00281E36" w:rsidRDefault="00281E36" w:rsidP="000D45AD">
      <w:pPr>
        <w:spacing w:after="0" w:line="240" w:lineRule="auto"/>
      </w:pPr>
      <w:r>
        <w:separator/>
      </w:r>
    </w:p>
  </w:footnote>
  <w:footnote w:type="continuationSeparator" w:id="0">
    <w:p w14:paraId="27D19B9F" w14:textId="77777777" w:rsidR="00281E36" w:rsidRDefault="00281E3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
  </w:num>
  <w:num w:numId="4">
    <w:abstractNumId w:val="0"/>
  </w:num>
  <w:num w:numId="5">
    <w:abstractNumId w:val="13"/>
  </w:num>
  <w:num w:numId="6">
    <w:abstractNumId w:val="15"/>
  </w:num>
  <w:num w:numId="7">
    <w:abstractNumId w:val="8"/>
  </w:num>
  <w:num w:numId="8">
    <w:abstractNumId w:val="12"/>
  </w:num>
  <w:num w:numId="9">
    <w:abstractNumId w:val="14"/>
  </w:num>
  <w:num w:numId="10">
    <w:abstractNumId w:val="1"/>
  </w:num>
  <w:num w:numId="11">
    <w:abstractNumId w:val="4"/>
  </w:num>
  <w:num w:numId="12">
    <w:abstractNumId w:val="3"/>
  </w:num>
  <w:num w:numId="13">
    <w:abstractNumId w:val="10"/>
  </w:num>
  <w:num w:numId="14">
    <w:abstractNumId w:val="9"/>
  </w:num>
  <w:num w:numId="15">
    <w:abstractNumId w:val="6"/>
  </w:num>
  <w:num w:numId="16">
    <w:abstractNumId w:val="11"/>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1007C3"/>
    <w:rsid w:val="00116207"/>
    <w:rsid w:val="00126E78"/>
    <w:rsid w:val="00141C62"/>
    <w:rsid w:val="001420B4"/>
    <w:rsid w:val="00145053"/>
    <w:rsid w:val="00151080"/>
    <w:rsid w:val="00166FE1"/>
    <w:rsid w:val="00182923"/>
    <w:rsid w:val="00185A17"/>
    <w:rsid w:val="00190D43"/>
    <w:rsid w:val="001918F4"/>
    <w:rsid w:val="00192E52"/>
    <w:rsid w:val="001A2F7B"/>
    <w:rsid w:val="001B3E93"/>
    <w:rsid w:val="001B7E1B"/>
    <w:rsid w:val="001C044A"/>
    <w:rsid w:val="001D2BE8"/>
    <w:rsid w:val="001D6D70"/>
    <w:rsid w:val="00210A17"/>
    <w:rsid w:val="002116CE"/>
    <w:rsid w:val="002234D8"/>
    <w:rsid w:val="00230C30"/>
    <w:rsid w:val="00234617"/>
    <w:rsid w:val="002402AC"/>
    <w:rsid w:val="00247005"/>
    <w:rsid w:val="0025006B"/>
    <w:rsid w:val="00250271"/>
    <w:rsid w:val="0025236B"/>
    <w:rsid w:val="00257A41"/>
    <w:rsid w:val="002627D1"/>
    <w:rsid w:val="002660E2"/>
    <w:rsid w:val="002661A9"/>
    <w:rsid w:val="00267F53"/>
    <w:rsid w:val="00272678"/>
    <w:rsid w:val="00274132"/>
    <w:rsid w:val="00281E36"/>
    <w:rsid w:val="002842B2"/>
    <w:rsid w:val="002869F6"/>
    <w:rsid w:val="00286B8F"/>
    <w:rsid w:val="002926EA"/>
    <w:rsid w:val="002B19B3"/>
    <w:rsid w:val="002B37C9"/>
    <w:rsid w:val="002C017D"/>
    <w:rsid w:val="002C22A4"/>
    <w:rsid w:val="002C46E1"/>
    <w:rsid w:val="002C5B35"/>
    <w:rsid w:val="002C7D5F"/>
    <w:rsid w:val="002E0517"/>
    <w:rsid w:val="002E1478"/>
    <w:rsid w:val="002E2777"/>
    <w:rsid w:val="002E61A7"/>
    <w:rsid w:val="002E7704"/>
    <w:rsid w:val="002F321F"/>
    <w:rsid w:val="002F35C0"/>
    <w:rsid w:val="00301291"/>
    <w:rsid w:val="0030192F"/>
    <w:rsid w:val="00301EDA"/>
    <w:rsid w:val="0031345C"/>
    <w:rsid w:val="003227FB"/>
    <w:rsid w:val="0032538A"/>
    <w:rsid w:val="00336902"/>
    <w:rsid w:val="003506CC"/>
    <w:rsid w:val="0036220F"/>
    <w:rsid w:val="00370757"/>
    <w:rsid w:val="003716A7"/>
    <w:rsid w:val="0037578B"/>
    <w:rsid w:val="00375D7A"/>
    <w:rsid w:val="00387B56"/>
    <w:rsid w:val="00390556"/>
    <w:rsid w:val="00390AF0"/>
    <w:rsid w:val="003964E2"/>
    <w:rsid w:val="003B1CE6"/>
    <w:rsid w:val="003B34E2"/>
    <w:rsid w:val="003B76FE"/>
    <w:rsid w:val="003C266A"/>
    <w:rsid w:val="003C3815"/>
    <w:rsid w:val="003C389E"/>
    <w:rsid w:val="003C4961"/>
    <w:rsid w:val="003C7FC8"/>
    <w:rsid w:val="003E7C35"/>
    <w:rsid w:val="003F0F8B"/>
    <w:rsid w:val="003F2822"/>
    <w:rsid w:val="0040163D"/>
    <w:rsid w:val="004146BB"/>
    <w:rsid w:val="004148EB"/>
    <w:rsid w:val="00415521"/>
    <w:rsid w:val="004170BF"/>
    <w:rsid w:val="004209B4"/>
    <w:rsid w:val="0043245B"/>
    <w:rsid w:val="00433A31"/>
    <w:rsid w:val="00433EC8"/>
    <w:rsid w:val="004358CA"/>
    <w:rsid w:val="00444568"/>
    <w:rsid w:val="00447542"/>
    <w:rsid w:val="004537BF"/>
    <w:rsid w:val="004618EE"/>
    <w:rsid w:val="00462CC3"/>
    <w:rsid w:val="00464095"/>
    <w:rsid w:val="004902ED"/>
    <w:rsid w:val="00491510"/>
    <w:rsid w:val="004A1023"/>
    <w:rsid w:val="004A76A8"/>
    <w:rsid w:val="004B0A6C"/>
    <w:rsid w:val="004B682D"/>
    <w:rsid w:val="004B776B"/>
    <w:rsid w:val="004C0B6B"/>
    <w:rsid w:val="004C67A3"/>
    <w:rsid w:val="004F3E93"/>
    <w:rsid w:val="005036CD"/>
    <w:rsid w:val="00514979"/>
    <w:rsid w:val="005150E2"/>
    <w:rsid w:val="00520495"/>
    <w:rsid w:val="00523C2E"/>
    <w:rsid w:val="00524E79"/>
    <w:rsid w:val="0053335C"/>
    <w:rsid w:val="0053343B"/>
    <w:rsid w:val="00533D25"/>
    <w:rsid w:val="005403B5"/>
    <w:rsid w:val="0054772F"/>
    <w:rsid w:val="00560C45"/>
    <w:rsid w:val="005708D2"/>
    <w:rsid w:val="00585CC8"/>
    <w:rsid w:val="00592CA0"/>
    <w:rsid w:val="00593E99"/>
    <w:rsid w:val="00595017"/>
    <w:rsid w:val="00597A61"/>
    <w:rsid w:val="005A0804"/>
    <w:rsid w:val="005A247E"/>
    <w:rsid w:val="005A5AB6"/>
    <w:rsid w:val="005B29DB"/>
    <w:rsid w:val="005C2FA8"/>
    <w:rsid w:val="005C34EE"/>
    <w:rsid w:val="005C5263"/>
    <w:rsid w:val="005C73D6"/>
    <w:rsid w:val="005D4BBC"/>
    <w:rsid w:val="005E1E94"/>
    <w:rsid w:val="005F387F"/>
    <w:rsid w:val="00602684"/>
    <w:rsid w:val="00602D29"/>
    <w:rsid w:val="0062143A"/>
    <w:rsid w:val="00624B56"/>
    <w:rsid w:val="00633B3D"/>
    <w:rsid w:val="00633EFE"/>
    <w:rsid w:val="00637F1A"/>
    <w:rsid w:val="006450B5"/>
    <w:rsid w:val="0065178F"/>
    <w:rsid w:val="00652834"/>
    <w:rsid w:val="006552F2"/>
    <w:rsid w:val="006627C0"/>
    <w:rsid w:val="00665274"/>
    <w:rsid w:val="00666139"/>
    <w:rsid w:val="00683D2D"/>
    <w:rsid w:val="0069062D"/>
    <w:rsid w:val="006B734C"/>
    <w:rsid w:val="006B7CB1"/>
    <w:rsid w:val="006C5794"/>
    <w:rsid w:val="006D181B"/>
    <w:rsid w:val="006D42E0"/>
    <w:rsid w:val="006E3176"/>
    <w:rsid w:val="006E4FEA"/>
    <w:rsid w:val="006F5F38"/>
    <w:rsid w:val="006F61A3"/>
    <w:rsid w:val="0071362E"/>
    <w:rsid w:val="00715E66"/>
    <w:rsid w:val="007175D8"/>
    <w:rsid w:val="00725851"/>
    <w:rsid w:val="0073116A"/>
    <w:rsid w:val="00731355"/>
    <w:rsid w:val="00731FFD"/>
    <w:rsid w:val="00741720"/>
    <w:rsid w:val="007479E9"/>
    <w:rsid w:val="00750FA6"/>
    <w:rsid w:val="007528E9"/>
    <w:rsid w:val="00755BFB"/>
    <w:rsid w:val="00755C3F"/>
    <w:rsid w:val="0076250E"/>
    <w:rsid w:val="007771DA"/>
    <w:rsid w:val="007777B0"/>
    <w:rsid w:val="007806C3"/>
    <w:rsid w:val="00781A0B"/>
    <w:rsid w:val="00792A45"/>
    <w:rsid w:val="007A5F55"/>
    <w:rsid w:val="007A787E"/>
    <w:rsid w:val="007A7E97"/>
    <w:rsid w:val="007B27C4"/>
    <w:rsid w:val="007B2C25"/>
    <w:rsid w:val="007C435D"/>
    <w:rsid w:val="007C562D"/>
    <w:rsid w:val="007C6313"/>
    <w:rsid w:val="007E4EEB"/>
    <w:rsid w:val="007E65CC"/>
    <w:rsid w:val="007F06B0"/>
    <w:rsid w:val="007F5598"/>
    <w:rsid w:val="00811C71"/>
    <w:rsid w:val="008274A6"/>
    <w:rsid w:val="0084140E"/>
    <w:rsid w:val="00844A65"/>
    <w:rsid w:val="008457B8"/>
    <w:rsid w:val="00852930"/>
    <w:rsid w:val="0085506C"/>
    <w:rsid w:val="008552F9"/>
    <w:rsid w:val="00855D95"/>
    <w:rsid w:val="00864E11"/>
    <w:rsid w:val="00874CE2"/>
    <w:rsid w:val="00883211"/>
    <w:rsid w:val="0089630A"/>
    <w:rsid w:val="0089679E"/>
    <w:rsid w:val="00896FD8"/>
    <w:rsid w:val="008974B7"/>
    <w:rsid w:val="008A4BFF"/>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149BE"/>
    <w:rsid w:val="009462BB"/>
    <w:rsid w:val="0094687B"/>
    <w:rsid w:val="00962451"/>
    <w:rsid w:val="00963EC9"/>
    <w:rsid w:val="00966E05"/>
    <w:rsid w:val="00967EF3"/>
    <w:rsid w:val="0097159A"/>
    <w:rsid w:val="00976B75"/>
    <w:rsid w:val="0098202C"/>
    <w:rsid w:val="00984F89"/>
    <w:rsid w:val="00995B80"/>
    <w:rsid w:val="009A1614"/>
    <w:rsid w:val="009A2BB4"/>
    <w:rsid w:val="009B2DC7"/>
    <w:rsid w:val="009B77CF"/>
    <w:rsid w:val="009C7176"/>
    <w:rsid w:val="009C7187"/>
    <w:rsid w:val="009D3B87"/>
    <w:rsid w:val="009D4936"/>
    <w:rsid w:val="009E1BDD"/>
    <w:rsid w:val="009E7B77"/>
    <w:rsid w:val="009F4BC0"/>
    <w:rsid w:val="009F6A26"/>
    <w:rsid w:val="009F7A0B"/>
    <w:rsid w:val="00A01CE9"/>
    <w:rsid w:val="00A0236E"/>
    <w:rsid w:val="00A13B7A"/>
    <w:rsid w:val="00A16DBA"/>
    <w:rsid w:val="00A17407"/>
    <w:rsid w:val="00A25992"/>
    <w:rsid w:val="00A40295"/>
    <w:rsid w:val="00A403FF"/>
    <w:rsid w:val="00A44BA4"/>
    <w:rsid w:val="00A45460"/>
    <w:rsid w:val="00A667FC"/>
    <w:rsid w:val="00A93F81"/>
    <w:rsid w:val="00A97F8A"/>
    <w:rsid w:val="00AB1564"/>
    <w:rsid w:val="00AB288C"/>
    <w:rsid w:val="00AB328A"/>
    <w:rsid w:val="00AB3AF5"/>
    <w:rsid w:val="00AC4B97"/>
    <w:rsid w:val="00AC7116"/>
    <w:rsid w:val="00AD1434"/>
    <w:rsid w:val="00B03CF0"/>
    <w:rsid w:val="00B10413"/>
    <w:rsid w:val="00B119A0"/>
    <w:rsid w:val="00B12A8A"/>
    <w:rsid w:val="00B35F57"/>
    <w:rsid w:val="00B420BF"/>
    <w:rsid w:val="00B437E3"/>
    <w:rsid w:val="00B45092"/>
    <w:rsid w:val="00B4663E"/>
    <w:rsid w:val="00B468CC"/>
    <w:rsid w:val="00B476D6"/>
    <w:rsid w:val="00B75AF8"/>
    <w:rsid w:val="00B80ACB"/>
    <w:rsid w:val="00B917CD"/>
    <w:rsid w:val="00BA0676"/>
    <w:rsid w:val="00BA3DD4"/>
    <w:rsid w:val="00BB06D9"/>
    <w:rsid w:val="00BB431A"/>
    <w:rsid w:val="00BC1535"/>
    <w:rsid w:val="00BC2C50"/>
    <w:rsid w:val="00BD4FB4"/>
    <w:rsid w:val="00BD6E41"/>
    <w:rsid w:val="00BE2DE3"/>
    <w:rsid w:val="00BE4DE3"/>
    <w:rsid w:val="00BF6629"/>
    <w:rsid w:val="00C003D8"/>
    <w:rsid w:val="00C07499"/>
    <w:rsid w:val="00C21BC9"/>
    <w:rsid w:val="00C2217F"/>
    <w:rsid w:val="00C30336"/>
    <w:rsid w:val="00C34CBC"/>
    <w:rsid w:val="00C439FA"/>
    <w:rsid w:val="00C4509E"/>
    <w:rsid w:val="00C534B6"/>
    <w:rsid w:val="00C54B3D"/>
    <w:rsid w:val="00C55996"/>
    <w:rsid w:val="00C56F5A"/>
    <w:rsid w:val="00C65037"/>
    <w:rsid w:val="00C70E4E"/>
    <w:rsid w:val="00C7633B"/>
    <w:rsid w:val="00C80511"/>
    <w:rsid w:val="00C85B1F"/>
    <w:rsid w:val="00C95382"/>
    <w:rsid w:val="00CC6540"/>
    <w:rsid w:val="00CD1776"/>
    <w:rsid w:val="00CD482C"/>
    <w:rsid w:val="00CD5D02"/>
    <w:rsid w:val="00CE6528"/>
    <w:rsid w:val="00CF43C6"/>
    <w:rsid w:val="00CF75C5"/>
    <w:rsid w:val="00D01415"/>
    <w:rsid w:val="00D02606"/>
    <w:rsid w:val="00D06C9B"/>
    <w:rsid w:val="00D075FE"/>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C123F"/>
    <w:rsid w:val="00DC555E"/>
    <w:rsid w:val="00DC7141"/>
    <w:rsid w:val="00DE055A"/>
    <w:rsid w:val="00DE4C9D"/>
    <w:rsid w:val="00DF43B0"/>
    <w:rsid w:val="00E0083C"/>
    <w:rsid w:val="00E01B71"/>
    <w:rsid w:val="00E071E1"/>
    <w:rsid w:val="00E12BEF"/>
    <w:rsid w:val="00E36DB9"/>
    <w:rsid w:val="00E522C0"/>
    <w:rsid w:val="00E541A9"/>
    <w:rsid w:val="00E567B9"/>
    <w:rsid w:val="00E56876"/>
    <w:rsid w:val="00E623CA"/>
    <w:rsid w:val="00E662F6"/>
    <w:rsid w:val="00E762CF"/>
    <w:rsid w:val="00E8724D"/>
    <w:rsid w:val="00E97910"/>
    <w:rsid w:val="00EA7381"/>
    <w:rsid w:val="00EB09D7"/>
    <w:rsid w:val="00EB6F9E"/>
    <w:rsid w:val="00EC3DE9"/>
    <w:rsid w:val="00ED52B2"/>
    <w:rsid w:val="00EE3CB3"/>
    <w:rsid w:val="00EE51C4"/>
    <w:rsid w:val="00EF7683"/>
    <w:rsid w:val="00F1223F"/>
    <w:rsid w:val="00F13D2A"/>
    <w:rsid w:val="00F1651D"/>
    <w:rsid w:val="00F16756"/>
    <w:rsid w:val="00F2315D"/>
    <w:rsid w:val="00F279E4"/>
    <w:rsid w:val="00F32E26"/>
    <w:rsid w:val="00F41739"/>
    <w:rsid w:val="00F419EC"/>
    <w:rsid w:val="00F61D24"/>
    <w:rsid w:val="00F62A46"/>
    <w:rsid w:val="00F7174D"/>
    <w:rsid w:val="00F8574A"/>
    <w:rsid w:val="00FB1005"/>
    <w:rsid w:val="00FB2AD1"/>
    <w:rsid w:val="00FB309C"/>
    <w:rsid w:val="00FC1D12"/>
    <w:rsid w:val="00FD611B"/>
    <w:rsid w:val="00FE1550"/>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8</Pages>
  <Words>3624</Words>
  <Characters>20663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9</cp:revision>
  <dcterms:created xsi:type="dcterms:W3CDTF">2022-04-26T03:09:00Z</dcterms:created>
  <dcterms:modified xsi:type="dcterms:W3CDTF">2022-04-29T07:15:00Z</dcterms:modified>
</cp:coreProperties>
</file>