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CA054" w14:textId="79C5ED0E" w:rsidR="00D65BF1" w:rsidRPr="00211A88" w:rsidRDefault="00D65BF1" w:rsidP="00D65BF1">
      <w:pPr>
        <w:pStyle w:val="Header"/>
        <w:tabs>
          <w:tab w:val="right" w:pos="9639"/>
        </w:tabs>
        <w:rPr>
          <w:noProof w:val="0"/>
          <w:sz w:val="24"/>
          <w:szCs w:val="24"/>
          <w:highlight w:val="yellow"/>
          <w:lang w:val="en-GB" w:eastAsia="ja-JP"/>
        </w:rPr>
      </w:pPr>
      <w:bookmarkStart w:id="0" w:name="_Hlk490136987"/>
      <w:bookmarkEnd w:id="0"/>
      <w:r w:rsidRPr="00211A88">
        <w:rPr>
          <w:noProof w:val="0"/>
          <w:sz w:val="24"/>
          <w:szCs w:val="24"/>
          <w:lang w:val="en-GB"/>
        </w:rPr>
        <w:t>3GPP T</w:t>
      </w:r>
      <w:bookmarkStart w:id="1" w:name="_Ref452454252"/>
      <w:bookmarkEnd w:id="1"/>
      <w:r w:rsidRPr="00211A88">
        <w:rPr>
          <w:noProof w:val="0"/>
          <w:sz w:val="24"/>
          <w:szCs w:val="24"/>
          <w:lang w:val="en-GB"/>
        </w:rPr>
        <w:t>SG RAN WG1 Meeting</w:t>
      </w:r>
      <w:r>
        <w:rPr>
          <w:noProof w:val="0"/>
          <w:sz w:val="24"/>
          <w:szCs w:val="24"/>
          <w:lang w:val="en-GB"/>
        </w:rPr>
        <w:t xml:space="preserve"> </w:t>
      </w:r>
      <w:r w:rsidRPr="00211A88">
        <w:rPr>
          <w:noProof w:val="0"/>
          <w:sz w:val="24"/>
          <w:szCs w:val="24"/>
          <w:lang w:val="en-GB"/>
        </w:rPr>
        <w:t>#</w:t>
      </w:r>
      <w:r w:rsidR="000D7882">
        <w:rPr>
          <w:noProof w:val="0"/>
          <w:sz w:val="24"/>
          <w:szCs w:val="24"/>
          <w:lang w:val="en-GB"/>
        </w:rPr>
        <w:t>109</w:t>
      </w:r>
      <w:r w:rsidR="005B3047">
        <w:rPr>
          <w:noProof w:val="0"/>
          <w:sz w:val="24"/>
          <w:szCs w:val="24"/>
          <w:lang w:val="en-GB"/>
        </w:rPr>
        <w:t>-e</w:t>
      </w:r>
      <w:r w:rsidRPr="00211A88">
        <w:rPr>
          <w:bCs/>
          <w:noProof w:val="0"/>
          <w:sz w:val="24"/>
          <w:szCs w:val="24"/>
          <w:lang w:val="en-GB"/>
        </w:rPr>
        <w:tab/>
      </w:r>
      <w:r w:rsidR="002057BF" w:rsidRPr="002057BF">
        <w:rPr>
          <w:noProof w:val="0"/>
          <w:sz w:val="24"/>
          <w:szCs w:val="24"/>
          <w:lang w:val="en-GB"/>
        </w:rPr>
        <w:t>R1-2203392</w:t>
      </w:r>
    </w:p>
    <w:p w14:paraId="7C4F9872" w14:textId="22E66C64" w:rsidR="00D65BF1" w:rsidRPr="00353CA3" w:rsidRDefault="005B3047" w:rsidP="00353CA3">
      <w:pPr>
        <w:tabs>
          <w:tab w:val="right" w:pos="9216"/>
        </w:tabs>
        <w:spacing w:after="0"/>
        <w:rPr>
          <w:lang w:eastAsia="fr-FR"/>
        </w:rPr>
      </w:pPr>
      <w:r>
        <w:rPr>
          <w:b/>
          <w:lang w:eastAsia="fr-FR"/>
        </w:rPr>
        <w:t>e-Meeting, May 09</w:t>
      </w:r>
      <w:r>
        <w:rPr>
          <w:b/>
          <w:vertAlign w:val="superscript"/>
          <w:lang w:eastAsia="fr-FR"/>
        </w:rPr>
        <w:t>th</w:t>
      </w:r>
      <w:r>
        <w:rPr>
          <w:b/>
          <w:lang w:eastAsia="fr-FR"/>
        </w:rPr>
        <w:t xml:space="preserve">  – May 20</w:t>
      </w:r>
      <w:r w:rsidRPr="00353CA3">
        <w:rPr>
          <w:b/>
          <w:vertAlign w:val="superscript"/>
          <w:lang w:eastAsia="fr-FR"/>
        </w:rPr>
        <w:t>th</w:t>
      </w:r>
      <w:r>
        <w:rPr>
          <w:b/>
          <w:lang w:eastAsia="fr-FR"/>
        </w:rPr>
        <w:t>, 2022</w:t>
      </w:r>
    </w:p>
    <w:p w14:paraId="27DF52D5" w14:textId="77777777" w:rsidR="00115655" w:rsidRPr="00D65BF1" w:rsidRDefault="00115655" w:rsidP="00BD6860">
      <w:pPr>
        <w:pStyle w:val="Header"/>
        <w:rPr>
          <w:bCs/>
          <w:noProof w:val="0"/>
          <w:sz w:val="24"/>
          <w:highlight w:val="yellow"/>
          <w:lang w:val="en-GB" w:eastAsia="ja-JP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BD6860" w:rsidRPr="00CF1F85" w14:paraId="07EDC574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359D7D46" w14:textId="77777777" w:rsidR="00BD6860" w:rsidRPr="00DC4FF4" w:rsidRDefault="00BD6860" w:rsidP="001954DE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Source:</w:t>
            </w:r>
          </w:p>
        </w:tc>
        <w:tc>
          <w:tcPr>
            <w:tcW w:w="7791" w:type="dxa"/>
            <w:hideMark/>
          </w:tcPr>
          <w:p w14:paraId="75DBAFA2" w14:textId="180F94C5" w:rsidR="00BD6860" w:rsidRPr="00DC4FF4" w:rsidRDefault="000D7882" w:rsidP="001954DE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Lockheed Martin</w:t>
            </w:r>
          </w:p>
        </w:tc>
      </w:tr>
      <w:tr w:rsidR="00C21A4B" w:rsidRPr="00A76C79" w14:paraId="26BD461D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7BCA052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Title:</w:t>
            </w:r>
          </w:p>
        </w:tc>
        <w:tc>
          <w:tcPr>
            <w:tcW w:w="7791" w:type="dxa"/>
            <w:hideMark/>
          </w:tcPr>
          <w:p w14:paraId="2A5F57EF" w14:textId="527E12A0" w:rsidR="00C21A4B" w:rsidRPr="00DC4FF4" w:rsidRDefault="00C21A4B" w:rsidP="00DD6AC6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</w:pPr>
            <w:bookmarkStart w:id="2" w:name="_Hlk100564613"/>
            <w:r w:rsidRPr="00C21A4B">
              <w:rPr>
                <w:rFonts w:ascii="Arial" w:hAnsi="Arial" w:cs="Arial" w:hint="eastAsia"/>
                <w:b/>
                <w:bCs/>
                <w:sz w:val="24"/>
                <w:szCs w:val="24"/>
                <w:lang w:val="en-US" w:eastAsia="zh-CN"/>
              </w:rPr>
              <w:t>Consideration</w:t>
            </w:r>
            <w:r w:rsidR="00992A84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s</w:t>
            </w:r>
            <w:r w:rsidRPr="00C21A4B">
              <w:rPr>
                <w:rFonts w:ascii="Arial" w:hAnsi="Arial" w:cs="Arial" w:hint="eastAsia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="00B5679D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for </w:t>
            </w:r>
            <w:r w:rsidR="000D7882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Disablement of</w:t>
            </w:r>
            <w:r w:rsidR="0090110F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 w:rsidR="00DD6AC6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HARQ </w:t>
            </w:r>
            <w:r w:rsidR="00425B12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 xml:space="preserve">in </w:t>
            </w:r>
            <w:bookmarkEnd w:id="2"/>
            <w:r w:rsidR="003C1DFE">
              <w:rPr>
                <w:rFonts w:ascii="Arial" w:hAnsi="Arial" w:cs="Arial"/>
                <w:b/>
                <w:bCs/>
                <w:sz w:val="24"/>
                <w:szCs w:val="24"/>
                <w:lang w:val="en-US" w:eastAsia="zh-CN"/>
              </w:rPr>
              <w:t>IoT NTN</w:t>
            </w:r>
          </w:p>
        </w:tc>
      </w:tr>
      <w:tr w:rsidR="00C21A4B" w:rsidRPr="00136E46" w14:paraId="6D344922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46379BA7" w14:textId="77777777" w:rsidR="00C21A4B" w:rsidRPr="00CF1F85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Document for:</w:t>
            </w:r>
          </w:p>
        </w:tc>
        <w:tc>
          <w:tcPr>
            <w:tcW w:w="7791" w:type="dxa"/>
            <w:hideMark/>
          </w:tcPr>
          <w:p w14:paraId="5E5B3CB1" w14:textId="77777777" w:rsidR="00C21A4B" w:rsidRPr="00CF1F85" w:rsidRDefault="00C21A4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74AD71A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Discussion and Decision</w:t>
            </w:r>
          </w:p>
        </w:tc>
      </w:tr>
      <w:tr w:rsidR="00C21A4B" w14:paraId="48BA56A5" w14:textId="77777777" w:rsidTr="001954DE">
        <w:tc>
          <w:tcPr>
            <w:tcW w:w="1838" w:type="dxa"/>
            <w:tcMar>
              <w:left w:w="0" w:type="dxa"/>
            </w:tcMar>
            <w:hideMark/>
          </w:tcPr>
          <w:p w14:paraId="09E6A0B4" w14:textId="77777777" w:rsidR="00C21A4B" w:rsidRPr="00DC4FF4" w:rsidRDefault="00C21A4B" w:rsidP="00C21A4B">
            <w:pPr>
              <w:spacing w:after="120"/>
              <w:jc w:val="both"/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</w:pPr>
            <w:r w:rsidRPr="74AD71AD">
              <w:rPr>
                <w:rFonts w:ascii="Arial" w:eastAsia="MS Mincho" w:hAnsi="Arial" w:cs="Arial"/>
                <w:b/>
                <w:bCs/>
                <w:sz w:val="24"/>
                <w:szCs w:val="24"/>
                <w:lang w:val="en-US"/>
              </w:rPr>
              <w:t>Agenda Item:</w:t>
            </w:r>
          </w:p>
        </w:tc>
        <w:tc>
          <w:tcPr>
            <w:tcW w:w="7791" w:type="dxa"/>
            <w:hideMark/>
          </w:tcPr>
          <w:p w14:paraId="6FAFDCE6" w14:textId="15F4D332" w:rsidR="00C21A4B" w:rsidRPr="00DC4FF4" w:rsidRDefault="00C42A3B" w:rsidP="00C21A4B">
            <w:pPr>
              <w:spacing w:after="120"/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9.12.2 </w:t>
            </w:r>
          </w:p>
        </w:tc>
      </w:tr>
    </w:tbl>
    <w:p w14:paraId="2F9AD1C8" w14:textId="137D1214" w:rsidR="00BD6860" w:rsidRDefault="009D4491" w:rsidP="009D4491">
      <w:pPr>
        <w:pStyle w:val="Heading1"/>
        <w:ind w:left="432" w:hanging="432"/>
      </w:pPr>
      <w:r>
        <w:t xml:space="preserve">1 </w:t>
      </w:r>
      <w:r w:rsidR="00BD6860" w:rsidRPr="74AD71AD">
        <w:t>Introduction</w:t>
      </w:r>
    </w:p>
    <w:p w14:paraId="419D03D3" w14:textId="01371CD7" w:rsidR="008F1B07" w:rsidRDefault="005B3047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In</w:t>
      </w:r>
      <w:r w:rsidR="00C42A3B">
        <w:rPr>
          <w:szCs w:val="22"/>
          <w:lang w:val="en-US"/>
        </w:rPr>
        <w:t xml:space="preserve"> </w:t>
      </w:r>
      <w:r w:rsidR="00C15B84">
        <w:rPr>
          <w:szCs w:val="22"/>
          <w:lang w:val="en-US"/>
        </w:rPr>
        <w:t xml:space="preserve">the </w:t>
      </w:r>
      <w:r w:rsidR="00C42A3B">
        <w:rPr>
          <w:szCs w:val="22"/>
          <w:lang w:val="en-US"/>
        </w:rPr>
        <w:t>RAN</w:t>
      </w:r>
      <w:r w:rsidR="000E0C56"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WG1 meeting </w:t>
      </w:r>
      <w:r w:rsidR="000E0C56">
        <w:rPr>
          <w:szCs w:val="22"/>
          <w:lang w:val="en-US"/>
        </w:rPr>
        <w:t>RAN1</w:t>
      </w:r>
      <w:r w:rsidR="00C42A3B">
        <w:rPr>
          <w:szCs w:val="22"/>
          <w:lang w:val="en-US"/>
        </w:rPr>
        <w:t>#109</w:t>
      </w:r>
      <w:r>
        <w:rPr>
          <w:szCs w:val="22"/>
          <w:lang w:val="en-US"/>
        </w:rPr>
        <w:t>-e,</w:t>
      </w:r>
      <w:r w:rsidR="00C42A3B">
        <w:rPr>
          <w:szCs w:val="22"/>
          <w:lang w:val="en-US"/>
        </w:rPr>
        <w:t xml:space="preserve"> agenda item 9.12.2 </w:t>
      </w:r>
      <w:r>
        <w:rPr>
          <w:szCs w:val="22"/>
          <w:lang w:val="en-US"/>
        </w:rPr>
        <w:t xml:space="preserve">addresses </w:t>
      </w:r>
      <w:r w:rsidR="00C42A3B">
        <w:rPr>
          <w:szCs w:val="22"/>
          <w:lang w:val="en-US"/>
        </w:rPr>
        <w:t xml:space="preserve">the disablement of HARQ feedback for </w:t>
      </w:r>
      <w:r w:rsidR="003C1DFE">
        <w:rPr>
          <w:szCs w:val="22"/>
          <w:lang w:val="en-US"/>
        </w:rPr>
        <w:t>IoT NTN</w:t>
      </w:r>
      <w:r>
        <w:rPr>
          <w:szCs w:val="22"/>
          <w:lang w:val="en-US"/>
        </w:rPr>
        <w:t xml:space="preserve"> </w:t>
      </w:r>
      <w:r w:rsidR="00C42A3B">
        <w:rPr>
          <w:szCs w:val="22"/>
          <w:lang w:val="en-US"/>
        </w:rPr>
        <w:t xml:space="preserve">scenarios where the existing agreements for HARQ feedback may cause a sacrifice of the available performance. </w:t>
      </w:r>
    </w:p>
    <w:p w14:paraId="0CCCDC90" w14:textId="54445D5F" w:rsidR="0091023F" w:rsidRDefault="0091023F" w:rsidP="00BD6860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As is well known</w:t>
      </w:r>
      <w:r w:rsidR="00915801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there was consideration for the disablement of HARQ feedback in 2019, and 2020</w:t>
      </w:r>
      <w:r w:rsidR="00813080">
        <w:rPr>
          <w:szCs w:val="22"/>
          <w:lang w:val="en-US"/>
        </w:rPr>
        <w:t xml:space="preserve">. The potential for disabling HARQ feedback </w:t>
      </w:r>
      <w:r w:rsidR="00915801">
        <w:rPr>
          <w:szCs w:val="22"/>
          <w:lang w:val="en-US"/>
        </w:rPr>
        <w:t>h</w:t>
      </w:r>
      <w:r w:rsidR="000E0C56">
        <w:rPr>
          <w:szCs w:val="22"/>
          <w:lang w:val="en-US"/>
        </w:rPr>
        <w:t>as more recently</w:t>
      </w:r>
      <w:r w:rsidR="00813080">
        <w:rPr>
          <w:szCs w:val="22"/>
          <w:lang w:val="en-US"/>
        </w:rPr>
        <w:t xml:space="preserve"> been considered</w:t>
      </w:r>
      <w:r w:rsidR="000E0C56">
        <w:rPr>
          <w:szCs w:val="22"/>
          <w:lang w:val="en-US"/>
        </w:rPr>
        <w:t xml:space="preserve"> for a Rel-18 topic</w:t>
      </w:r>
      <w:r>
        <w:rPr>
          <w:szCs w:val="22"/>
          <w:lang w:val="en-US"/>
        </w:rPr>
        <w:t>.</w:t>
      </w:r>
    </w:p>
    <w:p w14:paraId="21494905" w14:textId="76AFA08E" w:rsidR="00BE421F" w:rsidRDefault="00BE421F" w:rsidP="00BE421F">
      <w:p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 xml:space="preserve">At the RAN#86 </w:t>
      </w:r>
      <w:r>
        <w:rPr>
          <w:szCs w:val="22"/>
          <w:lang w:val="en-US"/>
        </w:rPr>
        <w:t>(Dec, 2019)</w:t>
      </w:r>
      <w:r w:rsidRPr="00BE421F">
        <w:rPr>
          <w:szCs w:val="22"/>
          <w:lang w:val="en-US"/>
        </w:rPr>
        <w:t xml:space="preserve"> meeting in </w:t>
      </w:r>
      <w:proofErr w:type="spellStart"/>
      <w:r w:rsidRPr="00BE421F">
        <w:rPr>
          <w:szCs w:val="22"/>
          <w:lang w:val="en-US"/>
        </w:rPr>
        <w:t>Sitges</w:t>
      </w:r>
      <w:proofErr w:type="spellEnd"/>
      <w:r w:rsidR="00915801">
        <w:rPr>
          <w:szCs w:val="22"/>
          <w:lang w:val="en-US"/>
        </w:rPr>
        <w:t>,</w:t>
      </w:r>
      <w:r w:rsidRPr="00BE421F">
        <w:rPr>
          <w:szCs w:val="22"/>
          <w:lang w:val="en-US"/>
        </w:rPr>
        <w:t xml:space="preserve"> Spain</w:t>
      </w:r>
      <w:r w:rsidR="00915801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a new WI “Solutions for NR to support non-</w:t>
      </w:r>
      <w:r w:rsidR="00F70CB5">
        <w:rPr>
          <w:szCs w:val="22"/>
          <w:lang w:val="en-US"/>
        </w:rPr>
        <w:t>terrestrial</w:t>
      </w:r>
      <w:r>
        <w:rPr>
          <w:szCs w:val="22"/>
          <w:lang w:val="en-US"/>
        </w:rPr>
        <w:t xml:space="preserve"> networks (NTN)</w:t>
      </w:r>
      <w:r w:rsidR="00915801">
        <w:rPr>
          <w:szCs w:val="22"/>
          <w:lang w:val="en-US"/>
        </w:rPr>
        <w:t>”</w:t>
      </w:r>
      <w:r>
        <w:rPr>
          <w:szCs w:val="22"/>
          <w:lang w:val="en-US"/>
        </w:rPr>
        <w:t xml:space="preserve"> was agreed</w:t>
      </w:r>
      <w:r w:rsidR="00915801">
        <w:rPr>
          <w:szCs w:val="22"/>
          <w:lang w:val="en-US"/>
        </w:rPr>
        <w:t>,</w:t>
      </w:r>
      <w:r>
        <w:rPr>
          <w:szCs w:val="22"/>
          <w:lang w:val="en-US"/>
        </w:rPr>
        <w:t xml:space="preserve"> at which time the following HARQ enhancements were considered for </w:t>
      </w:r>
      <w:r w:rsidR="00F70CB5">
        <w:rPr>
          <w:szCs w:val="22"/>
          <w:lang w:val="en-US"/>
        </w:rPr>
        <w:t>investigation</w:t>
      </w:r>
      <w:r>
        <w:rPr>
          <w:szCs w:val="22"/>
          <w:lang w:val="en-US"/>
        </w:rPr>
        <w:t>,</w:t>
      </w:r>
    </w:p>
    <w:p w14:paraId="4B47917C" w14:textId="2D09BB7E" w:rsidR="00BE421F" w:rsidRPr="00BE421F" w:rsidRDefault="00BE421F" w:rsidP="00446902">
      <w:pPr>
        <w:pStyle w:val="ListParagraph"/>
        <w:numPr>
          <w:ilvl w:val="0"/>
          <w:numId w:val="15"/>
        </w:num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>HARQ</w:t>
      </w:r>
    </w:p>
    <w:p w14:paraId="696A963B" w14:textId="5113ABD6" w:rsidR="00BE421F" w:rsidRPr="00BE421F" w:rsidRDefault="00BE421F" w:rsidP="00446902">
      <w:pPr>
        <w:pStyle w:val="ListParagraph"/>
        <w:numPr>
          <w:ilvl w:val="1"/>
          <w:numId w:val="15"/>
        </w:num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>Number of HARQ processes [RAN1]</w:t>
      </w:r>
    </w:p>
    <w:p w14:paraId="7AB41CA3" w14:textId="495C8BFD" w:rsidR="00BE421F" w:rsidRPr="00BE421F" w:rsidRDefault="00BE421F" w:rsidP="00446902">
      <w:pPr>
        <w:pStyle w:val="ListParagraph"/>
        <w:numPr>
          <w:ilvl w:val="1"/>
          <w:numId w:val="15"/>
        </w:numPr>
        <w:jc w:val="both"/>
        <w:rPr>
          <w:szCs w:val="22"/>
          <w:lang w:val="en-US"/>
        </w:rPr>
      </w:pPr>
      <w:r w:rsidRPr="00BE421F">
        <w:rPr>
          <w:szCs w:val="22"/>
          <w:lang w:val="en-US"/>
        </w:rPr>
        <w:t>Enabling / disabling of HARQ feedback as described in TR 38.821 [RAN1 / 2]</w:t>
      </w:r>
    </w:p>
    <w:p w14:paraId="6C6E0B6C" w14:textId="0267B343" w:rsidR="00BB4E0B" w:rsidRDefault="00BB4E0B" w:rsidP="00BB4E0B">
      <w:pPr>
        <w:spacing w:after="0"/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>RAN1#97</w:t>
      </w:r>
      <w:r w:rsidR="00740EEE" w:rsidRPr="00813080">
        <w:rPr>
          <w:b/>
          <w:bCs/>
          <w:szCs w:val="22"/>
          <w:lang w:val="en-US"/>
        </w:rPr>
        <w:t xml:space="preserve"> </w:t>
      </w:r>
      <w:r w:rsidR="00813080">
        <w:rPr>
          <w:b/>
          <w:bCs/>
          <w:szCs w:val="22"/>
          <w:lang w:val="en-US"/>
        </w:rPr>
        <w:t>HARQ Agreements</w:t>
      </w:r>
    </w:p>
    <w:p w14:paraId="5F54CE7B" w14:textId="77777777" w:rsidR="002F3364" w:rsidRPr="00813080" w:rsidRDefault="002F3364" w:rsidP="00BB4E0B">
      <w:pPr>
        <w:spacing w:after="0"/>
        <w:jc w:val="both"/>
        <w:rPr>
          <w:b/>
          <w:bCs/>
          <w:szCs w:val="22"/>
          <w:lang w:val="en-US" w:eastAsia="zh-CN"/>
        </w:rPr>
      </w:pPr>
    </w:p>
    <w:p w14:paraId="209F95E7" w14:textId="50AC7094" w:rsidR="00077F70" w:rsidRDefault="002F3364" w:rsidP="003961EC">
      <w:pPr>
        <w:jc w:val="both"/>
        <w:rPr>
          <w:szCs w:val="22"/>
          <w:highlight w:val="green"/>
          <w:lang w:val="en-US"/>
        </w:rPr>
      </w:pPr>
      <w:r w:rsidRPr="002F3364">
        <w:rPr>
          <w:szCs w:val="22"/>
          <w:lang w:val="en-US"/>
        </w:rPr>
        <w:t>7.2.5.4</w:t>
      </w:r>
      <w:r w:rsidRPr="002F3364">
        <w:rPr>
          <w:szCs w:val="22"/>
          <w:lang w:val="en-US"/>
        </w:rPr>
        <w:tab/>
        <w:t>More delay-tolerant re-transmission mechanisms</w:t>
      </w:r>
    </w:p>
    <w:p w14:paraId="54B92346" w14:textId="77777777" w:rsidR="00BB4E0B" w:rsidRPr="00834B63" w:rsidRDefault="00BB4E0B" w:rsidP="00446902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834B63">
        <w:rPr>
          <w:szCs w:val="22"/>
        </w:rPr>
        <w:t xml:space="preserve">Network disabling of HARQ via RRC configuration should be supported. </w:t>
      </w:r>
    </w:p>
    <w:p w14:paraId="5D8B1AB5" w14:textId="77777777" w:rsidR="00BB4E0B" w:rsidRPr="002057BF" w:rsidRDefault="00BB4E0B" w:rsidP="0044690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2057BF">
        <w:rPr>
          <w:szCs w:val="22"/>
        </w:rPr>
        <w:t xml:space="preserve">FFS: Dynamic disabling of HARQ by </w:t>
      </w:r>
      <w:proofErr w:type="spellStart"/>
      <w:r w:rsidRPr="002057BF">
        <w:rPr>
          <w:szCs w:val="22"/>
        </w:rPr>
        <w:t>gNB</w:t>
      </w:r>
      <w:proofErr w:type="spellEnd"/>
      <w:r w:rsidRPr="002057BF">
        <w:rPr>
          <w:szCs w:val="22"/>
        </w:rPr>
        <w:t>.</w:t>
      </w:r>
    </w:p>
    <w:p w14:paraId="3C8C6945" w14:textId="77777777" w:rsidR="00BB4E0B" w:rsidRPr="00834B63" w:rsidRDefault="00BB4E0B" w:rsidP="00446902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834B63">
        <w:rPr>
          <w:szCs w:val="22"/>
        </w:rPr>
        <w:t>Evaluate impact of Satellite RTT when HARQ is enabled and potential solutions if needed</w:t>
      </w:r>
    </w:p>
    <w:p w14:paraId="71AF5BE6" w14:textId="77777777" w:rsidR="00BB4E0B" w:rsidRPr="00834B63" w:rsidRDefault="00BB4E0B" w:rsidP="00446902">
      <w:pPr>
        <w:numPr>
          <w:ilvl w:val="1"/>
          <w:numId w:val="3"/>
        </w:numPr>
        <w:overflowPunct/>
        <w:autoSpaceDE/>
        <w:autoSpaceDN/>
        <w:adjustRightInd/>
        <w:spacing w:after="0"/>
        <w:textAlignment w:val="auto"/>
        <w:rPr>
          <w:szCs w:val="22"/>
        </w:rPr>
      </w:pPr>
      <w:r w:rsidRPr="00834B63">
        <w:rPr>
          <w:szCs w:val="22"/>
        </w:rPr>
        <w:t>At least the following aspects should be considered if the number of HARQ processes is &gt; 16:</w:t>
      </w:r>
    </w:p>
    <w:p w14:paraId="6F656C9B" w14:textId="77777777" w:rsidR="00BB4E0B" w:rsidRPr="00834B63" w:rsidRDefault="00BB4E0B" w:rsidP="00446902">
      <w:pPr>
        <w:numPr>
          <w:ilvl w:val="1"/>
          <w:numId w:val="4"/>
        </w:numPr>
        <w:overflowPunct/>
        <w:autoSpaceDE/>
        <w:autoSpaceDN/>
        <w:adjustRightInd/>
        <w:spacing w:after="0"/>
        <w:ind w:left="1134" w:hanging="283"/>
        <w:textAlignment w:val="auto"/>
        <w:rPr>
          <w:szCs w:val="22"/>
        </w:rPr>
      </w:pPr>
      <w:r w:rsidRPr="00834B63">
        <w:rPr>
          <w:szCs w:val="22"/>
        </w:rPr>
        <w:t>DCI size</w:t>
      </w:r>
    </w:p>
    <w:p w14:paraId="21045F6F" w14:textId="1E2BF297" w:rsidR="00BB4E0B" w:rsidRDefault="00BB4E0B" w:rsidP="00446902">
      <w:pPr>
        <w:numPr>
          <w:ilvl w:val="1"/>
          <w:numId w:val="4"/>
        </w:numPr>
        <w:overflowPunct/>
        <w:autoSpaceDE/>
        <w:autoSpaceDN/>
        <w:adjustRightInd/>
        <w:ind w:left="1135" w:hanging="284"/>
        <w:textAlignment w:val="auto"/>
        <w:rPr>
          <w:szCs w:val="22"/>
        </w:rPr>
      </w:pPr>
      <w:r w:rsidRPr="00834B63">
        <w:rPr>
          <w:szCs w:val="22"/>
        </w:rPr>
        <w:t>HARQ soft buffer size</w:t>
      </w:r>
    </w:p>
    <w:p w14:paraId="2E408286" w14:textId="77777777" w:rsidR="003961EC" w:rsidRDefault="003961EC" w:rsidP="00BB4E0B">
      <w:pPr>
        <w:overflowPunct/>
        <w:autoSpaceDE/>
        <w:autoSpaceDN/>
        <w:adjustRightInd/>
        <w:textAlignment w:val="auto"/>
        <w:rPr>
          <w:szCs w:val="22"/>
          <w:highlight w:val="yellow"/>
          <w:lang w:val="en-US"/>
        </w:rPr>
      </w:pPr>
    </w:p>
    <w:p w14:paraId="312AD3B4" w14:textId="50D2F20E" w:rsidR="00813080" w:rsidRDefault="00813080" w:rsidP="00813080">
      <w:pPr>
        <w:rPr>
          <w:rFonts w:eastAsia="Batang"/>
          <w:b/>
          <w:bCs/>
        </w:rPr>
      </w:pPr>
      <w:r>
        <w:rPr>
          <w:b/>
          <w:bCs/>
        </w:rPr>
        <w:t>RAN#104</w:t>
      </w:r>
      <w:r w:rsidR="00915801">
        <w:rPr>
          <w:b/>
          <w:bCs/>
        </w:rPr>
        <w:t>-</w:t>
      </w:r>
      <w:r>
        <w:rPr>
          <w:b/>
          <w:bCs/>
        </w:rPr>
        <w:t>e HARQ Agreements</w:t>
      </w:r>
    </w:p>
    <w:p w14:paraId="67834E8C" w14:textId="77777777" w:rsidR="00813080" w:rsidRPr="002057BF" w:rsidRDefault="00813080" w:rsidP="00446902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2057BF">
        <w:rPr>
          <w:lang w:eastAsia="x-none"/>
        </w:rPr>
        <w:t>For NTN, further study potential benefits and/or drawbacks of disabling HARQ feedback for NB-IoT.</w:t>
      </w:r>
    </w:p>
    <w:p w14:paraId="3369368A" w14:textId="77777777" w:rsidR="00813080" w:rsidRPr="002057BF" w:rsidRDefault="00813080" w:rsidP="00446902">
      <w:pPr>
        <w:numPr>
          <w:ilvl w:val="0"/>
          <w:numId w:val="11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 w:rsidRPr="002057BF">
        <w:rPr>
          <w:lang w:eastAsia="x-none"/>
        </w:rPr>
        <w:t xml:space="preserve">For NTN, further study potential benefits and/or drawbacks of disabling HARQ feedback for </w:t>
      </w:r>
      <w:proofErr w:type="spellStart"/>
      <w:r w:rsidRPr="002057BF">
        <w:rPr>
          <w:lang w:eastAsia="x-none"/>
        </w:rPr>
        <w:t>eMTC</w:t>
      </w:r>
      <w:proofErr w:type="spellEnd"/>
      <w:r w:rsidRPr="002057BF">
        <w:rPr>
          <w:lang w:eastAsia="x-none"/>
        </w:rPr>
        <w:t>.</w:t>
      </w:r>
    </w:p>
    <w:p w14:paraId="0C06C48E" w14:textId="77777777" w:rsidR="00813080" w:rsidRDefault="00813080" w:rsidP="00813080">
      <w:pPr>
        <w:rPr>
          <w:highlight w:val="magenta"/>
          <w:lang w:eastAsia="zh-CN"/>
        </w:rPr>
      </w:pPr>
    </w:p>
    <w:p w14:paraId="2E346468" w14:textId="25468368" w:rsidR="00813080" w:rsidRDefault="00813080" w:rsidP="002057BF">
      <w:pPr>
        <w:pStyle w:val="ListParagraph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Further study to identify whether HARQ stalling happens at least in the GEO satellite scenario.</w:t>
      </w:r>
    </w:p>
    <w:p w14:paraId="1D2BE102" w14:textId="77777777" w:rsidR="00077F70" w:rsidRDefault="00077F70" w:rsidP="00813080">
      <w:pPr>
        <w:rPr>
          <w:lang w:eastAsia="zh-CN"/>
        </w:rPr>
      </w:pPr>
    </w:p>
    <w:p w14:paraId="23F9AEF8" w14:textId="77777777" w:rsidR="00813080" w:rsidRDefault="00813080" w:rsidP="00446902">
      <w:pPr>
        <w:numPr>
          <w:ilvl w:val="0"/>
          <w:numId w:val="13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Further discuss the potential benefits and/or drawbacks of disabling HARQ feedback for NB-IoT and </w:t>
      </w: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, and consider at least the following number of HARQ processes for the analysis</w:t>
      </w:r>
    </w:p>
    <w:p w14:paraId="3CBA2E3F" w14:textId="77777777" w:rsidR="00813080" w:rsidRDefault="00813080" w:rsidP="00446902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 xml:space="preserve">NB-IoT: </w:t>
      </w:r>
    </w:p>
    <w:p w14:paraId="4D8CEBAC" w14:textId="77777777" w:rsidR="00813080" w:rsidRDefault="00813080" w:rsidP="00446902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Total: 2, disabled: {1,2}</w:t>
      </w:r>
    </w:p>
    <w:p w14:paraId="3239F595" w14:textId="77777777" w:rsidR="00813080" w:rsidRDefault="00813080" w:rsidP="00446902">
      <w:pPr>
        <w:numPr>
          <w:ilvl w:val="1"/>
          <w:numId w:val="13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proofErr w:type="spellStart"/>
      <w:r>
        <w:rPr>
          <w:lang w:eastAsia="zh-CN"/>
        </w:rPr>
        <w:t>eMTC</w:t>
      </w:r>
      <w:proofErr w:type="spellEnd"/>
      <w:r>
        <w:rPr>
          <w:lang w:eastAsia="zh-CN"/>
        </w:rPr>
        <w:t>:</w:t>
      </w:r>
    </w:p>
    <w:p w14:paraId="748F35A2" w14:textId="77777777" w:rsidR="00813080" w:rsidRDefault="00813080" w:rsidP="00446902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Total: 2, disabled: {1,2}</w:t>
      </w:r>
    </w:p>
    <w:p w14:paraId="35098642" w14:textId="77777777" w:rsidR="00813080" w:rsidRDefault="00813080" w:rsidP="00446902">
      <w:pPr>
        <w:numPr>
          <w:ilvl w:val="2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lastRenderedPageBreak/>
        <w:t>Total: 8, disabled: {1,2,7,8}</w:t>
      </w:r>
    </w:p>
    <w:p w14:paraId="497055F0" w14:textId="77777777" w:rsidR="00813080" w:rsidRDefault="00813080" w:rsidP="00446902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Other values for number of HARQ processes below the maximum value can be discussed</w:t>
      </w:r>
    </w:p>
    <w:p w14:paraId="759DA85C" w14:textId="77777777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consider separately LEO and GEO scenarios</w:t>
      </w:r>
    </w:p>
    <w:p w14:paraId="3C50B8E6" w14:textId="77777777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allow disabling of HARQ feedback in case of single HARQ process</w:t>
      </w:r>
    </w:p>
    <w:p w14:paraId="7FD2238C" w14:textId="77777777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FFS: whether to allow disabling of all HARQ feedback</w:t>
      </w:r>
    </w:p>
    <w:p w14:paraId="3BAAA374" w14:textId="479CEF35" w:rsidR="00813080" w:rsidRDefault="00813080" w:rsidP="002057BF">
      <w:pPr>
        <w:numPr>
          <w:ilvl w:val="1"/>
          <w:numId w:val="12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FFS: other details for the evaluation/analysis</w:t>
      </w:r>
    </w:p>
    <w:p w14:paraId="2A78FAD4" w14:textId="77777777" w:rsidR="00915801" w:rsidRDefault="00915801" w:rsidP="00915801">
      <w:pPr>
        <w:overflowPunct/>
        <w:autoSpaceDE/>
        <w:autoSpaceDN/>
        <w:adjustRightInd/>
        <w:spacing w:after="0"/>
        <w:textAlignment w:val="auto"/>
      </w:pPr>
    </w:p>
    <w:p w14:paraId="72E34625" w14:textId="77777777" w:rsidR="00E1663B" w:rsidRPr="00184F10" w:rsidRDefault="00E1663B" w:rsidP="00E1663B">
      <w:pPr>
        <w:overflowPunct/>
        <w:autoSpaceDE/>
        <w:autoSpaceDN/>
        <w:adjustRightInd/>
        <w:spacing w:after="0"/>
        <w:textAlignment w:val="auto"/>
        <w:rPr>
          <w:b/>
          <w:bCs/>
        </w:rPr>
      </w:pPr>
      <w:r w:rsidRPr="00184F10">
        <w:rPr>
          <w:b/>
          <w:bCs/>
        </w:rPr>
        <w:t>RAN2#107 Agreement</w:t>
      </w:r>
    </w:p>
    <w:p w14:paraId="1406F48D" w14:textId="77777777" w:rsidR="00E1663B" w:rsidRPr="002057BF" w:rsidRDefault="00E1663B" w:rsidP="00E1663B">
      <w:pPr>
        <w:pStyle w:val="ListParagraph"/>
        <w:numPr>
          <w:ilvl w:val="1"/>
          <w:numId w:val="3"/>
        </w:numPr>
        <w:jc w:val="both"/>
        <w:rPr>
          <w:szCs w:val="22"/>
          <w:lang w:val="en-US"/>
        </w:rPr>
      </w:pPr>
      <w:r w:rsidRPr="002057BF">
        <w:rPr>
          <w:szCs w:val="22"/>
          <w:lang w:val="en-US"/>
        </w:rPr>
        <w:t>It should be possible to semi-statically enable/disable HARQ feedback by RRC signaling</w:t>
      </w:r>
    </w:p>
    <w:p w14:paraId="69E0897B" w14:textId="77777777" w:rsidR="00E1663B" w:rsidRDefault="00E1663B" w:rsidP="00E1663B">
      <w:pPr>
        <w:pStyle w:val="ListParagraph"/>
        <w:numPr>
          <w:ilvl w:val="1"/>
          <w:numId w:val="3"/>
        </w:numPr>
        <w:spacing w:after="0"/>
        <w:rPr>
          <w:szCs w:val="22"/>
        </w:rPr>
      </w:pPr>
      <w:r w:rsidRPr="00382F06">
        <w:rPr>
          <w:szCs w:val="22"/>
        </w:rPr>
        <w:t>The enabling / disabling of HARQ feedback should be configurable on a per UE and per HARQ process basis</w:t>
      </w:r>
      <w:r>
        <w:rPr>
          <w:szCs w:val="22"/>
        </w:rPr>
        <w:t xml:space="preserve"> via RRC signalling</w:t>
      </w:r>
    </w:p>
    <w:p w14:paraId="44215A4C" w14:textId="7C6628E1" w:rsidR="002057BF" w:rsidRDefault="002057BF" w:rsidP="002057BF">
      <w:pPr>
        <w:overflowPunct/>
        <w:autoSpaceDE/>
        <w:autoSpaceDN/>
        <w:adjustRightInd/>
        <w:spacing w:after="0"/>
        <w:ind w:left="720"/>
        <w:textAlignment w:val="auto"/>
        <w:rPr>
          <w:lang w:eastAsia="zh-CN"/>
        </w:rPr>
      </w:pPr>
    </w:p>
    <w:p w14:paraId="1905B1D0" w14:textId="1C1D96E7" w:rsidR="002057BF" w:rsidRPr="002057BF" w:rsidRDefault="00E1663B" w:rsidP="002057BF">
      <w:pPr>
        <w:overflowPunct/>
        <w:autoSpaceDE/>
        <w:autoSpaceDN/>
        <w:adjustRightInd/>
        <w:textAlignment w:val="auto"/>
        <w:rPr>
          <w:b/>
          <w:bCs/>
          <w:szCs w:val="22"/>
        </w:rPr>
      </w:pPr>
      <w:r>
        <w:rPr>
          <w:b/>
          <w:bCs/>
          <w:szCs w:val="22"/>
        </w:rPr>
        <w:t>RAN1#98 Conclusion</w:t>
      </w:r>
      <w:r w:rsidR="002057BF" w:rsidRPr="002057BF">
        <w:rPr>
          <w:b/>
          <w:bCs/>
          <w:szCs w:val="22"/>
        </w:rPr>
        <w:t xml:space="preserve"> </w:t>
      </w:r>
    </w:p>
    <w:p w14:paraId="0A8342AC" w14:textId="4AE1BE91" w:rsidR="002057BF" w:rsidRDefault="002057BF" w:rsidP="002057BF">
      <w:pPr>
        <w:pStyle w:val="ListParagraph"/>
        <w:numPr>
          <w:ilvl w:val="0"/>
          <w:numId w:val="3"/>
        </w:numPr>
        <w:spacing w:after="0"/>
        <w:rPr>
          <w:szCs w:val="22"/>
        </w:rPr>
      </w:pPr>
      <w:r w:rsidRPr="00382F06">
        <w:rPr>
          <w:szCs w:val="22"/>
        </w:rPr>
        <w:t xml:space="preserve">RAN1 does not need to further discuss dynamic disabling of HARQ by </w:t>
      </w:r>
      <w:proofErr w:type="spellStart"/>
      <w:r w:rsidRPr="00382F06">
        <w:rPr>
          <w:szCs w:val="22"/>
        </w:rPr>
        <w:t>gNB</w:t>
      </w:r>
      <w:proofErr w:type="spellEnd"/>
      <w:r w:rsidRPr="00382F06">
        <w:rPr>
          <w:szCs w:val="22"/>
        </w:rPr>
        <w:t xml:space="preserve"> following the RAN2#107 decision </w:t>
      </w:r>
      <w:r w:rsidR="00915801">
        <w:rPr>
          <w:szCs w:val="22"/>
        </w:rPr>
        <w:t>above.</w:t>
      </w:r>
    </w:p>
    <w:p w14:paraId="51588B27" w14:textId="290180E4" w:rsidR="009335F2" w:rsidRPr="00382F06" w:rsidRDefault="009335F2" w:rsidP="009335F2">
      <w:pPr>
        <w:pStyle w:val="ListParagraph"/>
        <w:numPr>
          <w:ilvl w:val="1"/>
          <w:numId w:val="3"/>
        </w:numPr>
        <w:spacing w:after="0"/>
        <w:rPr>
          <w:szCs w:val="22"/>
        </w:rPr>
      </w:pPr>
      <w:r>
        <w:rPr>
          <w:szCs w:val="22"/>
        </w:rPr>
        <w:t>The enabling / disabling of HARQ feedback should be configurable on a per HARQ process basis</w:t>
      </w:r>
    </w:p>
    <w:p w14:paraId="12DC6DB5" w14:textId="77777777" w:rsidR="002057BF" w:rsidRPr="00382F06" w:rsidRDefault="002057BF" w:rsidP="002057BF">
      <w:pPr>
        <w:pStyle w:val="ListParagraph"/>
        <w:spacing w:after="0"/>
        <w:ind w:left="840"/>
        <w:rPr>
          <w:szCs w:val="22"/>
        </w:rPr>
      </w:pPr>
    </w:p>
    <w:p w14:paraId="7BAC9669" w14:textId="06458688" w:rsidR="002E5905" w:rsidRPr="003961EC" w:rsidRDefault="002E5905" w:rsidP="002E5905">
      <w:pPr>
        <w:spacing w:after="0"/>
        <w:jc w:val="both"/>
        <w:rPr>
          <w:szCs w:val="22"/>
          <w:lang w:val="en-US"/>
        </w:rPr>
      </w:pPr>
      <w:r w:rsidRPr="003961EC">
        <w:rPr>
          <w:szCs w:val="22"/>
          <w:lang w:val="en-US" w:eastAsia="zh-CN"/>
        </w:rPr>
        <w:t xml:space="preserve">For the </w:t>
      </w:r>
      <w:r w:rsidRPr="003961EC">
        <w:rPr>
          <w:szCs w:val="22"/>
          <w:lang w:val="en-US"/>
        </w:rPr>
        <w:t xml:space="preserve">RAN1#98 meeting the following </w:t>
      </w:r>
      <w:r>
        <w:rPr>
          <w:szCs w:val="22"/>
          <w:lang w:val="en-US"/>
        </w:rPr>
        <w:t xml:space="preserve">the </w:t>
      </w:r>
      <w:r w:rsidRPr="003961EC">
        <w:rPr>
          <w:szCs w:val="22"/>
          <w:lang w:val="en-US"/>
        </w:rPr>
        <w:t xml:space="preserve">observation </w:t>
      </w:r>
      <w:r>
        <w:rPr>
          <w:szCs w:val="22"/>
          <w:lang w:val="en-US"/>
        </w:rPr>
        <w:t>in RAN2#107</w:t>
      </w:r>
      <w:r w:rsidRPr="003961EC">
        <w:rPr>
          <w:szCs w:val="22"/>
          <w:lang w:val="en-US"/>
        </w:rPr>
        <w:t xml:space="preserve"> on dynamic HARQ disabling</w:t>
      </w:r>
      <w:r>
        <w:rPr>
          <w:szCs w:val="22"/>
          <w:lang w:val="en-US"/>
        </w:rPr>
        <w:t xml:space="preserve">, it was decided that RAN 1 does not need to further discuss dynamic disabling of HARQ (… for Rel17 …). </w:t>
      </w:r>
    </w:p>
    <w:p w14:paraId="021B4D38" w14:textId="77777777" w:rsidR="00BB4E0B" w:rsidRPr="00BB4E0B" w:rsidRDefault="00BB4E0B" w:rsidP="00BD6860">
      <w:pPr>
        <w:jc w:val="both"/>
        <w:rPr>
          <w:szCs w:val="22"/>
        </w:rPr>
      </w:pPr>
    </w:p>
    <w:p w14:paraId="405F08E7" w14:textId="413E1926" w:rsidR="008F1B07" w:rsidRPr="00813080" w:rsidRDefault="00BB4E0B" w:rsidP="00BD6860">
      <w:pPr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>RAN1#105</w:t>
      </w:r>
      <w:r w:rsidR="00740EEE" w:rsidRPr="00813080">
        <w:rPr>
          <w:b/>
          <w:bCs/>
          <w:szCs w:val="22"/>
          <w:lang w:val="en-US"/>
        </w:rPr>
        <w:t>-</w:t>
      </w:r>
      <w:r w:rsidRPr="00813080">
        <w:rPr>
          <w:b/>
          <w:bCs/>
          <w:szCs w:val="22"/>
          <w:lang w:val="en-US"/>
        </w:rPr>
        <w:t xml:space="preserve">e </w:t>
      </w:r>
      <w:r w:rsidR="00813080">
        <w:rPr>
          <w:b/>
          <w:bCs/>
          <w:szCs w:val="22"/>
          <w:lang w:val="en-US"/>
        </w:rPr>
        <w:t xml:space="preserve">HARQ </w:t>
      </w:r>
      <w:r w:rsidR="00327F8F">
        <w:rPr>
          <w:b/>
          <w:bCs/>
          <w:szCs w:val="22"/>
          <w:lang w:val="en-US"/>
        </w:rPr>
        <w:t xml:space="preserve">Feedback </w:t>
      </w:r>
      <w:r w:rsidR="00813080">
        <w:rPr>
          <w:b/>
          <w:bCs/>
          <w:szCs w:val="22"/>
          <w:lang w:val="en-US"/>
        </w:rPr>
        <w:t>Agreement</w:t>
      </w:r>
    </w:p>
    <w:p w14:paraId="41A59667" w14:textId="6F682FBC" w:rsidR="00BB4E0B" w:rsidRDefault="00BB4E0B" w:rsidP="002057BF">
      <w:pPr>
        <w:pStyle w:val="ListParagraph"/>
        <w:numPr>
          <w:ilvl w:val="0"/>
          <w:numId w:val="3"/>
        </w:numPr>
        <w:rPr>
          <w:lang w:eastAsia="x-none"/>
        </w:rPr>
      </w:pPr>
      <w:r w:rsidRPr="009B3C1A">
        <w:rPr>
          <w:lang w:eastAsia="x-none"/>
        </w:rPr>
        <w:t xml:space="preserve">Confirm </w:t>
      </w:r>
      <w:r>
        <w:rPr>
          <w:lang w:eastAsia="x-none"/>
        </w:rPr>
        <w:t>the previous working assumption</w:t>
      </w:r>
      <w:r w:rsidRPr="009B3C1A">
        <w:rPr>
          <w:lang w:eastAsia="x-none"/>
        </w:rPr>
        <w:t xml:space="preserve"> </w:t>
      </w:r>
      <w:r>
        <w:rPr>
          <w:lang w:eastAsia="x-none"/>
        </w:rPr>
        <w:t>for</w:t>
      </w:r>
      <w:r w:rsidRPr="009B3C1A">
        <w:rPr>
          <w:lang w:eastAsia="x-none"/>
        </w:rPr>
        <w:t xml:space="preserve">  X = T_proc,1 where X is defined from the end of the reception of the last PDSCH or slot-aggregated PDSCH for a given HARQ process with disabled feedback to the start of the</w:t>
      </w:r>
      <w:r>
        <w:rPr>
          <w:lang w:eastAsia="x-none"/>
        </w:rPr>
        <w:t xml:space="preserve"> PDCCH carrying the</w:t>
      </w:r>
      <w:r w:rsidRPr="009B3C1A">
        <w:rPr>
          <w:lang w:eastAsia="x-none"/>
        </w:rPr>
        <w:t xml:space="preserve"> DCI scheduling another PDSCH or set of slot-aggregated PDSCH for the given HARQ process.</w:t>
      </w:r>
    </w:p>
    <w:p w14:paraId="0AFC4426" w14:textId="33ED4108" w:rsidR="00327F8F" w:rsidRDefault="00327F8F" w:rsidP="00327F8F">
      <w:pPr>
        <w:rPr>
          <w:b/>
          <w:bCs/>
          <w:lang w:eastAsia="x-none"/>
        </w:rPr>
      </w:pPr>
      <w:r w:rsidRPr="00353CA3">
        <w:rPr>
          <w:b/>
          <w:bCs/>
          <w:lang w:eastAsia="x-none"/>
        </w:rPr>
        <w:t>RAN1#105-e HARQ Feedback</w:t>
      </w:r>
    </w:p>
    <w:p w14:paraId="2FE49FB5" w14:textId="69535BC7" w:rsidR="00327F8F" w:rsidRPr="00327F8F" w:rsidRDefault="00327F8F">
      <w:pPr>
        <w:pStyle w:val="ListParagraph"/>
        <w:numPr>
          <w:ilvl w:val="0"/>
          <w:numId w:val="3"/>
        </w:numPr>
        <w:rPr>
          <w:lang w:eastAsia="x-none"/>
        </w:rPr>
      </w:pPr>
      <w:r w:rsidRPr="00353CA3">
        <w:rPr>
          <w:lang w:eastAsia="x-none"/>
        </w:rPr>
        <w:t>It may be note</w:t>
      </w:r>
      <w:r w:rsidR="00A651FD">
        <w:rPr>
          <w:lang w:eastAsia="x-none"/>
        </w:rPr>
        <w:t>d</w:t>
      </w:r>
      <w:r w:rsidRPr="00353CA3">
        <w:rPr>
          <w:lang w:eastAsia="x-none"/>
        </w:rPr>
        <w:t xml:space="preserve"> that in RAN1#105-e there was no consensus on disabling HARQ feedback for </w:t>
      </w:r>
      <w:r w:rsidR="003C1DFE">
        <w:rPr>
          <w:lang w:eastAsia="x-none"/>
        </w:rPr>
        <w:t>IoT NTN</w:t>
      </w:r>
      <w:r w:rsidRPr="00353CA3">
        <w:rPr>
          <w:lang w:eastAsia="x-none"/>
        </w:rPr>
        <w:t xml:space="preserve"> in Rel-17. </w:t>
      </w:r>
    </w:p>
    <w:p w14:paraId="46B753E8" w14:textId="642540F2" w:rsidR="00740EEE" w:rsidRPr="00813080" w:rsidRDefault="00740EEE" w:rsidP="00740EEE">
      <w:pPr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 xml:space="preserve">RAN1#106-e </w:t>
      </w:r>
      <w:r w:rsidR="00813080">
        <w:rPr>
          <w:b/>
          <w:bCs/>
          <w:szCs w:val="22"/>
          <w:lang w:val="en-US"/>
        </w:rPr>
        <w:t>HARQ Agreements</w:t>
      </w:r>
    </w:p>
    <w:p w14:paraId="4D71420E" w14:textId="77777777" w:rsidR="00740EEE" w:rsidRDefault="00740EEE" w:rsidP="00446902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bCs/>
          <w:lang w:val="en-US" w:eastAsia="x-none"/>
        </w:rPr>
      </w:pPr>
      <w:r>
        <w:rPr>
          <w:bCs/>
          <w:lang w:val="en-US" w:eastAsia="x-none"/>
        </w:rPr>
        <w:t>For Type-1 HARQ codebook,</w:t>
      </w:r>
      <w:r w:rsidRPr="00B666B7">
        <w:rPr>
          <w:lang w:eastAsia="x-none"/>
        </w:rPr>
        <w:t xml:space="preserve"> </w:t>
      </w:r>
      <w:r>
        <w:rPr>
          <w:lang w:eastAsia="x-none"/>
        </w:rPr>
        <w:t>i</w:t>
      </w:r>
      <w:r w:rsidRPr="00B666B7">
        <w:rPr>
          <w:lang w:eastAsia="x-none"/>
        </w:rPr>
        <w:t xml:space="preserve">f </w:t>
      </w:r>
      <w:r w:rsidRPr="00B666B7">
        <w:rPr>
          <w:lang w:val="en-US" w:eastAsia="x-none"/>
        </w:rPr>
        <w:t>DCI</w:t>
      </w:r>
      <w:r w:rsidRPr="00B666B7">
        <w:rPr>
          <w:lang w:eastAsia="x-none"/>
        </w:rPr>
        <w:t>s</w:t>
      </w:r>
      <w:r w:rsidRPr="00B666B7">
        <w:rPr>
          <w:lang w:val="en-US" w:eastAsia="x-none"/>
        </w:rPr>
        <w:t xml:space="preserve"> </w:t>
      </w:r>
      <w:r w:rsidRPr="00B666B7">
        <w:rPr>
          <w:lang w:eastAsia="x-none"/>
        </w:rPr>
        <w:t xml:space="preserve">carrying the </w:t>
      </w:r>
      <w:r w:rsidRPr="00B666B7">
        <w:rPr>
          <w:lang w:val="en-US" w:eastAsia="x-none"/>
        </w:rPr>
        <w:t xml:space="preserve">feedback-disabled </w:t>
      </w:r>
      <w:r w:rsidRPr="00B666B7">
        <w:rPr>
          <w:lang w:eastAsia="x-none"/>
        </w:rPr>
        <w:t xml:space="preserve">and feedback-enabled </w:t>
      </w:r>
      <w:r w:rsidRPr="00B666B7">
        <w:rPr>
          <w:lang w:val="en-US" w:eastAsia="x-none"/>
        </w:rPr>
        <w:t>HARQ processes are detected by UE, one of following option</w:t>
      </w:r>
      <w:r w:rsidRPr="00B666B7">
        <w:rPr>
          <w:bCs/>
          <w:lang w:val="en-US" w:eastAsia="x-none"/>
        </w:rPr>
        <w:t>s should be support</w:t>
      </w:r>
      <w:r>
        <w:rPr>
          <w:bCs/>
          <w:lang w:val="en-US" w:eastAsia="x-none"/>
        </w:rPr>
        <w:t>ed</w:t>
      </w:r>
      <w:r w:rsidRPr="00B666B7">
        <w:rPr>
          <w:bCs/>
          <w:lang w:val="en-US" w:eastAsia="x-none"/>
        </w:rPr>
        <w:t>:</w:t>
      </w:r>
    </w:p>
    <w:p w14:paraId="0CFFFE50" w14:textId="77777777" w:rsidR="00740EEE" w:rsidRPr="00B666B7" w:rsidRDefault="00740EEE" w:rsidP="00446902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bCs/>
          <w:lang w:val="en-US" w:eastAsia="x-none"/>
        </w:rPr>
      </w:pPr>
      <w:r w:rsidRPr="00B666B7">
        <w:rPr>
          <w:bCs/>
          <w:lang w:val="en-US" w:eastAsia="x-none"/>
        </w:rPr>
        <w:t>Option-1: The UE will r</w:t>
      </w:r>
      <w:r w:rsidRPr="00B666B7">
        <w:rPr>
          <w:lang w:val="en-US" w:eastAsia="x-none"/>
        </w:rPr>
        <w:t>eport NACK only for the feedback-disabled HARQ process regardless of decoding results of corresponding PDSCH</w:t>
      </w:r>
    </w:p>
    <w:p w14:paraId="53CBF3C4" w14:textId="77777777" w:rsidR="00740EEE" w:rsidRPr="00B666B7" w:rsidRDefault="00740EEE" w:rsidP="00446902">
      <w:pPr>
        <w:numPr>
          <w:ilvl w:val="1"/>
          <w:numId w:val="6"/>
        </w:numPr>
        <w:overflowPunct/>
        <w:autoSpaceDE/>
        <w:autoSpaceDN/>
        <w:adjustRightInd/>
        <w:spacing w:after="0"/>
        <w:textAlignment w:val="auto"/>
        <w:rPr>
          <w:bCs/>
          <w:lang w:val="en-US" w:eastAsia="x-none"/>
        </w:rPr>
      </w:pPr>
      <w:r w:rsidRPr="00B666B7">
        <w:rPr>
          <w:bCs/>
          <w:lang w:val="en-US" w:eastAsia="x-none"/>
        </w:rPr>
        <w:t>Option-2: The UE will report NACK/ACK for the feedback-disabled HARQ process depending on the decoding results of corresponding PDSCH</w:t>
      </w:r>
    </w:p>
    <w:p w14:paraId="52538297" w14:textId="77777777" w:rsidR="00740EEE" w:rsidRPr="00B666B7" w:rsidRDefault="00740EEE" w:rsidP="00446902">
      <w:pPr>
        <w:numPr>
          <w:ilvl w:val="0"/>
          <w:numId w:val="6"/>
        </w:numPr>
        <w:overflowPunct/>
        <w:autoSpaceDE/>
        <w:autoSpaceDN/>
        <w:adjustRightInd/>
        <w:spacing w:after="0"/>
        <w:textAlignment w:val="auto"/>
        <w:rPr>
          <w:lang w:val="en-US" w:eastAsia="x-none"/>
        </w:rPr>
      </w:pPr>
      <w:r w:rsidRPr="00B666B7">
        <w:rPr>
          <w:lang w:val="en-US" w:eastAsia="x-none"/>
        </w:rPr>
        <w:t>FFS</w:t>
      </w:r>
      <w:r w:rsidRPr="00B666B7">
        <w:rPr>
          <w:rFonts w:hint="eastAsia"/>
          <w:lang w:val="en-US" w:eastAsia="x-none"/>
        </w:rPr>
        <w:t>:</w:t>
      </w:r>
      <w:r w:rsidRPr="00B666B7">
        <w:rPr>
          <w:lang w:val="en-US" w:eastAsia="x-none"/>
        </w:rPr>
        <w:t xml:space="preserve"> Other cases, e.g., if only DCI carrying feedback-disabled HARQ process is detected by UE</w:t>
      </w:r>
    </w:p>
    <w:p w14:paraId="68C5B345" w14:textId="77777777" w:rsidR="00740EEE" w:rsidRPr="001B3574" w:rsidRDefault="00740EEE" w:rsidP="00740EEE">
      <w:pPr>
        <w:rPr>
          <w:lang w:val="en-US"/>
        </w:rPr>
      </w:pPr>
    </w:p>
    <w:p w14:paraId="56C07602" w14:textId="77777777" w:rsidR="00740EEE" w:rsidRDefault="00740EEE" w:rsidP="002057BF">
      <w:pPr>
        <w:pStyle w:val="ListParagraph"/>
        <w:numPr>
          <w:ilvl w:val="0"/>
          <w:numId w:val="6"/>
        </w:numPr>
        <w:rPr>
          <w:lang w:eastAsia="x-none"/>
        </w:rPr>
      </w:pPr>
      <w:r>
        <w:rPr>
          <w:lang w:eastAsia="x-none"/>
        </w:rPr>
        <w:t>For enhancement on the HARQ process indication, one of following options for DCI 0-0/1-0 can be considered:</w:t>
      </w:r>
    </w:p>
    <w:p w14:paraId="307BFE93" w14:textId="77777777" w:rsidR="00740EEE" w:rsidRDefault="00740EEE" w:rsidP="00446902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Option 2: Reusing one bit from other bit field</w:t>
      </w:r>
    </w:p>
    <w:p w14:paraId="1FE20AB2" w14:textId="77777777" w:rsidR="00740EEE" w:rsidRDefault="00740EEE" w:rsidP="00446902">
      <w:pPr>
        <w:numPr>
          <w:ilvl w:val="0"/>
          <w:numId w:val="5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>Option 4: No enhancement</w:t>
      </w:r>
    </w:p>
    <w:p w14:paraId="3DC11878" w14:textId="77777777" w:rsidR="00740EEE" w:rsidRDefault="00740EEE" w:rsidP="00740EEE">
      <w:pPr>
        <w:rPr>
          <w:lang w:eastAsia="x-none"/>
        </w:rPr>
      </w:pPr>
    </w:p>
    <w:p w14:paraId="7BC7128E" w14:textId="77777777" w:rsidR="00740EEE" w:rsidRDefault="00740EEE" w:rsidP="002057BF">
      <w:pPr>
        <w:pStyle w:val="ListParagraph"/>
        <w:numPr>
          <w:ilvl w:val="0"/>
          <w:numId w:val="5"/>
        </w:numPr>
        <w:rPr>
          <w:lang w:eastAsia="x-none"/>
        </w:rPr>
      </w:pPr>
      <w:r>
        <w:rPr>
          <w:lang w:eastAsia="x-none"/>
        </w:rPr>
        <w:t>For Type-1 HARQ codebook, if only DCI carrying feedback-disabled HARQ process is detected by UE, one of following options should be supported:</w:t>
      </w:r>
    </w:p>
    <w:p w14:paraId="1F1FC2BB" w14:textId="3DF4CB18" w:rsidR="00740EEE" w:rsidRDefault="00740EEE" w:rsidP="00446902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Option-1: The UE’s </w:t>
      </w:r>
      <w:r w:rsidR="00AA66C6">
        <w:rPr>
          <w:lang w:eastAsia="x-none"/>
        </w:rPr>
        <w:t>behaviour</w:t>
      </w:r>
      <w:r>
        <w:rPr>
          <w:lang w:eastAsia="x-none"/>
        </w:rPr>
        <w:t xml:space="preserve"> is same as the case if DCIs carrying the feedback-disabled and feedback-enabled HARQ processes are detected by UE</w:t>
      </w:r>
    </w:p>
    <w:p w14:paraId="207E3E34" w14:textId="77777777" w:rsidR="00740EEE" w:rsidRDefault="00740EEE" w:rsidP="00446902">
      <w:pPr>
        <w:numPr>
          <w:ilvl w:val="0"/>
          <w:numId w:val="7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lastRenderedPageBreak/>
        <w:t>Option-2: The UE should skip the codebook feedback at least when the feedback is carried by PUCCH</w:t>
      </w:r>
    </w:p>
    <w:p w14:paraId="26250232" w14:textId="77777777" w:rsidR="00740EEE" w:rsidRDefault="00740EEE" w:rsidP="00446902">
      <w:pPr>
        <w:numPr>
          <w:ilvl w:val="1"/>
          <w:numId w:val="7"/>
        </w:numPr>
        <w:overflowPunct/>
        <w:autoSpaceDE/>
        <w:autoSpaceDN/>
        <w:adjustRightInd/>
        <w:spacing w:after="0"/>
        <w:textAlignment w:val="auto"/>
        <w:rPr>
          <w:lang w:eastAsia="x-none"/>
        </w:rPr>
      </w:pPr>
      <w:r>
        <w:rPr>
          <w:lang w:eastAsia="x-none"/>
        </w:rPr>
        <w:t xml:space="preserve">FFS: the case that feedback is carried by PUSCH. </w:t>
      </w:r>
    </w:p>
    <w:p w14:paraId="74D1FF91" w14:textId="77777777" w:rsidR="00740EEE" w:rsidRDefault="00740EEE" w:rsidP="00740EEE">
      <w:pPr>
        <w:rPr>
          <w:lang w:eastAsia="x-none"/>
        </w:rPr>
      </w:pPr>
    </w:p>
    <w:p w14:paraId="3973152B" w14:textId="77777777" w:rsidR="00740EEE" w:rsidRPr="002057BF" w:rsidRDefault="00740EEE" w:rsidP="002057BF">
      <w:pPr>
        <w:pStyle w:val="ListParagraph"/>
        <w:numPr>
          <w:ilvl w:val="0"/>
          <w:numId w:val="17"/>
        </w:numPr>
        <w:snapToGrid w:val="0"/>
        <w:rPr>
          <w:bCs/>
        </w:rPr>
      </w:pPr>
      <w:r w:rsidRPr="002057BF">
        <w:rPr>
          <w:bCs/>
        </w:rPr>
        <w:t xml:space="preserve">For </w:t>
      </w:r>
      <w:r w:rsidRPr="002057BF">
        <w:rPr>
          <w:rFonts w:eastAsia="Times New Roman"/>
        </w:rPr>
        <w:t xml:space="preserve">the </w:t>
      </w:r>
      <w:r w:rsidRPr="002057BF">
        <w:rPr>
          <w:bCs/>
        </w:rPr>
        <w:t>DCI of PDSCH with feedback-disabled HARQ processes, only one of following is supported for Type-2 codebook:</w:t>
      </w:r>
    </w:p>
    <w:p w14:paraId="0EFFD6E2" w14:textId="77777777" w:rsidR="00740EEE" w:rsidRPr="006E729D" w:rsidRDefault="00740EEE" w:rsidP="002057BF">
      <w:pPr>
        <w:numPr>
          <w:ilvl w:val="1"/>
          <w:numId w:val="6"/>
        </w:numPr>
        <w:overflowPunct/>
        <w:autoSpaceDE/>
        <w:autoSpaceDN/>
        <w:snapToGrid w:val="0"/>
        <w:spacing w:after="0"/>
        <w:textAlignment w:val="auto"/>
        <w:rPr>
          <w:bCs/>
        </w:rPr>
      </w:pPr>
      <w:r w:rsidRPr="006E729D">
        <w:rPr>
          <w:bCs/>
        </w:rPr>
        <w:t xml:space="preserve">Option-1: </w:t>
      </w:r>
      <w:r>
        <w:rPr>
          <w:bCs/>
        </w:rPr>
        <w:t>T</w:t>
      </w:r>
      <w:r w:rsidRPr="006E729D">
        <w:rPr>
          <w:bCs/>
        </w:rPr>
        <w:t>he C-DAI and T-DAI are the count of feedback-enabled processes, despite they are not incremented, and are taken into account by the UE for type 2 codebook generation.</w:t>
      </w:r>
    </w:p>
    <w:p w14:paraId="392B3303" w14:textId="27B08A68" w:rsidR="00740EEE" w:rsidRPr="00740EEE" w:rsidRDefault="00740EEE" w:rsidP="002057BF">
      <w:pPr>
        <w:numPr>
          <w:ilvl w:val="1"/>
          <w:numId w:val="6"/>
        </w:numPr>
        <w:overflowPunct/>
        <w:autoSpaceDE/>
        <w:autoSpaceDN/>
        <w:snapToGrid w:val="0"/>
        <w:spacing w:after="0"/>
        <w:textAlignment w:val="auto"/>
        <w:rPr>
          <w:bCs/>
        </w:rPr>
      </w:pPr>
      <w:r w:rsidRPr="006E729D">
        <w:rPr>
          <w:bCs/>
        </w:rPr>
        <w:t xml:space="preserve">Option-2: The C-DAI and T-DAI are ignored by the UE regardless of the value </w:t>
      </w:r>
      <w:r w:rsidRPr="006E729D">
        <w:t>for Type 2 codebook generation.</w:t>
      </w:r>
    </w:p>
    <w:p w14:paraId="174E3E83" w14:textId="77777777" w:rsidR="00DD0C8D" w:rsidRDefault="00DD0C8D" w:rsidP="00740EEE">
      <w:pPr>
        <w:jc w:val="both"/>
        <w:rPr>
          <w:szCs w:val="22"/>
          <w:lang w:val="en-US"/>
        </w:rPr>
      </w:pPr>
    </w:p>
    <w:p w14:paraId="2861B7DB" w14:textId="61B811D9" w:rsidR="00740EEE" w:rsidRPr="00813080" w:rsidRDefault="009C0FDA" w:rsidP="009C0FDA">
      <w:pPr>
        <w:jc w:val="both"/>
        <w:rPr>
          <w:b/>
          <w:bCs/>
          <w:szCs w:val="22"/>
          <w:lang w:val="en-US"/>
        </w:rPr>
      </w:pPr>
      <w:r w:rsidRPr="00813080">
        <w:rPr>
          <w:b/>
          <w:bCs/>
          <w:szCs w:val="22"/>
          <w:lang w:val="en-US"/>
        </w:rPr>
        <w:t xml:space="preserve">RAN1#107-e </w:t>
      </w:r>
      <w:r w:rsidR="00626FB8">
        <w:rPr>
          <w:b/>
          <w:bCs/>
          <w:szCs w:val="22"/>
          <w:lang w:val="en-US"/>
        </w:rPr>
        <w:t>HARQ Agreement</w:t>
      </w:r>
      <w:r w:rsidRPr="00813080">
        <w:rPr>
          <w:b/>
          <w:bCs/>
          <w:szCs w:val="22"/>
          <w:lang w:val="en-US"/>
        </w:rPr>
        <w:t>,</w:t>
      </w:r>
    </w:p>
    <w:p w14:paraId="635C4AAE" w14:textId="77777777" w:rsidR="009C0FDA" w:rsidRPr="002057BF" w:rsidRDefault="009C0FDA" w:rsidP="002057BF">
      <w:pPr>
        <w:pStyle w:val="ListParagraph"/>
        <w:numPr>
          <w:ilvl w:val="0"/>
          <w:numId w:val="17"/>
        </w:numPr>
        <w:rPr>
          <w:lang w:val="en-US" w:eastAsia="x-none"/>
        </w:rPr>
      </w:pPr>
      <w:r w:rsidRPr="002057BF">
        <w:rPr>
          <w:lang w:val="en-US" w:eastAsia="x-none"/>
        </w:rPr>
        <w:t>For Type-3 HARQ codebook in NTN, the UE should skip the codebook feedback for a feedback-disabled HARQ processes.</w:t>
      </w:r>
    </w:p>
    <w:p w14:paraId="66A9E6CD" w14:textId="2C15D6D7" w:rsidR="009C0FDA" w:rsidRDefault="009C0FDA" w:rsidP="002057BF">
      <w:pPr>
        <w:ind w:left="720"/>
        <w:rPr>
          <w:lang w:val="en-US" w:eastAsia="x-none"/>
        </w:rPr>
      </w:pPr>
      <w:r w:rsidRPr="00E1334F">
        <w:rPr>
          <w:lang w:val="en-US" w:eastAsia="x-none"/>
        </w:rPr>
        <w:t>Note: The Type-3 codebook size is reduced by excluding the bit positions of disabled HARQ processes</w:t>
      </w:r>
      <w:r>
        <w:rPr>
          <w:lang w:val="en-US" w:eastAsia="x-none"/>
        </w:rPr>
        <w:t>.</w:t>
      </w:r>
    </w:p>
    <w:p w14:paraId="5A76BF21" w14:textId="77777777" w:rsidR="009C0FDA" w:rsidRPr="002057BF" w:rsidRDefault="009C0FDA" w:rsidP="002057BF">
      <w:pPr>
        <w:pStyle w:val="ListParagraph"/>
        <w:numPr>
          <w:ilvl w:val="0"/>
          <w:numId w:val="17"/>
        </w:numPr>
        <w:rPr>
          <w:lang w:val="en-US" w:eastAsia="x-none"/>
        </w:rPr>
      </w:pPr>
      <w:r w:rsidRPr="00E1334F">
        <w:rPr>
          <w:lang w:eastAsia="x-none"/>
        </w:rPr>
        <w:t>HARQ feedback for SPS activation</w:t>
      </w:r>
      <w:r>
        <w:rPr>
          <w:lang w:eastAsia="x-none"/>
        </w:rPr>
        <w:t xml:space="preserve"> </w:t>
      </w:r>
      <w:r w:rsidRPr="00E1334F">
        <w:rPr>
          <w:lang w:eastAsia="x-none"/>
        </w:rPr>
        <w:t>may be</w:t>
      </w:r>
      <w:r>
        <w:rPr>
          <w:lang w:eastAsia="x-none"/>
        </w:rPr>
        <w:t xml:space="preserve"> </w:t>
      </w:r>
      <w:r w:rsidRPr="002057BF">
        <w:rPr>
          <w:bCs/>
          <w:lang w:eastAsia="x-none"/>
        </w:rPr>
        <w:t xml:space="preserve">additionally </w:t>
      </w:r>
      <w:r w:rsidRPr="00E1334F">
        <w:rPr>
          <w:lang w:eastAsia="x-none"/>
        </w:rPr>
        <w:t>enabled by the network by RRC configuration.</w:t>
      </w:r>
    </w:p>
    <w:p w14:paraId="188F4349" w14:textId="77777777" w:rsidR="009C0FDA" w:rsidRPr="00E1334F" w:rsidRDefault="009C0FDA" w:rsidP="002057B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1074" w:hanging="357"/>
        <w:contextualSpacing w:val="0"/>
        <w:textAlignment w:val="auto"/>
        <w:rPr>
          <w:lang w:val="en-US"/>
        </w:rPr>
      </w:pPr>
      <w:r w:rsidRPr="00E1334F">
        <w:rPr>
          <w:lang w:val="en-US"/>
        </w:rPr>
        <w:t>If enabled, UE reports ACK/NACK for</w:t>
      </w:r>
      <w:r>
        <w:rPr>
          <w:lang w:val="en-US"/>
        </w:rPr>
        <w:t xml:space="preserve"> </w:t>
      </w:r>
      <w:r w:rsidRPr="00E1334F">
        <w:rPr>
          <w:lang w:val="en-US"/>
        </w:rPr>
        <w:t>the first SPS PDSCH</w:t>
      </w:r>
      <w:r>
        <w:rPr>
          <w:lang w:val="en-US"/>
        </w:rPr>
        <w:t xml:space="preserve"> </w:t>
      </w:r>
      <w:r w:rsidRPr="00E1334F">
        <w:rPr>
          <w:lang w:val="en-US"/>
        </w:rPr>
        <w:t>after activation, regardless of whether HARQ feedback is enabled or disabled</w:t>
      </w:r>
      <w:r>
        <w:rPr>
          <w:lang w:val="en-US"/>
        </w:rPr>
        <w:t xml:space="preserve"> </w:t>
      </w:r>
      <w:r w:rsidRPr="00E1334F">
        <w:rPr>
          <w:lang w:val="en-US"/>
        </w:rPr>
        <w:t>corresponding to the first SPS PDSCH after activation</w:t>
      </w:r>
    </w:p>
    <w:p w14:paraId="4B150962" w14:textId="77777777" w:rsidR="009C0FDA" w:rsidRPr="00E1334F" w:rsidRDefault="009C0FDA" w:rsidP="002057BF">
      <w:pPr>
        <w:pStyle w:val="ListParagraph"/>
        <w:numPr>
          <w:ilvl w:val="0"/>
          <w:numId w:val="8"/>
        </w:numPr>
        <w:overflowPunct/>
        <w:autoSpaceDE/>
        <w:autoSpaceDN/>
        <w:adjustRightInd/>
        <w:spacing w:after="0"/>
        <w:ind w:left="1074" w:hanging="357"/>
        <w:contextualSpacing w:val="0"/>
        <w:textAlignment w:val="auto"/>
        <w:rPr>
          <w:lang w:val="en-US"/>
        </w:rPr>
      </w:pPr>
      <w:r w:rsidRPr="00E1334F">
        <w:t>Otherwise, UE follows</w:t>
      </w:r>
      <w:r>
        <w:t xml:space="preserve"> </w:t>
      </w:r>
      <w:r w:rsidRPr="00E1334F">
        <w:t xml:space="preserve">configuration of HARQ feedback enabled/disabled corresponding to the first SPS PDSCH after activation, </w:t>
      </w:r>
    </w:p>
    <w:p w14:paraId="0115C17B" w14:textId="77777777" w:rsidR="009C0FDA" w:rsidRPr="00E1334F" w:rsidRDefault="009C0FDA" w:rsidP="002057BF">
      <w:pPr>
        <w:numPr>
          <w:ilvl w:val="1"/>
          <w:numId w:val="9"/>
        </w:numPr>
        <w:overflowPunct/>
        <w:autoSpaceDE/>
        <w:autoSpaceDN/>
        <w:adjustRightInd/>
        <w:spacing w:after="0"/>
        <w:ind w:left="1560"/>
        <w:textAlignment w:val="auto"/>
        <w:rPr>
          <w:lang w:val="en-US" w:eastAsia="x-none"/>
        </w:rPr>
      </w:pPr>
      <w:r w:rsidRPr="00E1334F">
        <w:rPr>
          <w:lang w:eastAsia="x-none"/>
        </w:rPr>
        <w:t>FFS between Alt1 and Alt2</w:t>
      </w:r>
    </w:p>
    <w:p w14:paraId="3AAC4D19" w14:textId="77777777" w:rsidR="009C0FDA" w:rsidRPr="00E1334F" w:rsidRDefault="009C0FDA" w:rsidP="002057BF">
      <w:pPr>
        <w:numPr>
          <w:ilvl w:val="2"/>
          <w:numId w:val="10"/>
        </w:numPr>
        <w:overflowPunct/>
        <w:autoSpaceDE/>
        <w:autoSpaceDN/>
        <w:adjustRightInd/>
        <w:spacing w:after="0"/>
        <w:ind w:left="1980"/>
        <w:textAlignment w:val="auto"/>
        <w:rPr>
          <w:lang w:val="en-US" w:eastAsia="x-none"/>
        </w:rPr>
      </w:pPr>
      <w:r>
        <w:rPr>
          <w:lang w:val="en-US" w:eastAsia="x-none"/>
        </w:rPr>
        <w:t>[</w:t>
      </w:r>
      <w:r w:rsidRPr="00E1334F">
        <w:rPr>
          <w:lang w:val="en-US" w:eastAsia="x-none"/>
        </w:rPr>
        <w:t>Alt-1: UE follows the per-process configuration of HARQ feedback enabled/disabled for the associated HARQ process</w:t>
      </w:r>
    </w:p>
    <w:p w14:paraId="7F168182" w14:textId="77777777" w:rsidR="009C0FDA" w:rsidRPr="00586517" w:rsidRDefault="009C0FDA" w:rsidP="002057BF">
      <w:pPr>
        <w:numPr>
          <w:ilvl w:val="2"/>
          <w:numId w:val="10"/>
        </w:numPr>
        <w:overflowPunct/>
        <w:autoSpaceDE/>
        <w:autoSpaceDN/>
        <w:adjustRightInd/>
        <w:spacing w:after="0"/>
        <w:ind w:left="1980"/>
        <w:textAlignment w:val="auto"/>
        <w:rPr>
          <w:lang w:val="en-US" w:eastAsia="x-none"/>
        </w:rPr>
      </w:pPr>
      <w:r w:rsidRPr="00E1334F">
        <w:rPr>
          <w:lang w:val="en-US" w:eastAsia="x-none"/>
        </w:rPr>
        <w:t>Alt-2: UE follows the feedback-enabled/disabled configuration of the SPS PDSCH]</w:t>
      </w:r>
    </w:p>
    <w:p w14:paraId="689B705D" w14:textId="2CBBA632" w:rsidR="009C0FDA" w:rsidRDefault="009C0FDA" w:rsidP="00740EEE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5FC32D9B" w14:textId="31B379AE" w:rsidR="00C265CA" w:rsidRPr="00FB3970" w:rsidRDefault="00BD6860" w:rsidP="00BD6860">
      <w:pPr>
        <w:jc w:val="both"/>
        <w:rPr>
          <w:szCs w:val="22"/>
          <w:lang w:val="en-US"/>
        </w:rPr>
      </w:pPr>
      <w:r w:rsidRPr="00FB3970">
        <w:rPr>
          <w:szCs w:val="22"/>
          <w:lang w:val="en-US"/>
        </w:rPr>
        <w:t xml:space="preserve">In this contribution, we </w:t>
      </w:r>
      <w:r w:rsidR="00187A83">
        <w:rPr>
          <w:szCs w:val="22"/>
          <w:lang w:val="en-US"/>
        </w:rPr>
        <w:t xml:space="preserve">share our views on the disablement of HARQ feedback for </w:t>
      </w:r>
      <w:r w:rsidR="003C1DFE">
        <w:rPr>
          <w:szCs w:val="22"/>
          <w:lang w:val="en-US"/>
        </w:rPr>
        <w:t>IoT NTN</w:t>
      </w:r>
      <w:r w:rsidR="00187A83">
        <w:rPr>
          <w:szCs w:val="22"/>
          <w:lang w:val="en-US"/>
        </w:rPr>
        <w:t>.</w:t>
      </w:r>
    </w:p>
    <w:p w14:paraId="2943833A" w14:textId="1FC755E5" w:rsidR="00BD6860" w:rsidRPr="00AB16BE" w:rsidRDefault="009D4491" w:rsidP="009D4491">
      <w:pPr>
        <w:pStyle w:val="Heading1"/>
        <w:ind w:left="432" w:hanging="432"/>
      </w:pPr>
      <w:r>
        <w:t xml:space="preserve">2 </w:t>
      </w:r>
      <w:r w:rsidR="005B2FD6">
        <w:t>HARQ</w:t>
      </w:r>
      <w:r w:rsidR="003458AB">
        <w:rPr>
          <w:rFonts w:hint="eastAsia"/>
        </w:rPr>
        <w:t xml:space="preserve"> </w:t>
      </w:r>
      <w:r w:rsidR="005B2FD6">
        <w:t>in</w:t>
      </w:r>
      <w:r w:rsidR="005B2FD6" w:rsidRPr="00AB16BE">
        <w:t xml:space="preserve"> </w:t>
      </w:r>
      <w:r w:rsidR="003C1DFE">
        <w:t>IoT NTN</w:t>
      </w:r>
    </w:p>
    <w:p w14:paraId="6D85FDDB" w14:textId="7DEE52E5" w:rsidR="002615BB" w:rsidRDefault="00696327" w:rsidP="00AB42B8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The issue of disablement of HARQ feedback has been discussed since the original introduction of NTN in 3GPP NR. For example in RAN1#97 (Aug, 2019) there </w:t>
      </w:r>
      <w:r w:rsidR="004870CB">
        <w:rPr>
          <w:bCs/>
        </w:rPr>
        <w:t>are</w:t>
      </w:r>
      <w:r>
        <w:rPr>
          <w:bCs/>
        </w:rPr>
        <w:t xml:space="preserve"> the following agreement</w:t>
      </w:r>
      <w:r w:rsidR="004870CB">
        <w:rPr>
          <w:bCs/>
        </w:rPr>
        <w:t>s</w:t>
      </w:r>
      <w:r>
        <w:rPr>
          <w:bCs/>
        </w:rPr>
        <w:t xml:space="preserve"> mentioned in the introduction, </w:t>
      </w:r>
    </w:p>
    <w:p w14:paraId="201AB881" w14:textId="2C07E8C4" w:rsidR="0029036B" w:rsidRDefault="0029036B" w:rsidP="00AB42B8">
      <w:pPr>
        <w:pStyle w:val="ListParagraph"/>
        <w:ind w:left="0"/>
        <w:jc w:val="both"/>
        <w:rPr>
          <w:bCs/>
        </w:rPr>
      </w:pPr>
    </w:p>
    <w:p w14:paraId="373595BC" w14:textId="4CB58A75" w:rsidR="00AA66C6" w:rsidRDefault="00AA66C6" w:rsidP="00AA66C6">
      <w:pPr>
        <w:pStyle w:val="ListParagraph"/>
        <w:ind w:left="0"/>
        <w:jc w:val="both"/>
        <w:rPr>
          <w:szCs w:val="22"/>
        </w:rPr>
      </w:pPr>
      <w:r>
        <w:rPr>
          <w:bCs/>
        </w:rPr>
        <w:t xml:space="preserve">The general consensus from the agreements on HARQ in Release 17 is that </w:t>
      </w:r>
      <w:r w:rsidR="00696327" w:rsidRPr="00834B63">
        <w:rPr>
          <w:szCs w:val="22"/>
        </w:rPr>
        <w:t xml:space="preserve">Network disabling of HARQ via RRC configuration should be supported. </w:t>
      </w:r>
    </w:p>
    <w:p w14:paraId="46E24CBE" w14:textId="77777777" w:rsidR="00625102" w:rsidRDefault="00625102">
      <w:pPr>
        <w:pStyle w:val="ListParagraph"/>
        <w:ind w:left="0"/>
        <w:jc w:val="both"/>
        <w:rPr>
          <w:szCs w:val="22"/>
        </w:rPr>
      </w:pPr>
    </w:p>
    <w:p w14:paraId="0A8FF9FA" w14:textId="68C003F4" w:rsidR="007C1687" w:rsidRDefault="00AA66C6">
      <w:pPr>
        <w:pStyle w:val="ListParagraph"/>
        <w:ind w:left="0"/>
        <w:jc w:val="both"/>
        <w:rPr>
          <w:bCs/>
        </w:rPr>
      </w:pPr>
      <w:r>
        <w:rPr>
          <w:szCs w:val="22"/>
        </w:rPr>
        <w:t>While</w:t>
      </w:r>
      <w:r w:rsidR="007C1687">
        <w:rPr>
          <w:bCs/>
        </w:rPr>
        <w:t xml:space="preserve"> the issue of disablement of HARQ feedback was discussed</w:t>
      </w:r>
      <w:r>
        <w:rPr>
          <w:bCs/>
        </w:rPr>
        <w:t xml:space="preserve">, it was noted a further study of the </w:t>
      </w:r>
      <w:r w:rsidR="007C1687">
        <w:rPr>
          <w:bCs/>
        </w:rPr>
        <w:t xml:space="preserve"> </w:t>
      </w:r>
      <w:r w:rsidRPr="004870CB">
        <w:rPr>
          <w:lang w:eastAsia="x-none"/>
        </w:rPr>
        <w:t>benefits and/or drawbacks of disabling HARQ feedback</w:t>
      </w:r>
      <w:r>
        <w:rPr>
          <w:lang w:eastAsia="x-none"/>
        </w:rPr>
        <w:t xml:space="preserve"> </w:t>
      </w:r>
      <w:r w:rsidR="00816979">
        <w:rPr>
          <w:lang w:eastAsia="x-none"/>
        </w:rPr>
        <w:t>was</w:t>
      </w:r>
      <w:r>
        <w:rPr>
          <w:lang w:eastAsia="x-none"/>
        </w:rPr>
        <w:t xml:space="preserve"> considered, </w:t>
      </w:r>
      <w:r w:rsidR="00C3625B">
        <w:rPr>
          <w:bCs/>
        </w:rPr>
        <w:t>during RAN2#107</w:t>
      </w:r>
      <w:r w:rsidR="007C1687">
        <w:rPr>
          <w:bCs/>
        </w:rPr>
        <w:t xml:space="preserve"> it was decided that only per process disablement of a HARQ process would be considered. </w:t>
      </w:r>
      <w:r w:rsidR="00816979">
        <w:rPr>
          <w:bCs/>
        </w:rPr>
        <w:t>For the RAN2#107 agreement</w:t>
      </w:r>
      <w:r w:rsidR="0098357C">
        <w:rPr>
          <w:bCs/>
        </w:rPr>
        <w:t xml:space="preserve"> to only consider a per process disablement of HARQ feedback</w:t>
      </w:r>
      <w:r>
        <w:rPr>
          <w:bCs/>
        </w:rPr>
        <w:t>, it was noted that</w:t>
      </w:r>
      <w:r w:rsidR="0098357C">
        <w:rPr>
          <w:bCs/>
        </w:rPr>
        <w:t xml:space="preserve"> a number of issues still needed to be addressed. </w:t>
      </w:r>
      <w:r w:rsidR="0063286B">
        <w:rPr>
          <w:bCs/>
        </w:rPr>
        <w:t>Some of the agreements to address issues caused by per process disablement of HARQ feedback are reflected in the agreements given in the introduction.</w:t>
      </w:r>
    </w:p>
    <w:p w14:paraId="494F11AC" w14:textId="77777777" w:rsidR="00612D0B" w:rsidRDefault="00625102" w:rsidP="00625102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353CA3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353CA3">
        <w:rPr>
          <w:b/>
          <w:lang w:val="en-US"/>
        </w:rPr>
        <w:t>:</w:t>
      </w:r>
      <w:r>
        <w:rPr>
          <w:bCs/>
          <w:lang w:val="en-US"/>
        </w:rPr>
        <w:t xml:space="preserve"> </w:t>
      </w:r>
    </w:p>
    <w:p w14:paraId="539C42A4" w14:textId="77777777" w:rsidR="00612D0B" w:rsidRDefault="00612D0B" w:rsidP="00625102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72A70138" w14:textId="02E63689" w:rsidR="00625102" w:rsidRPr="009C0FDA" w:rsidRDefault="00625102" w:rsidP="00625102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>Per-process HARQ-feedback</w:t>
      </w:r>
      <w:r w:rsidR="00816979">
        <w:rPr>
          <w:bCs/>
          <w:lang w:val="en-US"/>
        </w:rPr>
        <w:t xml:space="preserve"> </w:t>
      </w:r>
      <w:r>
        <w:rPr>
          <w:bCs/>
          <w:lang w:val="en-US"/>
        </w:rPr>
        <w:t xml:space="preserve">disablement is agreed to for NR-NTN; HARQ-feedback-disablement for NR-NTN </w:t>
      </w:r>
      <w:r>
        <w:rPr>
          <w:bCs/>
          <w:lang w:val="en-US"/>
        </w:rPr>
        <w:t>is not agreed</w:t>
      </w:r>
      <w:r>
        <w:rPr>
          <w:bCs/>
          <w:lang w:val="en-US"/>
        </w:rPr>
        <w:t>. For, IoT NTN, no agreement has been reached for HARQ-feedback-disablement for Rel-</w:t>
      </w:r>
      <w:r>
        <w:rPr>
          <w:bCs/>
          <w:lang w:val="en-US"/>
        </w:rPr>
        <w:lastRenderedPageBreak/>
        <w:t>18. Note that IoT NTN may only have a single HARQ-process. From the NR-NTN studies, it is logical that disablement of HARQ-feedback would also be beneficial for IoT NTN.</w:t>
      </w:r>
    </w:p>
    <w:p w14:paraId="0BE6A647" w14:textId="77777777" w:rsidR="00625102" w:rsidRPr="00626FB8" w:rsidRDefault="00625102" w:rsidP="00625102">
      <w:pPr>
        <w:rPr>
          <w:b/>
          <w:bCs/>
          <w:lang w:val="en-US" w:eastAsia="x-none"/>
        </w:rPr>
      </w:pPr>
    </w:p>
    <w:p w14:paraId="73680AF7" w14:textId="77777777" w:rsidR="0063286B" w:rsidRPr="00625102" w:rsidRDefault="0063286B" w:rsidP="00AB42B8">
      <w:pPr>
        <w:pStyle w:val="ListParagraph"/>
        <w:ind w:left="0"/>
        <w:jc w:val="both"/>
        <w:rPr>
          <w:bCs/>
          <w:lang w:val="en-US"/>
        </w:rPr>
      </w:pPr>
    </w:p>
    <w:p w14:paraId="778470F5" w14:textId="73F9CFD2" w:rsidR="00AB42B8" w:rsidRDefault="0063286B" w:rsidP="00AB42B8">
      <w:pPr>
        <w:pStyle w:val="ListParagraph"/>
        <w:ind w:left="0"/>
        <w:jc w:val="both"/>
        <w:rPr>
          <w:bCs/>
        </w:rPr>
      </w:pPr>
      <w:r w:rsidRPr="0063286B">
        <w:rPr>
          <w:bCs/>
        </w:rPr>
        <w:t xml:space="preserve">In addition to </w:t>
      </w:r>
      <w:r>
        <w:rPr>
          <w:bCs/>
        </w:rPr>
        <w:t xml:space="preserve">the agreements </w:t>
      </w:r>
      <w:r w:rsidR="00AA66C6">
        <w:rPr>
          <w:bCs/>
        </w:rPr>
        <w:t>noted</w:t>
      </w:r>
      <w:r>
        <w:rPr>
          <w:bCs/>
        </w:rPr>
        <w:t xml:space="preserve"> for RAN1#104e there were the following FFS considerations at the time,</w:t>
      </w:r>
    </w:p>
    <w:p w14:paraId="661EF9EC" w14:textId="77777777" w:rsidR="0063286B" w:rsidRDefault="0063286B" w:rsidP="00446902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consider separately LEO and GEO scenarios</w:t>
      </w:r>
    </w:p>
    <w:p w14:paraId="4D66B15E" w14:textId="77777777" w:rsidR="0063286B" w:rsidRDefault="0063286B" w:rsidP="00446902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lang w:eastAsia="zh-CN"/>
        </w:rPr>
        <w:t>FFS: whether to allow disabling of HARQ feedback in case of single HARQ process</w:t>
      </w:r>
    </w:p>
    <w:p w14:paraId="77AF4CCB" w14:textId="77777777" w:rsidR="0063286B" w:rsidRDefault="0063286B" w:rsidP="00446902">
      <w:pPr>
        <w:numPr>
          <w:ilvl w:val="0"/>
          <w:numId w:val="14"/>
        </w:numPr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t>FFS: whether to allow disabling of all HARQ feedback</w:t>
      </w:r>
    </w:p>
    <w:p w14:paraId="3EC6A7C5" w14:textId="12E6D100" w:rsidR="0063286B" w:rsidRDefault="0063286B" w:rsidP="00AB42B8">
      <w:pPr>
        <w:pStyle w:val="ListParagraph"/>
        <w:ind w:left="0"/>
        <w:jc w:val="both"/>
        <w:rPr>
          <w:bCs/>
        </w:rPr>
      </w:pPr>
    </w:p>
    <w:p w14:paraId="393FC0FC" w14:textId="36F60B8E" w:rsidR="0063286B" w:rsidRDefault="002061C8" w:rsidP="00AB42B8">
      <w:pPr>
        <w:pStyle w:val="ListParagraph"/>
        <w:ind w:left="0"/>
        <w:jc w:val="both"/>
        <w:rPr>
          <w:bCs/>
        </w:rPr>
      </w:pPr>
      <w:r>
        <w:rPr>
          <w:bCs/>
        </w:rPr>
        <w:t>Subsequently i</w:t>
      </w:r>
      <w:r w:rsidR="0063286B">
        <w:rPr>
          <w:bCs/>
        </w:rPr>
        <w:t>t was decided not to treat LEO and GEO separately for per process HARQ disablement</w:t>
      </w:r>
      <w:r>
        <w:rPr>
          <w:bCs/>
        </w:rPr>
        <w:t xml:space="preserve"> in either NTN-NR or </w:t>
      </w:r>
      <w:r w:rsidR="003C1DFE">
        <w:rPr>
          <w:bCs/>
        </w:rPr>
        <w:t>IoT NTN</w:t>
      </w:r>
      <w:r w:rsidR="0063286B">
        <w:rPr>
          <w:bCs/>
        </w:rPr>
        <w:t>.</w:t>
      </w:r>
      <w:r>
        <w:rPr>
          <w:bCs/>
        </w:rPr>
        <w:t xml:space="preserve"> W</w:t>
      </w:r>
      <w:r w:rsidR="0063286B">
        <w:rPr>
          <w:bCs/>
        </w:rPr>
        <w:t xml:space="preserve">e are </w:t>
      </w:r>
      <w:r w:rsidR="000A6750">
        <w:rPr>
          <w:bCs/>
        </w:rPr>
        <w:t>revisiting</w:t>
      </w:r>
      <w:r>
        <w:rPr>
          <w:bCs/>
        </w:rPr>
        <w:t xml:space="preserve"> </w:t>
      </w:r>
      <w:r w:rsidR="0063286B">
        <w:rPr>
          <w:bCs/>
        </w:rPr>
        <w:t>this question for Rel-18</w:t>
      </w:r>
      <w:r w:rsidR="000A6750">
        <w:rPr>
          <w:bCs/>
        </w:rPr>
        <w:t xml:space="preserve"> </w:t>
      </w:r>
      <w:r w:rsidR="003C1DFE">
        <w:rPr>
          <w:bCs/>
        </w:rPr>
        <w:t>IoT NTN</w:t>
      </w:r>
      <w:r w:rsidR="000A6750">
        <w:rPr>
          <w:bCs/>
        </w:rPr>
        <w:t>.</w:t>
      </w:r>
    </w:p>
    <w:p w14:paraId="18AC1C5E" w14:textId="29DD2CBE" w:rsidR="002061C8" w:rsidRDefault="000A6750" w:rsidP="002061C8">
      <w:pPr>
        <w:jc w:val="both"/>
        <w:rPr>
          <w:szCs w:val="22"/>
          <w:lang w:val="en-US"/>
        </w:rPr>
      </w:pPr>
      <w:r>
        <w:rPr>
          <w:bCs/>
        </w:rPr>
        <w:t>As noted in the introduction</w:t>
      </w:r>
      <w:r w:rsidR="002061C8">
        <w:rPr>
          <w:bCs/>
        </w:rPr>
        <w:t xml:space="preserve"> </w:t>
      </w:r>
      <w:r>
        <w:rPr>
          <w:bCs/>
        </w:rPr>
        <w:t>in</w:t>
      </w:r>
      <w:r w:rsidR="002061C8">
        <w:rPr>
          <w:bCs/>
        </w:rPr>
        <w:t xml:space="preserve"> </w:t>
      </w:r>
      <w:r>
        <w:rPr>
          <w:bCs/>
        </w:rPr>
        <w:t xml:space="preserve">the </w:t>
      </w:r>
      <w:r w:rsidR="002061C8">
        <w:rPr>
          <w:bCs/>
        </w:rPr>
        <w:t xml:space="preserve">RAN2#107 meeting it was agreed that </w:t>
      </w:r>
      <w:proofErr w:type="spellStart"/>
      <w:r>
        <w:rPr>
          <w:bCs/>
        </w:rPr>
        <w:t>i</w:t>
      </w:r>
      <w:proofErr w:type="spellEnd"/>
      <w:r w:rsidR="002061C8">
        <w:rPr>
          <w:szCs w:val="22"/>
          <w:lang w:val="en-US"/>
        </w:rPr>
        <w:t xml:space="preserve">t should be possible to semi-statically enable/disable HARQ feedback by RRC signaling. This same mechanism </w:t>
      </w:r>
      <w:r>
        <w:rPr>
          <w:szCs w:val="22"/>
          <w:lang w:val="en-US"/>
        </w:rPr>
        <w:t>may</w:t>
      </w:r>
      <w:r w:rsidR="002061C8">
        <w:rPr>
          <w:szCs w:val="22"/>
          <w:lang w:val="en-US"/>
        </w:rPr>
        <w:t xml:space="preserve"> be supported for the disablement of HARQ feedback in </w:t>
      </w:r>
      <w:r w:rsidR="003C1DFE">
        <w:rPr>
          <w:szCs w:val="22"/>
          <w:lang w:val="en-US"/>
        </w:rPr>
        <w:t>IoT NTN</w:t>
      </w:r>
      <w:r w:rsidR="002061C8">
        <w:rPr>
          <w:szCs w:val="22"/>
          <w:lang w:val="en-US"/>
        </w:rPr>
        <w:t>.</w:t>
      </w:r>
    </w:p>
    <w:p w14:paraId="1FB9100F" w14:textId="7E6617A3" w:rsidR="000A6750" w:rsidRDefault="000A6750" w:rsidP="002061C8">
      <w:pPr>
        <w:jc w:val="both"/>
        <w:rPr>
          <w:szCs w:val="22"/>
          <w:lang w:val="en-US"/>
        </w:rPr>
      </w:pPr>
      <w:r w:rsidRPr="00353CA3">
        <w:rPr>
          <w:b/>
          <w:bCs/>
          <w:szCs w:val="22"/>
          <w:lang w:val="en-US"/>
        </w:rPr>
        <w:t>Observation</w:t>
      </w:r>
      <w:r w:rsidR="00FF78D0">
        <w:rPr>
          <w:b/>
          <w:bCs/>
          <w:szCs w:val="22"/>
          <w:lang w:val="en-US"/>
        </w:rPr>
        <w:t xml:space="preserve"> 2</w:t>
      </w:r>
      <w:r w:rsidRPr="00353CA3">
        <w:rPr>
          <w:b/>
          <w:bCs/>
          <w:szCs w:val="22"/>
          <w:lang w:val="en-US"/>
        </w:rPr>
        <w:t>:</w:t>
      </w:r>
      <w:r>
        <w:rPr>
          <w:szCs w:val="22"/>
          <w:lang w:val="en-US"/>
        </w:rPr>
        <w:t xml:space="preserve"> </w:t>
      </w:r>
      <w:r>
        <w:rPr>
          <w:bCs/>
        </w:rPr>
        <w:t>I</w:t>
      </w:r>
      <w:r>
        <w:rPr>
          <w:szCs w:val="22"/>
          <w:lang w:val="en-US"/>
        </w:rPr>
        <w:t>t should be possible to semi-statically enable/disable HARQ feedback by RRC signaling.</w:t>
      </w:r>
    </w:p>
    <w:p w14:paraId="057749AC" w14:textId="399703F3" w:rsidR="0063286B" w:rsidRDefault="00FC5F42" w:rsidP="00AB42B8">
      <w:pPr>
        <w:pStyle w:val="ListParagraph"/>
        <w:ind w:left="0"/>
        <w:jc w:val="both"/>
        <w:rPr>
          <w:bCs/>
        </w:rPr>
      </w:pPr>
      <w:r>
        <w:rPr>
          <w:bCs/>
        </w:rPr>
        <w:t>As the consideration for disablement of HARQ feedback is due in part to the significant RT</w:t>
      </w:r>
      <w:r w:rsidR="007D76A1">
        <w:rPr>
          <w:bCs/>
        </w:rPr>
        <w:t>D</w:t>
      </w:r>
      <w:r>
        <w:rPr>
          <w:bCs/>
        </w:rPr>
        <w:t xml:space="preserve"> for the LEO</w:t>
      </w:r>
      <w:r w:rsidR="007D76A1">
        <w:rPr>
          <w:bCs/>
        </w:rPr>
        <w:t xml:space="preserve"> (~28 </w:t>
      </w:r>
      <w:proofErr w:type="spellStart"/>
      <w:r w:rsidR="007D76A1">
        <w:rPr>
          <w:bCs/>
        </w:rPr>
        <w:t>ms</w:t>
      </w:r>
      <w:proofErr w:type="spellEnd"/>
      <w:r w:rsidR="007D76A1">
        <w:rPr>
          <w:bCs/>
        </w:rPr>
        <w:t>)</w:t>
      </w:r>
      <w:r>
        <w:rPr>
          <w:bCs/>
        </w:rPr>
        <w:t xml:space="preserve"> and GEO satellite, it may be </w:t>
      </w:r>
      <w:r w:rsidR="000A6750">
        <w:rPr>
          <w:bCs/>
        </w:rPr>
        <w:t xml:space="preserve">a consideration </w:t>
      </w:r>
      <w:r>
        <w:rPr>
          <w:bCs/>
        </w:rPr>
        <w:t>to only support the disablement of HARQ feedback for GEO due to it significantly larger RT</w:t>
      </w:r>
      <w:r w:rsidR="007D76A1">
        <w:rPr>
          <w:bCs/>
        </w:rPr>
        <w:t xml:space="preserve">D (545 </w:t>
      </w:r>
      <w:proofErr w:type="spellStart"/>
      <w:r w:rsidR="007D76A1">
        <w:rPr>
          <w:bCs/>
        </w:rPr>
        <w:t>ms</w:t>
      </w:r>
      <w:proofErr w:type="spellEnd"/>
      <w:r w:rsidR="007D76A1">
        <w:rPr>
          <w:bCs/>
        </w:rPr>
        <w:t>)</w:t>
      </w:r>
      <w:r>
        <w:rPr>
          <w:bCs/>
        </w:rPr>
        <w:t>.  The performance of disablement of HARQ feedback for GEO was considered in [3] for Ka band.  In this TDoc</w:t>
      </w:r>
      <w:r w:rsidR="00E1543C">
        <w:rPr>
          <w:bCs/>
        </w:rPr>
        <w:t>,</w:t>
      </w:r>
      <w:r>
        <w:rPr>
          <w:bCs/>
        </w:rPr>
        <w:t xml:space="preserve"> they observed that GEO is dominated by a LOS channel, and the performance loss for a NLOS channel was significant. Therefore </w:t>
      </w:r>
      <w:r w:rsidR="000A6750">
        <w:rPr>
          <w:bCs/>
        </w:rPr>
        <w:t xml:space="preserve">it can be observed that </w:t>
      </w:r>
      <w:r>
        <w:rPr>
          <w:bCs/>
        </w:rPr>
        <w:t>the disable</w:t>
      </w:r>
      <w:r w:rsidR="00E1543C">
        <w:rPr>
          <w:bCs/>
        </w:rPr>
        <w:t>ment</w:t>
      </w:r>
      <w:r>
        <w:rPr>
          <w:bCs/>
        </w:rPr>
        <w:t xml:space="preserve"> of HARQ feedback </w:t>
      </w:r>
      <w:r w:rsidR="002E691C">
        <w:rPr>
          <w:bCs/>
        </w:rPr>
        <w:t xml:space="preserve">is mainly beneficial </w:t>
      </w:r>
      <w:r>
        <w:rPr>
          <w:bCs/>
        </w:rPr>
        <w:t xml:space="preserve">for GEO </w:t>
      </w:r>
      <w:r w:rsidR="002E691C">
        <w:rPr>
          <w:bCs/>
        </w:rPr>
        <w:t xml:space="preserve">scenarios, with </w:t>
      </w:r>
      <w:r>
        <w:rPr>
          <w:bCs/>
        </w:rPr>
        <w:t>LOS channel</w:t>
      </w:r>
      <w:r w:rsidR="002E691C">
        <w:rPr>
          <w:bCs/>
        </w:rPr>
        <w:t>s</w:t>
      </w:r>
      <w:r>
        <w:rPr>
          <w:bCs/>
        </w:rPr>
        <w:t xml:space="preserve">.  </w:t>
      </w:r>
      <w:r w:rsidR="00BF559A">
        <w:rPr>
          <w:bCs/>
        </w:rPr>
        <w:t xml:space="preserve">Also as noted in [3] the target BLER for CQI feedback may need to be investigated if HARQ disablement for GEO is supported for </w:t>
      </w:r>
      <w:r w:rsidR="003C1DFE">
        <w:rPr>
          <w:bCs/>
        </w:rPr>
        <w:t>IoT NTN</w:t>
      </w:r>
      <w:r w:rsidR="00BF559A">
        <w:rPr>
          <w:bCs/>
        </w:rPr>
        <w:t>.</w:t>
      </w:r>
    </w:p>
    <w:p w14:paraId="3052167A" w14:textId="583502DC" w:rsidR="000A6750" w:rsidRDefault="000A6750" w:rsidP="00AB42B8">
      <w:pPr>
        <w:pStyle w:val="ListParagraph"/>
        <w:ind w:left="0"/>
        <w:jc w:val="both"/>
        <w:rPr>
          <w:bCs/>
        </w:rPr>
      </w:pPr>
    </w:p>
    <w:p w14:paraId="04BBA923" w14:textId="57918520" w:rsidR="000A6750" w:rsidRDefault="000A6750" w:rsidP="00AB42B8">
      <w:pPr>
        <w:pStyle w:val="ListParagraph"/>
        <w:ind w:left="0"/>
        <w:jc w:val="both"/>
        <w:rPr>
          <w:bCs/>
        </w:rPr>
      </w:pPr>
      <w:r w:rsidRPr="00353CA3">
        <w:rPr>
          <w:b/>
        </w:rPr>
        <w:t>Observation</w:t>
      </w:r>
      <w:r w:rsidR="00FF78D0">
        <w:rPr>
          <w:b/>
        </w:rPr>
        <w:t xml:space="preserve"> 3</w:t>
      </w:r>
      <w:r w:rsidRPr="00353CA3">
        <w:rPr>
          <w:b/>
        </w:rPr>
        <w:t>:</w:t>
      </w:r>
      <w:r>
        <w:rPr>
          <w:bCs/>
        </w:rPr>
        <w:t xml:space="preserve"> The disablement of HARQ feedback is mainly beneficial for GEO scenarios.</w:t>
      </w:r>
    </w:p>
    <w:p w14:paraId="58908D0C" w14:textId="3C7FE7AA" w:rsidR="00FC5F42" w:rsidRDefault="00FC5F42" w:rsidP="00AB42B8">
      <w:pPr>
        <w:pStyle w:val="ListParagraph"/>
        <w:ind w:left="0"/>
        <w:jc w:val="both"/>
        <w:rPr>
          <w:bCs/>
        </w:rPr>
      </w:pPr>
    </w:p>
    <w:p w14:paraId="00403F55" w14:textId="327CFB23" w:rsidR="00287120" w:rsidRDefault="00287120" w:rsidP="00AB42B8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The assessment of whether to support disabling of HARQ feedback for </w:t>
      </w:r>
      <w:r w:rsidR="003C1DFE">
        <w:rPr>
          <w:bCs/>
        </w:rPr>
        <w:t>IoT NTN</w:t>
      </w:r>
      <w:r>
        <w:rPr>
          <w:bCs/>
        </w:rPr>
        <w:t xml:space="preserve"> would not be complete without noting that there was no consensus for this in RAN1#105-e.  </w:t>
      </w:r>
      <w:r w:rsidR="00AF3D02">
        <w:rPr>
          <w:bCs/>
        </w:rPr>
        <w:t xml:space="preserve">While some of the consensus for this decision is noted in [6], we still feel that the disabling of HARQ feedback for </w:t>
      </w:r>
      <w:r w:rsidR="003C1DFE">
        <w:rPr>
          <w:bCs/>
        </w:rPr>
        <w:t>IoT NTN</w:t>
      </w:r>
      <w:r w:rsidR="00AF3D02">
        <w:rPr>
          <w:bCs/>
        </w:rPr>
        <w:t xml:space="preserve"> is warranted for a GEO scenario. As noted in [5] there is the potential for a significant loss in throughput without the support of the disabling of HARQ feedback for </w:t>
      </w:r>
      <w:r w:rsidR="003C1DFE">
        <w:rPr>
          <w:bCs/>
        </w:rPr>
        <w:t>IoT NTN</w:t>
      </w:r>
      <w:r w:rsidR="00AF3D02">
        <w:rPr>
          <w:bCs/>
        </w:rPr>
        <w:t xml:space="preserve">. As a compromise [5] suggested the support of disabling of HARQ feedback for a single process for </w:t>
      </w:r>
      <w:r w:rsidR="003C1DFE">
        <w:rPr>
          <w:bCs/>
        </w:rPr>
        <w:t>IoT NTN</w:t>
      </w:r>
      <w:r w:rsidR="00AF3D02">
        <w:rPr>
          <w:bCs/>
        </w:rPr>
        <w:t>.</w:t>
      </w:r>
    </w:p>
    <w:p w14:paraId="7C2AFE79" w14:textId="715BF820" w:rsidR="00C3625B" w:rsidRDefault="00C3625B" w:rsidP="00AB42B8">
      <w:pPr>
        <w:pStyle w:val="ListParagraph"/>
        <w:ind w:left="0"/>
        <w:jc w:val="both"/>
        <w:rPr>
          <w:bCs/>
        </w:rPr>
      </w:pPr>
    </w:p>
    <w:p w14:paraId="054EDCDD" w14:textId="77777777" w:rsidR="00816979" w:rsidRDefault="000A6750" w:rsidP="000A6750">
      <w:pPr>
        <w:pStyle w:val="ListParagraph"/>
        <w:ind w:left="0"/>
        <w:jc w:val="both"/>
        <w:rPr>
          <w:bCs/>
        </w:rPr>
      </w:pPr>
      <w:r w:rsidRPr="00454FA9">
        <w:rPr>
          <w:b/>
        </w:rPr>
        <w:t>Observation</w:t>
      </w:r>
      <w:r w:rsidR="00FF78D0">
        <w:rPr>
          <w:b/>
        </w:rPr>
        <w:t xml:space="preserve"> 4</w:t>
      </w:r>
      <w:r w:rsidRPr="00454FA9">
        <w:rPr>
          <w:b/>
        </w:rPr>
        <w:t>:</w:t>
      </w:r>
      <w:r>
        <w:rPr>
          <w:bCs/>
        </w:rPr>
        <w:t xml:space="preserve"> </w:t>
      </w:r>
    </w:p>
    <w:p w14:paraId="517EB8BE" w14:textId="77777777" w:rsidR="00816979" w:rsidRDefault="00816979" w:rsidP="000A6750">
      <w:pPr>
        <w:pStyle w:val="ListParagraph"/>
        <w:ind w:left="0"/>
        <w:jc w:val="both"/>
        <w:rPr>
          <w:bCs/>
        </w:rPr>
      </w:pPr>
    </w:p>
    <w:p w14:paraId="405B660D" w14:textId="3D7BCD46" w:rsidR="000A6750" w:rsidRDefault="000A6750" w:rsidP="000A6750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The disablement of HARQ feedback may only support the disabling of HARQ feedback for a single process for </w:t>
      </w:r>
      <w:r w:rsidR="003C1DFE">
        <w:rPr>
          <w:bCs/>
        </w:rPr>
        <w:t>IoT NTN</w:t>
      </w:r>
      <w:r>
        <w:rPr>
          <w:bCs/>
        </w:rPr>
        <w:t>.</w:t>
      </w:r>
    </w:p>
    <w:p w14:paraId="704ADD15" w14:textId="68AA37F0" w:rsidR="000A6750" w:rsidRDefault="000A6750" w:rsidP="00AB42B8">
      <w:pPr>
        <w:pStyle w:val="ListParagraph"/>
        <w:ind w:left="0"/>
        <w:jc w:val="both"/>
        <w:rPr>
          <w:bCs/>
        </w:rPr>
      </w:pPr>
    </w:p>
    <w:p w14:paraId="5077EF71" w14:textId="17511882" w:rsidR="00C3625B" w:rsidRDefault="00305070" w:rsidP="00C3625B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Considering these observations we propose the following in the interest of the most practical implementation and performance considerations,</w:t>
      </w:r>
    </w:p>
    <w:p w14:paraId="67871C9C" w14:textId="77777777" w:rsidR="00DB70E2" w:rsidRDefault="00305070" w:rsidP="00C3625B">
      <w:pPr>
        <w:jc w:val="both"/>
        <w:rPr>
          <w:b/>
          <w:bCs/>
          <w:szCs w:val="22"/>
          <w:lang w:val="en-US"/>
        </w:rPr>
      </w:pPr>
      <w:bookmarkStart w:id="3" w:name="_Hlk101875229"/>
      <w:r w:rsidRPr="00305070">
        <w:rPr>
          <w:b/>
          <w:bCs/>
          <w:szCs w:val="22"/>
          <w:lang w:val="en-US"/>
        </w:rPr>
        <w:t xml:space="preserve">Proposal 1: </w:t>
      </w:r>
    </w:p>
    <w:p w14:paraId="46535452" w14:textId="51064A2E" w:rsidR="00305070" w:rsidRPr="00816979" w:rsidRDefault="00305070" w:rsidP="00C3625B">
      <w:pPr>
        <w:jc w:val="both"/>
        <w:rPr>
          <w:szCs w:val="22"/>
          <w:lang w:val="en-US"/>
        </w:rPr>
      </w:pPr>
      <w:r w:rsidRPr="00816979">
        <w:rPr>
          <w:szCs w:val="22"/>
          <w:lang w:val="en-US"/>
        </w:rPr>
        <w:t xml:space="preserve">Semi-Static disablement of HARQ feedback through RRC signaling should be supported for </w:t>
      </w:r>
      <w:r w:rsidR="00E414F9" w:rsidRPr="00816979">
        <w:rPr>
          <w:szCs w:val="22"/>
          <w:lang w:val="en-US"/>
        </w:rPr>
        <w:t xml:space="preserve">at least </w:t>
      </w:r>
      <w:r w:rsidR="00AF3D02" w:rsidRPr="00816979">
        <w:rPr>
          <w:szCs w:val="22"/>
          <w:lang w:val="en-US"/>
        </w:rPr>
        <w:t xml:space="preserve">a single process for </w:t>
      </w:r>
      <w:r w:rsidR="003C1DFE" w:rsidRPr="00816979">
        <w:rPr>
          <w:szCs w:val="22"/>
          <w:lang w:val="en-US"/>
        </w:rPr>
        <w:t>IoT NTN</w:t>
      </w:r>
      <w:r w:rsidR="004C3B60" w:rsidRPr="00816979">
        <w:rPr>
          <w:szCs w:val="22"/>
          <w:lang w:val="en-US"/>
        </w:rPr>
        <w:t xml:space="preserve"> (NB-I</w:t>
      </w:r>
      <w:r w:rsidR="00B62239">
        <w:rPr>
          <w:szCs w:val="22"/>
          <w:lang w:val="en-US"/>
        </w:rPr>
        <w:t>o</w:t>
      </w:r>
      <w:r w:rsidR="004C3B60" w:rsidRPr="00816979">
        <w:rPr>
          <w:szCs w:val="22"/>
          <w:lang w:val="en-US"/>
        </w:rPr>
        <w:t>T</w:t>
      </w:r>
      <w:r w:rsidR="00AF3D02" w:rsidRPr="00816979">
        <w:rPr>
          <w:szCs w:val="22"/>
          <w:lang w:val="en-US"/>
        </w:rPr>
        <w:t xml:space="preserve"> and </w:t>
      </w:r>
      <w:proofErr w:type="spellStart"/>
      <w:r w:rsidR="00AF3D02" w:rsidRPr="00816979">
        <w:rPr>
          <w:szCs w:val="22"/>
          <w:lang w:val="en-US"/>
        </w:rPr>
        <w:t>eMTC</w:t>
      </w:r>
      <w:proofErr w:type="spellEnd"/>
      <w:r w:rsidR="004C3B60" w:rsidRPr="00816979">
        <w:rPr>
          <w:szCs w:val="22"/>
          <w:lang w:val="en-US"/>
        </w:rPr>
        <w:t>)</w:t>
      </w:r>
      <w:r w:rsidR="00AF3D02" w:rsidRPr="00816979">
        <w:rPr>
          <w:szCs w:val="22"/>
          <w:lang w:val="en-US"/>
        </w:rPr>
        <w:t xml:space="preserve">. </w:t>
      </w:r>
    </w:p>
    <w:p w14:paraId="7FF01256" w14:textId="77777777" w:rsidR="00DB70E2" w:rsidRDefault="00EF4DFB" w:rsidP="00C3625B">
      <w:pPr>
        <w:jc w:val="both"/>
        <w:rPr>
          <w:b/>
          <w:bCs/>
          <w:szCs w:val="22"/>
          <w:lang w:val="en-US"/>
        </w:rPr>
      </w:pPr>
      <w:r w:rsidRPr="00816979">
        <w:rPr>
          <w:b/>
          <w:bCs/>
          <w:szCs w:val="22"/>
          <w:lang w:val="en-US"/>
        </w:rPr>
        <w:t xml:space="preserve">Proposal </w:t>
      </w:r>
      <w:r w:rsidR="00E414F9" w:rsidRPr="00816979">
        <w:rPr>
          <w:b/>
          <w:bCs/>
          <w:szCs w:val="22"/>
          <w:lang w:val="en-US"/>
        </w:rPr>
        <w:t>2</w:t>
      </w:r>
      <w:r w:rsidRPr="00816979">
        <w:rPr>
          <w:b/>
          <w:bCs/>
          <w:szCs w:val="22"/>
          <w:lang w:val="en-US"/>
        </w:rPr>
        <w:t xml:space="preserve">: </w:t>
      </w:r>
    </w:p>
    <w:p w14:paraId="0158F711" w14:textId="7B6229F2" w:rsidR="00305070" w:rsidRPr="00816979" w:rsidRDefault="00816979" w:rsidP="00C3625B">
      <w:pPr>
        <w:jc w:val="both"/>
        <w:rPr>
          <w:szCs w:val="22"/>
          <w:lang w:val="en-US"/>
        </w:rPr>
      </w:pPr>
      <w:r w:rsidRPr="00816979">
        <w:t xml:space="preserve">Whether the indication of disablement of HARQ feedback for IoT NTN (NB-IoT and </w:t>
      </w:r>
      <w:proofErr w:type="spellStart"/>
      <w:r w:rsidRPr="00816979">
        <w:t>eMTC</w:t>
      </w:r>
      <w:proofErr w:type="spellEnd"/>
      <w:r w:rsidRPr="00816979">
        <w:t>) should be supported may be FFS</w:t>
      </w:r>
      <w:r>
        <w:t>.</w:t>
      </w:r>
    </w:p>
    <w:bookmarkEnd w:id="3"/>
    <w:p w14:paraId="639EC1DF" w14:textId="77777777" w:rsidR="00305070" w:rsidRDefault="00305070" w:rsidP="00C3625B">
      <w:pPr>
        <w:jc w:val="both"/>
        <w:rPr>
          <w:szCs w:val="22"/>
          <w:lang w:val="en-US"/>
        </w:rPr>
      </w:pPr>
    </w:p>
    <w:p w14:paraId="52C6D26E" w14:textId="53C346A5" w:rsidR="00C3625B" w:rsidRPr="00C3625B" w:rsidRDefault="00C3625B" w:rsidP="00AB42B8">
      <w:pPr>
        <w:pStyle w:val="ListParagraph"/>
        <w:ind w:left="0"/>
        <w:jc w:val="both"/>
        <w:rPr>
          <w:bCs/>
          <w:lang w:val="en-US"/>
        </w:rPr>
      </w:pPr>
    </w:p>
    <w:p w14:paraId="4B01475D" w14:textId="56CCDE22" w:rsidR="00BD6860" w:rsidRPr="00AB16BE" w:rsidRDefault="00146F58" w:rsidP="00BD6860">
      <w:pPr>
        <w:pStyle w:val="Heading1"/>
        <w:ind w:left="432" w:hanging="432"/>
      </w:pPr>
      <w:r>
        <w:t xml:space="preserve">3 </w:t>
      </w:r>
      <w:r w:rsidR="00BD6860" w:rsidRPr="00AB16BE">
        <w:t>Conclusions</w:t>
      </w:r>
    </w:p>
    <w:p w14:paraId="0601ED17" w14:textId="30D47F8A" w:rsidR="004C3B60" w:rsidRDefault="00BD6860" w:rsidP="00BD6860">
      <w:pPr>
        <w:jc w:val="both"/>
        <w:rPr>
          <w:lang w:eastAsia="zh-CN"/>
        </w:rPr>
      </w:pPr>
      <w:r w:rsidRPr="004F3F94">
        <w:rPr>
          <w:szCs w:val="22"/>
          <w:lang w:eastAsia="zh-CN"/>
        </w:rPr>
        <w:t xml:space="preserve">In this contribution, we </w:t>
      </w:r>
      <w:r w:rsidR="00C142EB">
        <w:rPr>
          <w:szCs w:val="22"/>
          <w:lang w:eastAsia="zh-CN"/>
        </w:rPr>
        <w:t>share</w:t>
      </w:r>
      <w:r w:rsidR="00305070">
        <w:rPr>
          <w:szCs w:val="22"/>
          <w:lang w:eastAsia="zh-CN"/>
        </w:rPr>
        <w:t>d</w:t>
      </w:r>
      <w:r w:rsidRPr="004F3F94">
        <w:rPr>
          <w:szCs w:val="22"/>
          <w:lang w:eastAsia="zh-CN"/>
        </w:rPr>
        <w:t xml:space="preserve"> our </w:t>
      </w:r>
      <w:r w:rsidR="00305070">
        <w:rPr>
          <w:szCs w:val="22"/>
          <w:lang w:eastAsia="zh-CN"/>
        </w:rPr>
        <w:t xml:space="preserve">observations and </w:t>
      </w:r>
      <w:r w:rsidR="008061D5" w:rsidRPr="00E561E2">
        <w:rPr>
          <w:lang w:eastAsia="zh-CN"/>
        </w:rPr>
        <w:t xml:space="preserve">considerations </w:t>
      </w:r>
      <w:r w:rsidR="00305070">
        <w:rPr>
          <w:lang w:eastAsia="zh-CN"/>
        </w:rPr>
        <w:t xml:space="preserve">for disablement of HARQ feedback for </w:t>
      </w:r>
      <w:r w:rsidR="003C1DFE">
        <w:rPr>
          <w:lang w:eastAsia="zh-CN"/>
        </w:rPr>
        <w:t>IoT NTN</w:t>
      </w:r>
      <w:r w:rsidR="00305070">
        <w:rPr>
          <w:lang w:eastAsia="zh-CN"/>
        </w:rPr>
        <w:t xml:space="preserve">. </w:t>
      </w:r>
    </w:p>
    <w:p w14:paraId="3F5F9244" w14:textId="77777777" w:rsidR="00816979" w:rsidRDefault="00816979" w:rsidP="00816979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 w:rsidRPr="00353CA3">
        <w:rPr>
          <w:b/>
          <w:lang w:val="en-US"/>
        </w:rPr>
        <w:t>Observation</w:t>
      </w:r>
      <w:r>
        <w:rPr>
          <w:b/>
          <w:lang w:val="en-US"/>
        </w:rPr>
        <w:t xml:space="preserve"> 1</w:t>
      </w:r>
      <w:r w:rsidRPr="00353CA3">
        <w:rPr>
          <w:b/>
          <w:lang w:val="en-US"/>
        </w:rPr>
        <w:t>:</w:t>
      </w:r>
      <w:r>
        <w:rPr>
          <w:bCs/>
          <w:lang w:val="en-US"/>
        </w:rPr>
        <w:t xml:space="preserve"> </w:t>
      </w:r>
    </w:p>
    <w:p w14:paraId="507B149E" w14:textId="77777777" w:rsidR="00816979" w:rsidRDefault="00816979" w:rsidP="00816979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</w:p>
    <w:p w14:paraId="1CD2CA0B" w14:textId="77777777" w:rsidR="00816979" w:rsidRPr="009C0FDA" w:rsidRDefault="00816979" w:rsidP="00816979">
      <w:pPr>
        <w:overflowPunct/>
        <w:autoSpaceDE/>
        <w:autoSpaceDN/>
        <w:snapToGrid w:val="0"/>
        <w:spacing w:after="0"/>
        <w:textAlignment w:val="auto"/>
        <w:rPr>
          <w:bCs/>
          <w:lang w:val="en-US"/>
        </w:rPr>
      </w:pPr>
      <w:r>
        <w:rPr>
          <w:bCs/>
          <w:lang w:val="en-US"/>
        </w:rPr>
        <w:t>Per-process HARQ-feedback disablement is agreed to for NR-NTN; HARQ-feedback-disablement for NR-NTN is not agreed. For, IoT NTN, no agreement has been reached for HARQ-feedback-disablement for Rel-18. Note that IoT NTN may only have a single HARQ-process. From the NR-NTN studies, it is logical that disablement of HARQ-feedback would also be beneficial for IoT NTN.</w:t>
      </w:r>
    </w:p>
    <w:p w14:paraId="645D2D83" w14:textId="77777777" w:rsidR="00816979" w:rsidRDefault="00816979" w:rsidP="00816979">
      <w:pPr>
        <w:jc w:val="both"/>
        <w:rPr>
          <w:b/>
          <w:bCs/>
          <w:szCs w:val="22"/>
          <w:lang w:val="en-US"/>
        </w:rPr>
      </w:pPr>
    </w:p>
    <w:p w14:paraId="79888C54" w14:textId="6A65F461" w:rsidR="00816979" w:rsidRDefault="00816979" w:rsidP="00816979">
      <w:pPr>
        <w:jc w:val="both"/>
        <w:rPr>
          <w:szCs w:val="22"/>
          <w:lang w:val="en-US"/>
        </w:rPr>
      </w:pPr>
      <w:r w:rsidRPr="00353CA3">
        <w:rPr>
          <w:b/>
          <w:bCs/>
          <w:szCs w:val="22"/>
          <w:lang w:val="en-US"/>
        </w:rPr>
        <w:t>Observation</w:t>
      </w:r>
      <w:r>
        <w:rPr>
          <w:b/>
          <w:bCs/>
          <w:szCs w:val="22"/>
          <w:lang w:val="en-US"/>
        </w:rPr>
        <w:t xml:space="preserve"> 2</w:t>
      </w:r>
      <w:r w:rsidRPr="00353CA3">
        <w:rPr>
          <w:b/>
          <w:bCs/>
          <w:szCs w:val="22"/>
          <w:lang w:val="en-US"/>
        </w:rPr>
        <w:t>:</w:t>
      </w:r>
      <w:r>
        <w:rPr>
          <w:szCs w:val="22"/>
          <w:lang w:val="en-US"/>
        </w:rPr>
        <w:t xml:space="preserve"> </w:t>
      </w:r>
      <w:r>
        <w:rPr>
          <w:bCs/>
        </w:rPr>
        <w:t>I</w:t>
      </w:r>
      <w:r>
        <w:rPr>
          <w:szCs w:val="22"/>
          <w:lang w:val="en-US"/>
        </w:rPr>
        <w:t>t should be possible to semi-statically enable/disable HARQ feedback by RRC signaling.</w:t>
      </w:r>
    </w:p>
    <w:p w14:paraId="067C6349" w14:textId="77777777" w:rsidR="00816979" w:rsidRDefault="00816979" w:rsidP="00816979">
      <w:pPr>
        <w:pStyle w:val="ListParagraph"/>
        <w:ind w:left="0"/>
        <w:jc w:val="both"/>
        <w:rPr>
          <w:bCs/>
        </w:rPr>
      </w:pPr>
      <w:r>
        <w:rPr>
          <w:bCs/>
        </w:rPr>
        <w:t xml:space="preserve">As the consideration for disablement of HARQ feedback is due in part to the significant RTD for the LEO (~28 </w:t>
      </w:r>
      <w:proofErr w:type="spellStart"/>
      <w:r>
        <w:rPr>
          <w:bCs/>
        </w:rPr>
        <w:t>ms</w:t>
      </w:r>
      <w:proofErr w:type="spellEnd"/>
      <w:r>
        <w:rPr>
          <w:bCs/>
        </w:rPr>
        <w:t xml:space="preserve">) and GEO satellite, it may be a consideration to only support the disablement of HARQ feedback for GEO due to it significantly larger RTD (545 </w:t>
      </w:r>
      <w:proofErr w:type="spellStart"/>
      <w:r>
        <w:rPr>
          <w:bCs/>
        </w:rPr>
        <w:t>ms</w:t>
      </w:r>
      <w:proofErr w:type="spellEnd"/>
      <w:r>
        <w:rPr>
          <w:bCs/>
        </w:rPr>
        <w:t xml:space="preserve">).  The performance of disablement of HARQ feedback for GEO was considered in [3] for Ka band.  In this </w:t>
      </w:r>
      <w:proofErr w:type="spellStart"/>
      <w:r>
        <w:rPr>
          <w:bCs/>
        </w:rPr>
        <w:t>TDoc</w:t>
      </w:r>
      <w:proofErr w:type="spellEnd"/>
      <w:r>
        <w:rPr>
          <w:bCs/>
        </w:rPr>
        <w:t>, they observed that GEO is dominated by a LOS channel, and the performance loss for a NLOS channel was significant. Therefore it can be observed that the disablement of HARQ feedback is mainly beneficial for GEO scenarios, with LOS channels.  Also as noted in [3] the target BLER for CQI feedback may need to be investigated if HARQ disablement for GEO is supported for IoT NTN.</w:t>
      </w:r>
    </w:p>
    <w:p w14:paraId="6CF9A93B" w14:textId="77777777" w:rsidR="00816979" w:rsidRDefault="00816979" w:rsidP="00816979">
      <w:pPr>
        <w:pStyle w:val="ListParagraph"/>
        <w:ind w:left="0"/>
        <w:jc w:val="both"/>
        <w:rPr>
          <w:bCs/>
        </w:rPr>
      </w:pPr>
    </w:p>
    <w:p w14:paraId="40DE21BD" w14:textId="77777777" w:rsidR="00816979" w:rsidRDefault="00816979" w:rsidP="00816979">
      <w:pPr>
        <w:pStyle w:val="ListParagraph"/>
        <w:ind w:left="0"/>
        <w:jc w:val="both"/>
        <w:rPr>
          <w:bCs/>
        </w:rPr>
      </w:pPr>
      <w:r w:rsidRPr="00353CA3">
        <w:rPr>
          <w:b/>
        </w:rPr>
        <w:t>Observation</w:t>
      </w:r>
      <w:r>
        <w:rPr>
          <w:b/>
        </w:rPr>
        <w:t xml:space="preserve"> 3</w:t>
      </w:r>
      <w:r w:rsidRPr="00353CA3">
        <w:rPr>
          <w:b/>
        </w:rPr>
        <w:t>:</w:t>
      </w:r>
      <w:r>
        <w:rPr>
          <w:bCs/>
        </w:rPr>
        <w:t xml:space="preserve"> The disablement of HARQ feedback is mainly beneficial for GEO scenarios.</w:t>
      </w:r>
    </w:p>
    <w:p w14:paraId="24C11951" w14:textId="77777777" w:rsidR="00816979" w:rsidRDefault="00816979" w:rsidP="00816979">
      <w:pPr>
        <w:pStyle w:val="ListParagraph"/>
        <w:ind w:left="0"/>
        <w:jc w:val="both"/>
        <w:rPr>
          <w:bCs/>
        </w:rPr>
      </w:pPr>
    </w:p>
    <w:p w14:paraId="1EF5011C" w14:textId="77777777" w:rsidR="00816979" w:rsidRDefault="00816979" w:rsidP="00816979">
      <w:pPr>
        <w:pStyle w:val="ListParagraph"/>
        <w:ind w:left="0"/>
        <w:jc w:val="both"/>
        <w:rPr>
          <w:bCs/>
        </w:rPr>
      </w:pPr>
      <w:r>
        <w:rPr>
          <w:bCs/>
        </w:rPr>
        <w:t>The assessment of whether to support disabling of HARQ feedback for IoT NTN would not be complete without noting that there was no consensus for this in RAN1#105-e.  While some of the consensus for this decision is noted in [6], we still feel that the disabling of HARQ feedback for IoT NTN is warranted for a GEO scenario. As noted in [5] there is the potential for a significant loss in throughput without the support of the disabling of HARQ feedback for IoT NTN. As a compromise [5] suggested the support of disabling of HARQ feedback for a single process for IoT NTN.</w:t>
      </w:r>
    </w:p>
    <w:p w14:paraId="383849FE" w14:textId="77777777" w:rsidR="00816979" w:rsidRDefault="00816979" w:rsidP="00816979">
      <w:pPr>
        <w:pStyle w:val="ListParagraph"/>
        <w:ind w:left="0"/>
        <w:jc w:val="both"/>
        <w:rPr>
          <w:bCs/>
        </w:rPr>
      </w:pPr>
    </w:p>
    <w:p w14:paraId="627B5F4D" w14:textId="77777777" w:rsidR="00816979" w:rsidRDefault="00816979" w:rsidP="00816979">
      <w:pPr>
        <w:pStyle w:val="ListParagraph"/>
        <w:ind w:left="0"/>
        <w:jc w:val="both"/>
        <w:rPr>
          <w:bCs/>
        </w:rPr>
      </w:pPr>
      <w:r w:rsidRPr="00454FA9">
        <w:rPr>
          <w:b/>
        </w:rPr>
        <w:t>Observation</w:t>
      </w:r>
      <w:r>
        <w:rPr>
          <w:b/>
        </w:rPr>
        <w:t xml:space="preserve"> 4</w:t>
      </w:r>
      <w:r w:rsidRPr="00454FA9">
        <w:rPr>
          <w:b/>
        </w:rPr>
        <w:t>:</w:t>
      </w:r>
      <w:r>
        <w:rPr>
          <w:bCs/>
        </w:rPr>
        <w:t xml:space="preserve"> </w:t>
      </w:r>
    </w:p>
    <w:p w14:paraId="3203F87F" w14:textId="77777777" w:rsidR="00816979" w:rsidRDefault="00816979" w:rsidP="00816979">
      <w:pPr>
        <w:pStyle w:val="ListParagraph"/>
        <w:ind w:left="0"/>
        <w:jc w:val="both"/>
        <w:rPr>
          <w:bCs/>
        </w:rPr>
      </w:pPr>
    </w:p>
    <w:p w14:paraId="5D60ECB6" w14:textId="77777777" w:rsidR="00816979" w:rsidRDefault="00816979" w:rsidP="00816979">
      <w:pPr>
        <w:pStyle w:val="ListParagraph"/>
        <w:ind w:left="0"/>
        <w:jc w:val="both"/>
        <w:rPr>
          <w:bCs/>
        </w:rPr>
      </w:pPr>
      <w:r>
        <w:rPr>
          <w:bCs/>
        </w:rPr>
        <w:t>The disablement of HARQ feedback may only support the disabling of HARQ feedback for a single process for IoT NTN.</w:t>
      </w:r>
    </w:p>
    <w:p w14:paraId="0B1BA1BD" w14:textId="12F14A13" w:rsidR="00BD6860" w:rsidRDefault="00305070" w:rsidP="00BD6860">
      <w:pPr>
        <w:jc w:val="both"/>
        <w:rPr>
          <w:szCs w:val="22"/>
          <w:lang w:eastAsia="zh-CN"/>
        </w:rPr>
      </w:pPr>
      <w:r>
        <w:rPr>
          <w:lang w:eastAsia="zh-CN"/>
        </w:rPr>
        <w:t xml:space="preserve">We provide the following proposals for consideration, </w:t>
      </w:r>
    </w:p>
    <w:p w14:paraId="42911AAE" w14:textId="77777777" w:rsidR="00DB70E2" w:rsidRDefault="00DB70E2" w:rsidP="00DB70E2">
      <w:pPr>
        <w:jc w:val="both"/>
        <w:rPr>
          <w:b/>
          <w:bCs/>
          <w:szCs w:val="22"/>
          <w:lang w:val="en-US"/>
        </w:rPr>
      </w:pPr>
      <w:r w:rsidRPr="00305070">
        <w:rPr>
          <w:b/>
          <w:bCs/>
          <w:szCs w:val="22"/>
          <w:lang w:val="en-US"/>
        </w:rPr>
        <w:t xml:space="preserve">Proposal 1: </w:t>
      </w:r>
    </w:p>
    <w:p w14:paraId="2781940C" w14:textId="57115E88" w:rsidR="00DB70E2" w:rsidRPr="00816979" w:rsidRDefault="00DB70E2" w:rsidP="00DB70E2">
      <w:pPr>
        <w:jc w:val="both"/>
        <w:rPr>
          <w:szCs w:val="22"/>
          <w:lang w:val="en-US"/>
        </w:rPr>
      </w:pPr>
      <w:r w:rsidRPr="00816979">
        <w:rPr>
          <w:szCs w:val="22"/>
          <w:lang w:val="en-US"/>
        </w:rPr>
        <w:t>Semi-Static disablement of HARQ feedback through RRC signaling should be supported for at least a single process for IoT NTN (NB-I</w:t>
      </w:r>
      <w:r w:rsidR="00B62239">
        <w:rPr>
          <w:szCs w:val="22"/>
          <w:lang w:val="en-US"/>
        </w:rPr>
        <w:t>o</w:t>
      </w:r>
      <w:r w:rsidRPr="00816979">
        <w:rPr>
          <w:szCs w:val="22"/>
          <w:lang w:val="en-US"/>
        </w:rPr>
        <w:t xml:space="preserve">T and </w:t>
      </w:r>
      <w:proofErr w:type="spellStart"/>
      <w:r w:rsidRPr="00816979">
        <w:rPr>
          <w:szCs w:val="22"/>
          <w:lang w:val="en-US"/>
        </w:rPr>
        <w:t>eMTC</w:t>
      </w:r>
      <w:proofErr w:type="spellEnd"/>
      <w:r w:rsidRPr="00816979">
        <w:rPr>
          <w:szCs w:val="22"/>
          <w:lang w:val="en-US"/>
        </w:rPr>
        <w:t xml:space="preserve">). </w:t>
      </w:r>
    </w:p>
    <w:p w14:paraId="0B7750C4" w14:textId="77777777" w:rsidR="00DB70E2" w:rsidRDefault="00DB70E2" w:rsidP="00DB70E2">
      <w:pPr>
        <w:jc w:val="both"/>
        <w:rPr>
          <w:b/>
          <w:bCs/>
          <w:szCs w:val="22"/>
          <w:lang w:val="en-US"/>
        </w:rPr>
      </w:pPr>
      <w:r w:rsidRPr="00816979">
        <w:rPr>
          <w:b/>
          <w:bCs/>
          <w:szCs w:val="22"/>
          <w:lang w:val="en-US"/>
        </w:rPr>
        <w:t xml:space="preserve">Proposal 2: </w:t>
      </w:r>
    </w:p>
    <w:p w14:paraId="311948C8" w14:textId="53B96C29" w:rsidR="00DB70E2" w:rsidRPr="00816979" w:rsidRDefault="00DB70E2" w:rsidP="00DB70E2">
      <w:pPr>
        <w:jc w:val="both"/>
        <w:rPr>
          <w:szCs w:val="22"/>
          <w:lang w:val="en-US"/>
        </w:rPr>
      </w:pPr>
      <w:r w:rsidRPr="00816979">
        <w:t xml:space="preserve">Whether the indication of disablement of HARQ feedback for IoT NTN (NB-IoT and </w:t>
      </w:r>
      <w:proofErr w:type="spellStart"/>
      <w:r w:rsidRPr="00816979">
        <w:t>eMTC</w:t>
      </w:r>
      <w:proofErr w:type="spellEnd"/>
      <w:r w:rsidRPr="00816979">
        <w:t>) should be supported may be FFS</w:t>
      </w:r>
      <w:r>
        <w:t>.</w:t>
      </w:r>
    </w:p>
    <w:p w14:paraId="6E622F4F" w14:textId="77777777" w:rsidR="0063286B" w:rsidRDefault="0063286B" w:rsidP="0063286B">
      <w:pPr>
        <w:pStyle w:val="BodyText"/>
        <w:spacing w:after="180"/>
        <w:ind w:firstLine="0"/>
        <w:rPr>
          <w:b/>
        </w:rPr>
      </w:pPr>
    </w:p>
    <w:p w14:paraId="50B8C15D" w14:textId="7BA31975" w:rsidR="00BD6860" w:rsidRPr="00253088" w:rsidRDefault="00BD6860" w:rsidP="0063286B">
      <w:pPr>
        <w:pStyle w:val="BodyText"/>
        <w:spacing w:after="180"/>
        <w:ind w:firstLine="0"/>
        <w:rPr>
          <w:b/>
          <w:bCs/>
        </w:rPr>
      </w:pPr>
      <w:r w:rsidRPr="00253088">
        <w:rPr>
          <w:rFonts w:cs="Arial"/>
          <w:b/>
          <w:bCs/>
        </w:rPr>
        <w:t>References</w:t>
      </w:r>
    </w:p>
    <w:p w14:paraId="1295DE4F" w14:textId="3FD33CE2" w:rsidR="001B479D" w:rsidRDefault="001B479D" w:rsidP="001B479D">
      <w:pPr>
        <w:pStyle w:val="NormalWeb"/>
        <w:numPr>
          <w:ilvl w:val="0"/>
          <w:numId w:val="2"/>
        </w:numPr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4" w:name="_Ref508869"/>
      <w:r>
        <w:rPr>
          <w:sz w:val="22"/>
          <w:szCs w:val="22"/>
          <w:lang w:val="en-US"/>
        </w:rPr>
        <w:t xml:space="preserve">R1-220XXX, “Draft agenda …”, </w:t>
      </w:r>
      <w:r w:rsidRPr="001B479D">
        <w:rPr>
          <w:sz w:val="22"/>
          <w:szCs w:val="22"/>
          <w:lang w:val="en-US"/>
        </w:rPr>
        <w:t>3GPP TSG RAN WG1 #109-e</w:t>
      </w:r>
      <w:r>
        <w:rPr>
          <w:sz w:val="22"/>
          <w:szCs w:val="22"/>
          <w:lang w:val="en-US"/>
        </w:rPr>
        <w:t xml:space="preserve">. </w:t>
      </w:r>
      <w:r w:rsidRPr="001B479D">
        <w:rPr>
          <w:sz w:val="22"/>
          <w:szCs w:val="22"/>
          <w:lang w:val="en-US"/>
        </w:rPr>
        <w:t>e-Meeting, May 9th – 20th, 2022</w:t>
      </w:r>
    </w:p>
    <w:p w14:paraId="6ECD70BD" w14:textId="08C4BA34" w:rsidR="001B479D" w:rsidRPr="00302619" w:rsidRDefault="00302619" w:rsidP="00302619">
      <w:pPr>
        <w:pStyle w:val="NormalWeb"/>
        <w:numPr>
          <w:ilvl w:val="0"/>
          <w:numId w:val="2"/>
        </w:numPr>
        <w:tabs>
          <w:tab w:val="clear" w:pos="360"/>
        </w:tabs>
        <w:spacing w:after="120"/>
        <w:jc w:val="both"/>
        <w:rPr>
          <w:sz w:val="22"/>
          <w:szCs w:val="22"/>
          <w:lang w:val="en-US"/>
        </w:rPr>
      </w:pPr>
      <w:r w:rsidRPr="00302619">
        <w:rPr>
          <w:sz w:val="22"/>
          <w:szCs w:val="22"/>
          <w:lang w:val="en-US"/>
        </w:rPr>
        <w:lastRenderedPageBreak/>
        <w:t>R1-19060883</w:t>
      </w:r>
      <w:r>
        <w:rPr>
          <w:sz w:val="22"/>
          <w:szCs w:val="22"/>
          <w:lang w:val="en-US"/>
        </w:rPr>
        <w:t xml:space="preserve">, “Consideration on HARQ for NTN,”  Nokia, </w:t>
      </w:r>
      <w:r w:rsidRPr="00302619">
        <w:rPr>
          <w:sz w:val="22"/>
          <w:szCs w:val="22"/>
          <w:lang w:val="en-US"/>
        </w:rPr>
        <w:t>RAN1 Meeting #97</w:t>
      </w:r>
      <w:r>
        <w:rPr>
          <w:sz w:val="22"/>
          <w:szCs w:val="22"/>
          <w:lang w:val="en-US"/>
        </w:rPr>
        <w:t xml:space="preserve">, </w:t>
      </w:r>
      <w:r w:rsidRPr="00302619">
        <w:rPr>
          <w:sz w:val="22"/>
          <w:szCs w:val="22"/>
          <w:lang w:val="en-US"/>
        </w:rPr>
        <w:t>Reno, USA, May 13th – 17th, 2019</w:t>
      </w:r>
    </w:p>
    <w:p w14:paraId="55FACE60" w14:textId="75479929" w:rsidR="001B479D" w:rsidRDefault="00FC5F42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R1-2005321, “Discussion on HARQ for NTN, “ </w:t>
      </w:r>
      <w:proofErr w:type="spellStart"/>
      <w:r>
        <w:rPr>
          <w:sz w:val="22"/>
          <w:szCs w:val="22"/>
          <w:lang w:val="en-US"/>
        </w:rPr>
        <w:t>Normor</w:t>
      </w:r>
      <w:proofErr w:type="spellEnd"/>
      <w:r>
        <w:rPr>
          <w:sz w:val="22"/>
          <w:szCs w:val="22"/>
          <w:lang w:val="en-US"/>
        </w:rPr>
        <w:t xml:space="preserve"> Research GmbH, Thales, TSG RAN1#102-e, August, 2020</w:t>
      </w:r>
    </w:p>
    <w:p w14:paraId="0495E6E8" w14:textId="47C870F2" w:rsidR="00BD6860" w:rsidRDefault="00BD6860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bookmarkStart w:id="5" w:name="_Ref511881"/>
      <w:bookmarkEnd w:id="4"/>
      <w:r>
        <w:rPr>
          <w:sz w:val="22"/>
          <w:szCs w:val="22"/>
          <w:lang w:val="en-US"/>
        </w:rPr>
        <w:t>TR 38.821, “Solutions on NR to support non-terrestrial networks”, 3GPP.</w:t>
      </w:r>
      <w:bookmarkEnd w:id="5"/>
    </w:p>
    <w:p w14:paraId="6FA1D8FD" w14:textId="33666E68" w:rsidR="00F66422" w:rsidRDefault="00F66422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r w:rsidRPr="00F66422">
        <w:rPr>
          <w:sz w:val="22"/>
          <w:szCs w:val="22"/>
          <w:lang w:val="en-US"/>
        </w:rPr>
        <w:t xml:space="preserve">R1-2014825, “Enhancements on HARQ, “, </w:t>
      </w:r>
      <w:r>
        <w:rPr>
          <w:sz w:val="22"/>
          <w:szCs w:val="22"/>
          <w:lang w:val="en-US"/>
        </w:rPr>
        <w:t xml:space="preserve">Qualcomm, </w:t>
      </w:r>
      <w:r w:rsidRPr="00F66422">
        <w:rPr>
          <w:sz w:val="22"/>
          <w:szCs w:val="22"/>
          <w:lang w:val="en-US"/>
        </w:rPr>
        <w:t>3GPP T</w:t>
      </w:r>
      <w:r w:rsidRPr="00353CA3">
        <w:rPr>
          <w:sz w:val="22"/>
          <w:szCs w:val="22"/>
          <w:lang w:val="en-US"/>
        </w:rPr>
        <w:t>SG RAN WG1 #105-e, May</w:t>
      </w:r>
      <w:r>
        <w:rPr>
          <w:sz w:val="22"/>
          <w:szCs w:val="22"/>
          <w:lang w:val="en-US"/>
        </w:rPr>
        <w:t xml:space="preserve"> 10th – 27th, 2021</w:t>
      </w:r>
    </w:p>
    <w:p w14:paraId="3DBEEEFB" w14:textId="38C8CC94" w:rsidR="00F66422" w:rsidRPr="00F66422" w:rsidRDefault="00F66422" w:rsidP="007427C4">
      <w:pPr>
        <w:pStyle w:val="NormalWeb"/>
        <w:numPr>
          <w:ilvl w:val="0"/>
          <w:numId w:val="2"/>
        </w:numPr>
        <w:tabs>
          <w:tab w:val="clear" w:pos="360"/>
          <w:tab w:val="num" w:pos="426"/>
        </w:tabs>
        <w:spacing w:before="0" w:beforeAutospacing="0" w:after="120" w:afterAutospacing="0"/>
        <w:ind w:left="426" w:hanging="426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R1-2104817, “On HARQ enhancements for </w:t>
      </w:r>
      <w:r w:rsidR="003C1DFE">
        <w:rPr>
          <w:sz w:val="22"/>
          <w:szCs w:val="22"/>
          <w:lang w:val="en-US"/>
        </w:rPr>
        <w:t>IoT NTN</w:t>
      </w:r>
      <w:r>
        <w:rPr>
          <w:sz w:val="22"/>
          <w:szCs w:val="22"/>
          <w:lang w:val="en-US"/>
        </w:rPr>
        <w:t>, “ Ericsson, 3GPP TDG RAN WG1 #105-e, May 10th – 27th, 2021</w:t>
      </w:r>
    </w:p>
    <w:sectPr w:rsidR="00F66422" w:rsidRPr="00F66422" w:rsidSect="0086170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E6B98" w14:textId="77777777" w:rsidR="00E21FBD" w:rsidRDefault="00E21FBD" w:rsidP="00B8014C">
      <w:pPr>
        <w:spacing w:after="0"/>
      </w:pPr>
      <w:r>
        <w:separator/>
      </w:r>
    </w:p>
  </w:endnote>
  <w:endnote w:type="continuationSeparator" w:id="0">
    <w:p w14:paraId="4DE4E2E9" w14:textId="77777777" w:rsidR="00E21FBD" w:rsidRDefault="00E21FBD" w:rsidP="00B8014C">
      <w:pPr>
        <w:spacing w:after="0"/>
      </w:pPr>
      <w:r>
        <w:continuationSeparator/>
      </w:r>
    </w:p>
  </w:endnote>
  <w:endnote w:type="continuationNotice" w:id="1">
    <w:p w14:paraId="561DD5D4" w14:textId="77777777" w:rsidR="00E21FBD" w:rsidRDefault="00E21FB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BCBA3" w14:textId="77777777" w:rsidR="00F709EA" w:rsidRDefault="00F709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64681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D7B4B" w14:textId="48F54F5B" w:rsidR="00F92F55" w:rsidRDefault="00F92F5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05A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 w:rsidR="004B71BB">
          <w:rPr>
            <w:noProof/>
          </w:rPr>
          <w:t>4</w:t>
        </w:r>
      </w:p>
    </w:sdtContent>
  </w:sdt>
  <w:p w14:paraId="70C6341D" w14:textId="77777777" w:rsidR="00F92F55" w:rsidRDefault="00F92F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C0F391" w14:textId="77777777" w:rsidR="00F709EA" w:rsidRDefault="00F70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EB4B" w14:textId="77777777" w:rsidR="00E21FBD" w:rsidRDefault="00E21FBD" w:rsidP="00B8014C">
      <w:pPr>
        <w:spacing w:after="0"/>
      </w:pPr>
      <w:r>
        <w:separator/>
      </w:r>
    </w:p>
  </w:footnote>
  <w:footnote w:type="continuationSeparator" w:id="0">
    <w:p w14:paraId="190DB11E" w14:textId="77777777" w:rsidR="00E21FBD" w:rsidRDefault="00E21FBD" w:rsidP="00B8014C">
      <w:pPr>
        <w:spacing w:after="0"/>
      </w:pPr>
      <w:r>
        <w:continuationSeparator/>
      </w:r>
    </w:p>
  </w:footnote>
  <w:footnote w:type="continuationNotice" w:id="1">
    <w:p w14:paraId="57EACCBD" w14:textId="77777777" w:rsidR="00E21FBD" w:rsidRDefault="00E21FB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DF6A" w14:textId="77777777" w:rsidR="00F709EA" w:rsidRDefault="00F709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04269" w14:textId="77777777" w:rsidR="00F709EA" w:rsidRDefault="00F709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22854" w14:textId="77777777" w:rsidR="00F709EA" w:rsidRDefault="00F709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65DDE"/>
    <w:multiLevelType w:val="hybridMultilevel"/>
    <w:tmpl w:val="9D9270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74B68"/>
    <w:multiLevelType w:val="hybridMultilevel"/>
    <w:tmpl w:val="2B746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36698"/>
    <w:multiLevelType w:val="multilevel"/>
    <w:tmpl w:val="6A024B68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620" w:hanging="42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7C143CE"/>
    <w:multiLevelType w:val="multilevel"/>
    <w:tmpl w:val="0ADCDBD6"/>
    <w:lvl w:ilvl="0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6510384"/>
    <w:multiLevelType w:val="hybridMultilevel"/>
    <w:tmpl w:val="E19CD2A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3E86126"/>
    <w:multiLevelType w:val="hybridMultilevel"/>
    <w:tmpl w:val="11AA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A86878"/>
    <w:multiLevelType w:val="hybridMultilevel"/>
    <w:tmpl w:val="1B8896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175871"/>
    <w:multiLevelType w:val="hybridMultilevel"/>
    <w:tmpl w:val="78167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3519C"/>
    <w:multiLevelType w:val="hybridMultilevel"/>
    <w:tmpl w:val="E400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E1036"/>
    <w:multiLevelType w:val="hybridMultilevel"/>
    <w:tmpl w:val="D0109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F45471"/>
    <w:multiLevelType w:val="multilevel"/>
    <w:tmpl w:val="5FF454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60609"/>
    <w:multiLevelType w:val="hybridMultilevel"/>
    <w:tmpl w:val="59266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FF1135"/>
    <w:multiLevelType w:val="hybridMultilevel"/>
    <w:tmpl w:val="B4A4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A21F65"/>
    <w:multiLevelType w:val="hybridMultilevel"/>
    <w:tmpl w:val="3ABA4710"/>
    <w:lvl w:ilvl="0" w:tplc="0CB03FF8">
      <w:numFmt w:val="bullet"/>
      <w:lvlText w:val="•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5"/>
  </w:num>
  <w:num w:numId="5">
    <w:abstractNumId w:val="6"/>
  </w:num>
  <w:num w:numId="6">
    <w:abstractNumId w:val="10"/>
  </w:num>
  <w:num w:numId="7">
    <w:abstractNumId w:val="7"/>
  </w:num>
  <w:num w:numId="8">
    <w:abstractNumId w:val="12"/>
  </w:num>
  <w:num w:numId="9">
    <w:abstractNumId w:val="3"/>
  </w:num>
  <w:num w:numId="10">
    <w:abstractNumId w:val="2"/>
  </w:num>
  <w:num w:numId="11">
    <w:abstractNumId w:val="11"/>
  </w:num>
  <w:num w:numId="12">
    <w:abstractNumId w:val="9"/>
  </w:num>
  <w:num w:numId="13">
    <w:abstractNumId w:val="1"/>
  </w:num>
  <w:num w:numId="14">
    <w:abstractNumId w:val="0"/>
  </w:num>
  <w:num w:numId="15">
    <w:abstractNumId w:val="13"/>
  </w:num>
  <w:num w:numId="16">
    <w:abstractNumId w:val="4"/>
  </w:num>
  <w:num w:numId="1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03C"/>
    <w:rsid w:val="000014E2"/>
    <w:rsid w:val="00001A7A"/>
    <w:rsid w:val="000025DF"/>
    <w:rsid w:val="000033E8"/>
    <w:rsid w:val="00003642"/>
    <w:rsid w:val="00003E71"/>
    <w:rsid w:val="00004DC7"/>
    <w:rsid w:val="00005019"/>
    <w:rsid w:val="00005C78"/>
    <w:rsid w:val="00006193"/>
    <w:rsid w:val="0000659F"/>
    <w:rsid w:val="0000733F"/>
    <w:rsid w:val="000077FF"/>
    <w:rsid w:val="00007E84"/>
    <w:rsid w:val="000105D8"/>
    <w:rsid w:val="000108E8"/>
    <w:rsid w:val="000108EC"/>
    <w:rsid w:val="00010D39"/>
    <w:rsid w:val="0001133B"/>
    <w:rsid w:val="00011548"/>
    <w:rsid w:val="00011833"/>
    <w:rsid w:val="00011BC9"/>
    <w:rsid w:val="00012D66"/>
    <w:rsid w:val="0001313D"/>
    <w:rsid w:val="000131A8"/>
    <w:rsid w:val="0001349F"/>
    <w:rsid w:val="00013B4D"/>
    <w:rsid w:val="000164AA"/>
    <w:rsid w:val="0001677D"/>
    <w:rsid w:val="000173AB"/>
    <w:rsid w:val="00017A7E"/>
    <w:rsid w:val="00017AD6"/>
    <w:rsid w:val="00020AD3"/>
    <w:rsid w:val="00020F4D"/>
    <w:rsid w:val="0002105D"/>
    <w:rsid w:val="00021690"/>
    <w:rsid w:val="00021FCA"/>
    <w:rsid w:val="00022B21"/>
    <w:rsid w:val="00022E4D"/>
    <w:rsid w:val="00022E67"/>
    <w:rsid w:val="00022F17"/>
    <w:rsid w:val="00023423"/>
    <w:rsid w:val="00023507"/>
    <w:rsid w:val="00023EF6"/>
    <w:rsid w:val="00024122"/>
    <w:rsid w:val="00024264"/>
    <w:rsid w:val="00024644"/>
    <w:rsid w:val="000250BF"/>
    <w:rsid w:val="0002525E"/>
    <w:rsid w:val="00025683"/>
    <w:rsid w:val="000262EE"/>
    <w:rsid w:val="00026FAF"/>
    <w:rsid w:val="00027E02"/>
    <w:rsid w:val="0003031E"/>
    <w:rsid w:val="00030469"/>
    <w:rsid w:val="00030942"/>
    <w:rsid w:val="00030C85"/>
    <w:rsid w:val="00030E10"/>
    <w:rsid w:val="00030E2A"/>
    <w:rsid w:val="00031893"/>
    <w:rsid w:val="00031CFD"/>
    <w:rsid w:val="00031E1B"/>
    <w:rsid w:val="00032392"/>
    <w:rsid w:val="00032B93"/>
    <w:rsid w:val="00032CFA"/>
    <w:rsid w:val="0003303A"/>
    <w:rsid w:val="0003346E"/>
    <w:rsid w:val="000334CD"/>
    <w:rsid w:val="00034368"/>
    <w:rsid w:val="0003436A"/>
    <w:rsid w:val="0003456E"/>
    <w:rsid w:val="0003502C"/>
    <w:rsid w:val="000350FF"/>
    <w:rsid w:val="00036A8A"/>
    <w:rsid w:val="00037C08"/>
    <w:rsid w:val="00037F58"/>
    <w:rsid w:val="00040360"/>
    <w:rsid w:val="000404FD"/>
    <w:rsid w:val="000409FD"/>
    <w:rsid w:val="00042291"/>
    <w:rsid w:val="000423E0"/>
    <w:rsid w:val="000423F4"/>
    <w:rsid w:val="000427E3"/>
    <w:rsid w:val="00042AED"/>
    <w:rsid w:val="00042D7F"/>
    <w:rsid w:val="0004351B"/>
    <w:rsid w:val="00043EEE"/>
    <w:rsid w:val="00044311"/>
    <w:rsid w:val="0004437E"/>
    <w:rsid w:val="0004450D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613"/>
    <w:rsid w:val="000537A1"/>
    <w:rsid w:val="00053B05"/>
    <w:rsid w:val="000542F4"/>
    <w:rsid w:val="000546B4"/>
    <w:rsid w:val="000549A9"/>
    <w:rsid w:val="00054A4C"/>
    <w:rsid w:val="0005604C"/>
    <w:rsid w:val="000561BD"/>
    <w:rsid w:val="00056CD4"/>
    <w:rsid w:val="000578F2"/>
    <w:rsid w:val="00060231"/>
    <w:rsid w:val="00060683"/>
    <w:rsid w:val="00060D07"/>
    <w:rsid w:val="00061679"/>
    <w:rsid w:val="00061761"/>
    <w:rsid w:val="00062186"/>
    <w:rsid w:val="00062B0E"/>
    <w:rsid w:val="000630DF"/>
    <w:rsid w:val="00063708"/>
    <w:rsid w:val="000637B6"/>
    <w:rsid w:val="00064ACD"/>
    <w:rsid w:val="00064CD3"/>
    <w:rsid w:val="0006701F"/>
    <w:rsid w:val="00067256"/>
    <w:rsid w:val="00067789"/>
    <w:rsid w:val="000704E8"/>
    <w:rsid w:val="00070570"/>
    <w:rsid w:val="000708A7"/>
    <w:rsid w:val="00071669"/>
    <w:rsid w:val="00071761"/>
    <w:rsid w:val="000720C2"/>
    <w:rsid w:val="000721D3"/>
    <w:rsid w:val="00072E78"/>
    <w:rsid w:val="0007302E"/>
    <w:rsid w:val="00073412"/>
    <w:rsid w:val="00073767"/>
    <w:rsid w:val="000738B0"/>
    <w:rsid w:val="00073911"/>
    <w:rsid w:val="0007405A"/>
    <w:rsid w:val="00074205"/>
    <w:rsid w:val="00074DF3"/>
    <w:rsid w:val="000750CA"/>
    <w:rsid w:val="000758C4"/>
    <w:rsid w:val="00075A9A"/>
    <w:rsid w:val="00075F0C"/>
    <w:rsid w:val="0007637F"/>
    <w:rsid w:val="00076AC6"/>
    <w:rsid w:val="00076F7B"/>
    <w:rsid w:val="00077074"/>
    <w:rsid w:val="00077276"/>
    <w:rsid w:val="00077522"/>
    <w:rsid w:val="00077F70"/>
    <w:rsid w:val="00077F75"/>
    <w:rsid w:val="00080127"/>
    <w:rsid w:val="0008033D"/>
    <w:rsid w:val="00081476"/>
    <w:rsid w:val="00081A9F"/>
    <w:rsid w:val="00081EC9"/>
    <w:rsid w:val="00082293"/>
    <w:rsid w:val="00082747"/>
    <w:rsid w:val="00083128"/>
    <w:rsid w:val="00083379"/>
    <w:rsid w:val="00083C41"/>
    <w:rsid w:val="00084D73"/>
    <w:rsid w:val="00085A90"/>
    <w:rsid w:val="00085B77"/>
    <w:rsid w:val="00085CC2"/>
    <w:rsid w:val="0008610B"/>
    <w:rsid w:val="00086427"/>
    <w:rsid w:val="000867E0"/>
    <w:rsid w:val="00086864"/>
    <w:rsid w:val="00087256"/>
    <w:rsid w:val="0008739A"/>
    <w:rsid w:val="000878F2"/>
    <w:rsid w:val="00087C38"/>
    <w:rsid w:val="00087CF8"/>
    <w:rsid w:val="00087FC5"/>
    <w:rsid w:val="00090715"/>
    <w:rsid w:val="0009181B"/>
    <w:rsid w:val="000919AC"/>
    <w:rsid w:val="00091FF7"/>
    <w:rsid w:val="00092375"/>
    <w:rsid w:val="00092550"/>
    <w:rsid w:val="000932F8"/>
    <w:rsid w:val="00093AAD"/>
    <w:rsid w:val="00093CFA"/>
    <w:rsid w:val="00093FAE"/>
    <w:rsid w:val="00094FB4"/>
    <w:rsid w:val="00095D59"/>
    <w:rsid w:val="000960E0"/>
    <w:rsid w:val="0009726B"/>
    <w:rsid w:val="000975C1"/>
    <w:rsid w:val="00097D30"/>
    <w:rsid w:val="000A07B0"/>
    <w:rsid w:val="000A13E4"/>
    <w:rsid w:val="000A143F"/>
    <w:rsid w:val="000A1552"/>
    <w:rsid w:val="000A1810"/>
    <w:rsid w:val="000A18D4"/>
    <w:rsid w:val="000A1A4F"/>
    <w:rsid w:val="000A1E90"/>
    <w:rsid w:val="000A409A"/>
    <w:rsid w:val="000A5193"/>
    <w:rsid w:val="000A53F0"/>
    <w:rsid w:val="000A6750"/>
    <w:rsid w:val="000A69F6"/>
    <w:rsid w:val="000A76F9"/>
    <w:rsid w:val="000A7A01"/>
    <w:rsid w:val="000A7A44"/>
    <w:rsid w:val="000A7E4E"/>
    <w:rsid w:val="000B01D7"/>
    <w:rsid w:val="000B0FF3"/>
    <w:rsid w:val="000B16D4"/>
    <w:rsid w:val="000B1B47"/>
    <w:rsid w:val="000B1F21"/>
    <w:rsid w:val="000B2082"/>
    <w:rsid w:val="000B2B64"/>
    <w:rsid w:val="000B3307"/>
    <w:rsid w:val="000B3C37"/>
    <w:rsid w:val="000B47B6"/>
    <w:rsid w:val="000B4A4E"/>
    <w:rsid w:val="000B5AF4"/>
    <w:rsid w:val="000B5EB9"/>
    <w:rsid w:val="000B6513"/>
    <w:rsid w:val="000B6B95"/>
    <w:rsid w:val="000B6D8C"/>
    <w:rsid w:val="000B75B5"/>
    <w:rsid w:val="000B7660"/>
    <w:rsid w:val="000C07EB"/>
    <w:rsid w:val="000C1436"/>
    <w:rsid w:val="000C1781"/>
    <w:rsid w:val="000C1877"/>
    <w:rsid w:val="000C1A8B"/>
    <w:rsid w:val="000C1D7E"/>
    <w:rsid w:val="000C223E"/>
    <w:rsid w:val="000C244F"/>
    <w:rsid w:val="000C245B"/>
    <w:rsid w:val="000C3D1A"/>
    <w:rsid w:val="000C4714"/>
    <w:rsid w:val="000C5736"/>
    <w:rsid w:val="000C5FC8"/>
    <w:rsid w:val="000C7144"/>
    <w:rsid w:val="000D018E"/>
    <w:rsid w:val="000D194F"/>
    <w:rsid w:val="000D1B86"/>
    <w:rsid w:val="000D1FC2"/>
    <w:rsid w:val="000D2AED"/>
    <w:rsid w:val="000D3298"/>
    <w:rsid w:val="000D356E"/>
    <w:rsid w:val="000D3686"/>
    <w:rsid w:val="000D395D"/>
    <w:rsid w:val="000D3AEA"/>
    <w:rsid w:val="000D436A"/>
    <w:rsid w:val="000D443E"/>
    <w:rsid w:val="000D44D3"/>
    <w:rsid w:val="000D47BB"/>
    <w:rsid w:val="000D4C89"/>
    <w:rsid w:val="000D53E6"/>
    <w:rsid w:val="000D54FC"/>
    <w:rsid w:val="000D582C"/>
    <w:rsid w:val="000D5F90"/>
    <w:rsid w:val="000D5FF3"/>
    <w:rsid w:val="000D6B80"/>
    <w:rsid w:val="000D6D54"/>
    <w:rsid w:val="000D6F90"/>
    <w:rsid w:val="000D72B8"/>
    <w:rsid w:val="000D7540"/>
    <w:rsid w:val="000D7882"/>
    <w:rsid w:val="000E03FE"/>
    <w:rsid w:val="000E0C56"/>
    <w:rsid w:val="000E18C2"/>
    <w:rsid w:val="000E1D44"/>
    <w:rsid w:val="000E286D"/>
    <w:rsid w:val="000E295B"/>
    <w:rsid w:val="000E3FF1"/>
    <w:rsid w:val="000E5CC5"/>
    <w:rsid w:val="000E5CCC"/>
    <w:rsid w:val="000E5F5B"/>
    <w:rsid w:val="000E6F88"/>
    <w:rsid w:val="000F07DF"/>
    <w:rsid w:val="000F2564"/>
    <w:rsid w:val="000F2A02"/>
    <w:rsid w:val="000F2CFF"/>
    <w:rsid w:val="000F2FE2"/>
    <w:rsid w:val="000F3069"/>
    <w:rsid w:val="000F31C7"/>
    <w:rsid w:val="000F3848"/>
    <w:rsid w:val="000F4119"/>
    <w:rsid w:val="000F4141"/>
    <w:rsid w:val="000F4C3F"/>
    <w:rsid w:val="000F4D49"/>
    <w:rsid w:val="000F4FE7"/>
    <w:rsid w:val="000F5522"/>
    <w:rsid w:val="000F5A22"/>
    <w:rsid w:val="000F5CAA"/>
    <w:rsid w:val="000F5E98"/>
    <w:rsid w:val="000F622F"/>
    <w:rsid w:val="000F6832"/>
    <w:rsid w:val="000F694A"/>
    <w:rsid w:val="000F72EE"/>
    <w:rsid w:val="000F7536"/>
    <w:rsid w:val="000F7C19"/>
    <w:rsid w:val="000F7F40"/>
    <w:rsid w:val="0010100A"/>
    <w:rsid w:val="00101032"/>
    <w:rsid w:val="00101540"/>
    <w:rsid w:val="00101A41"/>
    <w:rsid w:val="00101CA1"/>
    <w:rsid w:val="00101D65"/>
    <w:rsid w:val="00102C1D"/>
    <w:rsid w:val="00103518"/>
    <w:rsid w:val="001035AA"/>
    <w:rsid w:val="00103C7E"/>
    <w:rsid w:val="00103D4B"/>
    <w:rsid w:val="00103F66"/>
    <w:rsid w:val="00104424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6A"/>
    <w:rsid w:val="001107CB"/>
    <w:rsid w:val="00111072"/>
    <w:rsid w:val="00111BD5"/>
    <w:rsid w:val="00111BE9"/>
    <w:rsid w:val="00112AFB"/>
    <w:rsid w:val="00113A99"/>
    <w:rsid w:val="00113B71"/>
    <w:rsid w:val="00113D6C"/>
    <w:rsid w:val="00114227"/>
    <w:rsid w:val="0011439F"/>
    <w:rsid w:val="0011448F"/>
    <w:rsid w:val="00114B3D"/>
    <w:rsid w:val="00114E6B"/>
    <w:rsid w:val="00115655"/>
    <w:rsid w:val="00115B3F"/>
    <w:rsid w:val="0011682D"/>
    <w:rsid w:val="00116AB7"/>
    <w:rsid w:val="0012022F"/>
    <w:rsid w:val="00121776"/>
    <w:rsid w:val="00122309"/>
    <w:rsid w:val="001225E6"/>
    <w:rsid w:val="00122CF6"/>
    <w:rsid w:val="00122ECA"/>
    <w:rsid w:val="001233E4"/>
    <w:rsid w:val="00123606"/>
    <w:rsid w:val="001239A9"/>
    <w:rsid w:val="0012460F"/>
    <w:rsid w:val="00126047"/>
    <w:rsid w:val="001269E9"/>
    <w:rsid w:val="0012712B"/>
    <w:rsid w:val="00127521"/>
    <w:rsid w:val="001308C0"/>
    <w:rsid w:val="00130F0E"/>
    <w:rsid w:val="001312A4"/>
    <w:rsid w:val="00131D9F"/>
    <w:rsid w:val="0013279A"/>
    <w:rsid w:val="001327FE"/>
    <w:rsid w:val="00132DD1"/>
    <w:rsid w:val="00133092"/>
    <w:rsid w:val="00133149"/>
    <w:rsid w:val="0013316A"/>
    <w:rsid w:val="00133DFD"/>
    <w:rsid w:val="00134A4F"/>
    <w:rsid w:val="00134ABB"/>
    <w:rsid w:val="0013539A"/>
    <w:rsid w:val="001359B9"/>
    <w:rsid w:val="00136B20"/>
    <w:rsid w:val="00136E46"/>
    <w:rsid w:val="00137415"/>
    <w:rsid w:val="00137A2B"/>
    <w:rsid w:val="00140F3D"/>
    <w:rsid w:val="00140FCF"/>
    <w:rsid w:val="00141979"/>
    <w:rsid w:val="00141C05"/>
    <w:rsid w:val="001421B5"/>
    <w:rsid w:val="00142D8E"/>
    <w:rsid w:val="001430D2"/>
    <w:rsid w:val="00143525"/>
    <w:rsid w:val="00144020"/>
    <w:rsid w:val="00145CFD"/>
    <w:rsid w:val="001469B3"/>
    <w:rsid w:val="00146F58"/>
    <w:rsid w:val="00150E82"/>
    <w:rsid w:val="0015140E"/>
    <w:rsid w:val="00151B08"/>
    <w:rsid w:val="00152061"/>
    <w:rsid w:val="00152868"/>
    <w:rsid w:val="00152915"/>
    <w:rsid w:val="00152A5B"/>
    <w:rsid w:val="00153BEF"/>
    <w:rsid w:val="00153F7C"/>
    <w:rsid w:val="00154098"/>
    <w:rsid w:val="00154554"/>
    <w:rsid w:val="001554F2"/>
    <w:rsid w:val="00155800"/>
    <w:rsid w:val="00155902"/>
    <w:rsid w:val="00155A1F"/>
    <w:rsid w:val="00155AC6"/>
    <w:rsid w:val="00155FE5"/>
    <w:rsid w:val="00156510"/>
    <w:rsid w:val="001574DA"/>
    <w:rsid w:val="00157E3B"/>
    <w:rsid w:val="0016002A"/>
    <w:rsid w:val="001601C1"/>
    <w:rsid w:val="001607E0"/>
    <w:rsid w:val="00160D10"/>
    <w:rsid w:val="00160EEF"/>
    <w:rsid w:val="0016148C"/>
    <w:rsid w:val="00162918"/>
    <w:rsid w:val="00162B1F"/>
    <w:rsid w:val="00163B60"/>
    <w:rsid w:val="00163CF9"/>
    <w:rsid w:val="00164CB2"/>
    <w:rsid w:val="00164DDE"/>
    <w:rsid w:val="00165011"/>
    <w:rsid w:val="0016567B"/>
    <w:rsid w:val="0016634A"/>
    <w:rsid w:val="00166BBF"/>
    <w:rsid w:val="001673F2"/>
    <w:rsid w:val="00167E7F"/>
    <w:rsid w:val="001701FB"/>
    <w:rsid w:val="0017052C"/>
    <w:rsid w:val="001710C2"/>
    <w:rsid w:val="001737FB"/>
    <w:rsid w:val="001739BC"/>
    <w:rsid w:val="00173E5E"/>
    <w:rsid w:val="0017461C"/>
    <w:rsid w:val="00174ED4"/>
    <w:rsid w:val="00174F77"/>
    <w:rsid w:val="001755B0"/>
    <w:rsid w:val="00176163"/>
    <w:rsid w:val="0017652F"/>
    <w:rsid w:val="00176664"/>
    <w:rsid w:val="00177ACB"/>
    <w:rsid w:val="00180A4B"/>
    <w:rsid w:val="00180F8E"/>
    <w:rsid w:val="00181099"/>
    <w:rsid w:val="00181146"/>
    <w:rsid w:val="001813AC"/>
    <w:rsid w:val="00181677"/>
    <w:rsid w:val="001817EC"/>
    <w:rsid w:val="0018184D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0BF"/>
    <w:rsid w:val="00185137"/>
    <w:rsid w:val="00185292"/>
    <w:rsid w:val="00185D43"/>
    <w:rsid w:val="00187A83"/>
    <w:rsid w:val="00190150"/>
    <w:rsid w:val="00190617"/>
    <w:rsid w:val="00190923"/>
    <w:rsid w:val="00190CAF"/>
    <w:rsid w:val="00191C0F"/>
    <w:rsid w:val="001926B2"/>
    <w:rsid w:val="00192BE6"/>
    <w:rsid w:val="00193879"/>
    <w:rsid w:val="00193AEF"/>
    <w:rsid w:val="00193E9D"/>
    <w:rsid w:val="00194238"/>
    <w:rsid w:val="001942D1"/>
    <w:rsid w:val="0019477C"/>
    <w:rsid w:val="00194A46"/>
    <w:rsid w:val="001954DE"/>
    <w:rsid w:val="00197BCB"/>
    <w:rsid w:val="001A07C4"/>
    <w:rsid w:val="001A1AE1"/>
    <w:rsid w:val="001A229C"/>
    <w:rsid w:val="001A25C0"/>
    <w:rsid w:val="001A2C55"/>
    <w:rsid w:val="001A309C"/>
    <w:rsid w:val="001A3DCF"/>
    <w:rsid w:val="001A4E5E"/>
    <w:rsid w:val="001A5549"/>
    <w:rsid w:val="001A59D5"/>
    <w:rsid w:val="001A6003"/>
    <w:rsid w:val="001A654B"/>
    <w:rsid w:val="001A70ED"/>
    <w:rsid w:val="001A719B"/>
    <w:rsid w:val="001A76BB"/>
    <w:rsid w:val="001A7F68"/>
    <w:rsid w:val="001B00A9"/>
    <w:rsid w:val="001B02F3"/>
    <w:rsid w:val="001B03C5"/>
    <w:rsid w:val="001B03E9"/>
    <w:rsid w:val="001B09B8"/>
    <w:rsid w:val="001B0A7B"/>
    <w:rsid w:val="001B0E56"/>
    <w:rsid w:val="001B0FB4"/>
    <w:rsid w:val="001B1476"/>
    <w:rsid w:val="001B164E"/>
    <w:rsid w:val="001B179A"/>
    <w:rsid w:val="001B1818"/>
    <w:rsid w:val="001B1D43"/>
    <w:rsid w:val="001B24F3"/>
    <w:rsid w:val="001B2C6D"/>
    <w:rsid w:val="001B41A9"/>
    <w:rsid w:val="001B479D"/>
    <w:rsid w:val="001B4862"/>
    <w:rsid w:val="001B4F30"/>
    <w:rsid w:val="001B5C42"/>
    <w:rsid w:val="001B63ED"/>
    <w:rsid w:val="001B68CA"/>
    <w:rsid w:val="001B6F06"/>
    <w:rsid w:val="001B7090"/>
    <w:rsid w:val="001B7185"/>
    <w:rsid w:val="001B75F5"/>
    <w:rsid w:val="001B77AA"/>
    <w:rsid w:val="001C0562"/>
    <w:rsid w:val="001C071D"/>
    <w:rsid w:val="001C0F16"/>
    <w:rsid w:val="001C120B"/>
    <w:rsid w:val="001C13CB"/>
    <w:rsid w:val="001C172F"/>
    <w:rsid w:val="001C1C97"/>
    <w:rsid w:val="001C2378"/>
    <w:rsid w:val="001C2DB7"/>
    <w:rsid w:val="001C38D9"/>
    <w:rsid w:val="001C3965"/>
    <w:rsid w:val="001C42E7"/>
    <w:rsid w:val="001C4B61"/>
    <w:rsid w:val="001C5769"/>
    <w:rsid w:val="001D02DD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43F3"/>
    <w:rsid w:val="001D47DE"/>
    <w:rsid w:val="001D5186"/>
    <w:rsid w:val="001D59F0"/>
    <w:rsid w:val="001D6564"/>
    <w:rsid w:val="001D693C"/>
    <w:rsid w:val="001D6ACE"/>
    <w:rsid w:val="001D7345"/>
    <w:rsid w:val="001D7C28"/>
    <w:rsid w:val="001E16DC"/>
    <w:rsid w:val="001E3A50"/>
    <w:rsid w:val="001E3AD1"/>
    <w:rsid w:val="001E41FF"/>
    <w:rsid w:val="001E4BB5"/>
    <w:rsid w:val="001E505B"/>
    <w:rsid w:val="001E519D"/>
    <w:rsid w:val="001E5499"/>
    <w:rsid w:val="001E5E22"/>
    <w:rsid w:val="001E6E7B"/>
    <w:rsid w:val="001E6F98"/>
    <w:rsid w:val="001E71A5"/>
    <w:rsid w:val="001E77A2"/>
    <w:rsid w:val="001E7A91"/>
    <w:rsid w:val="001E7EE7"/>
    <w:rsid w:val="001F042E"/>
    <w:rsid w:val="001F24EF"/>
    <w:rsid w:val="001F352B"/>
    <w:rsid w:val="001F3E4E"/>
    <w:rsid w:val="001F3F8C"/>
    <w:rsid w:val="001F43D7"/>
    <w:rsid w:val="001F4885"/>
    <w:rsid w:val="001F48F0"/>
    <w:rsid w:val="001F49A4"/>
    <w:rsid w:val="001F6BB4"/>
    <w:rsid w:val="001F726B"/>
    <w:rsid w:val="001F74A1"/>
    <w:rsid w:val="001F7C4E"/>
    <w:rsid w:val="001F7D38"/>
    <w:rsid w:val="001F7D71"/>
    <w:rsid w:val="00200615"/>
    <w:rsid w:val="00200AA8"/>
    <w:rsid w:val="00202DDC"/>
    <w:rsid w:val="00202E55"/>
    <w:rsid w:val="002034B5"/>
    <w:rsid w:val="00203831"/>
    <w:rsid w:val="00204637"/>
    <w:rsid w:val="002046CA"/>
    <w:rsid w:val="00204706"/>
    <w:rsid w:val="002047E5"/>
    <w:rsid w:val="002057BF"/>
    <w:rsid w:val="00205A72"/>
    <w:rsid w:val="00205B6D"/>
    <w:rsid w:val="002061C8"/>
    <w:rsid w:val="0020669A"/>
    <w:rsid w:val="0020694E"/>
    <w:rsid w:val="00206F20"/>
    <w:rsid w:val="00206FF6"/>
    <w:rsid w:val="00207102"/>
    <w:rsid w:val="002075F0"/>
    <w:rsid w:val="002077AA"/>
    <w:rsid w:val="00210F67"/>
    <w:rsid w:val="00211DE8"/>
    <w:rsid w:val="00212028"/>
    <w:rsid w:val="002127B2"/>
    <w:rsid w:val="0021292B"/>
    <w:rsid w:val="00212971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713D"/>
    <w:rsid w:val="0022032F"/>
    <w:rsid w:val="0022090D"/>
    <w:rsid w:val="00221957"/>
    <w:rsid w:val="002223EF"/>
    <w:rsid w:val="00222962"/>
    <w:rsid w:val="0022363C"/>
    <w:rsid w:val="00223959"/>
    <w:rsid w:val="00223E32"/>
    <w:rsid w:val="0022527E"/>
    <w:rsid w:val="002255DD"/>
    <w:rsid w:val="0022568A"/>
    <w:rsid w:val="00225FED"/>
    <w:rsid w:val="002264A9"/>
    <w:rsid w:val="00227405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B7B"/>
    <w:rsid w:val="00232EAE"/>
    <w:rsid w:val="002335F4"/>
    <w:rsid w:val="00233EC8"/>
    <w:rsid w:val="002345F4"/>
    <w:rsid w:val="002349CC"/>
    <w:rsid w:val="00234E05"/>
    <w:rsid w:val="00235448"/>
    <w:rsid w:val="0023613C"/>
    <w:rsid w:val="002369E5"/>
    <w:rsid w:val="00236CCA"/>
    <w:rsid w:val="002373CE"/>
    <w:rsid w:val="002377EF"/>
    <w:rsid w:val="00237DE1"/>
    <w:rsid w:val="002425DF"/>
    <w:rsid w:val="0024283B"/>
    <w:rsid w:val="00242B12"/>
    <w:rsid w:val="00242B89"/>
    <w:rsid w:val="00242BE1"/>
    <w:rsid w:val="0024318D"/>
    <w:rsid w:val="00243785"/>
    <w:rsid w:val="00244795"/>
    <w:rsid w:val="00244BA4"/>
    <w:rsid w:val="00244DAE"/>
    <w:rsid w:val="00244F85"/>
    <w:rsid w:val="00245F14"/>
    <w:rsid w:val="002460B9"/>
    <w:rsid w:val="00246D98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088"/>
    <w:rsid w:val="0025356C"/>
    <w:rsid w:val="00253831"/>
    <w:rsid w:val="00253C31"/>
    <w:rsid w:val="00253D4A"/>
    <w:rsid w:val="00254091"/>
    <w:rsid w:val="0025529D"/>
    <w:rsid w:val="00255860"/>
    <w:rsid w:val="002563AF"/>
    <w:rsid w:val="00256578"/>
    <w:rsid w:val="002566C5"/>
    <w:rsid w:val="00256711"/>
    <w:rsid w:val="0025717D"/>
    <w:rsid w:val="002571A1"/>
    <w:rsid w:val="00257CBE"/>
    <w:rsid w:val="002615BB"/>
    <w:rsid w:val="002617D8"/>
    <w:rsid w:val="00261C06"/>
    <w:rsid w:val="002620DE"/>
    <w:rsid w:val="00262C2B"/>
    <w:rsid w:val="00262F47"/>
    <w:rsid w:val="002639BB"/>
    <w:rsid w:val="00264D20"/>
    <w:rsid w:val="00264EC8"/>
    <w:rsid w:val="002655A6"/>
    <w:rsid w:val="00267474"/>
    <w:rsid w:val="00267C2D"/>
    <w:rsid w:val="00270537"/>
    <w:rsid w:val="00270635"/>
    <w:rsid w:val="00270726"/>
    <w:rsid w:val="00270AF8"/>
    <w:rsid w:val="00270C66"/>
    <w:rsid w:val="002710DF"/>
    <w:rsid w:val="00271101"/>
    <w:rsid w:val="0027149C"/>
    <w:rsid w:val="0027241E"/>
    <w:rsid w:val="00272789"/>
    <w:rsid w:val="00272B18"/>
    <w:rsid w:val="00273B4D"/>
    <w:rsid w:val="00273C8F"/>
    <w:rsid w:val="00273CC7"/>
    <w:rsid w:val="00273FBE"/>
    <w:rsid w:val="0027401E"/>
    <w:rsid w:val="002750D8"/>
    <w:rsid w:val="002751BA"/>
    <w:rsid w:val="002754C1"/>
    <w:rsid w:val="00275761"/>
    <w:rsid w:val="002760A3"/>
    <w:rsid w:val="002761F1"/>
    <w:rsid w:val="00276CCD"/>
    <w:rsid w:val="002771ED"/>
    <w:rsid w:val="00280449"/>
    <w:rsid w:val="00281203"/>
    <w:rsid w:val="00281271"/>
    <w:rsid w:val="00282192"/>
    <w:rsid w:val="00282C11"/>
    <w:rsid w:val="00282F70"/>
    <w:rsid w:val="00284B47"/>
    <w:rsid w:val="00285155"/>
    <w:rsid w:val="002855A4"/>
    <w:rsid w:val="002856B0"/>
    <w:rsid w:val="00285E47"/>
    <w:rsid w:val="00286085"/>
    <w:rsid w:val="002860E5"/>
    <w:rsid w:val="00286C9A"/>
    <w:rsid w:val="00286D2F"/>
    <w:rsid w:val="00287120"/>
    <w:rsid w:val="00287F3C"/>
    <w:rsid w:val="00290057"/>
    <w:rsid w:val="0029025C"/>
    <w:rsid w:val="0029036B"/>
    <w:rsid w:val="00292590"/>
    <w:rsid w:val="00294397"/>
    <w:rsid w:val="002945C4"/>
    <w:rsid w:val="00294CEE"/>
    <w:rsid w:val="002957E1"/>
    <w:rsid w:val="002958EB"/>
    <w:rsid w:val="00295ABB"/>
    <w:rsid w:val="00295C8F"/>
    <w:rsid w:val="00295DF0"/>
    <w:rsid w:val="0029633C"/>
    <w:rsid w:val="002965BD"/>
    <w:rsid w:val="00296CF1"/>
    <w:rsid w:val="00296FDE"/>
    <w:rsid w:val="00297E48"/>
    <w:rsid w:val="002A156A"/>
    <w:rsid w:val="002A1E22"/>
    <w:rsid w:val="002A1E67"/>
    <w:rsid w:val="002A2420"/>
    <w:rsid w:val="002A2D60"/>
    <w:rsid w:val="002A380F"/>
    <w:rsid w:val="002A4CB7"/>
    <w:rsid w:val="002A4CEF"/>
    <w:rsid w:val="002A5769"/>
    <w:rsid w:val="002A592E"/>
    <w:rsid w:val="002A63F7"/>
    <w:rsid w:val="002A65FB"/>
    <w:rsid w:val="002A684B"/>
    <w:rsid w:val="002A749B"/>
    <w:rsid w:val="002B117A"/>
    <w:rsid w:val="002B1192"/>
    <w:rsid w:val="002B1257"/>
    <w:rsid w:val="002B2FD7"/>
    <w:rsid w:val="002B35C7"/>
    <w:rsid w:val="002B3968"/>
    <w:rsid w:val="002B4074"/>
    <w:rsid w:val="002B4189"/>
    <w:rsid w:val="002B4AD6"/>
    <w:rsid w:val="002B4D5E"/>
    <w:rsid w:val="002B586E"/>
    <w:rsid w:val="002B6268"/>
    <w:rsid w:val="002B655A"/>
    <w:rsid w:val="002B6645"/>
    <w:rsid w:val="002B70DB"/>
    <w:rsid w:val="002B70E0"/>
    <w:rsid w:val="002B7269"/>
    <w:rsid w:val="002B77D0"/>
    <w:rsid w:val="002C027A"/>
    <w:rsid w:val="002C028B"/>
    <w:rsid w:val="002C0311"/>
    <w:rsid w:val="002C0507"/>
    <w:rsid w:val="002C0612"/>
    <w:rsid w:val="002C1FB5"/>
    <w:rsid w:val="002C269B"/>
    <w:rsid w:val="002C2A2A"/>
    <w:rsid w:val="002C2D4A"/>
    <w:rsid w:val="002C2DB2"/>
    <w:rsid w:val="002C386B"/>
    <w:rsid w:val="002C43EE"/>
    <w:rsid w:val="002C5677"/>
    <w:rsid w:val="002C5C14"/>
    <w:rsid w:val="002C5EFC"/>
    <w:rsid w:val="002C6098"/>
    <w:rsid w:val="002C613F"/>
    <w:rsid w:val="002C6D47"/>
    <w:rsid w:val="002C6D7C"/>
    <w:rsid w:val="002C77F1"/>
    <w:rsid w:val="002D03B9"/>
    <w:rsid w:val="002D0434"/>
    <w:rsid w:val="002D0481"/>
    <w:rsid w:val="002D1772"/>
    <w:rsid w:val="002D2A31"/>
    <w:rsid w:val="002D2C4A"/>
    <w:rsid w:val="002D2C59"/>
    <w:rsid w:val="002D2CFF"/>
    <w:rsid w:val="002D33B8"/>
    <w:rsid w:val="002D344D"/>
    <w:rsid w:val="002D40FE"/>
    <w:rsid w:val="002D455F"/>
    <w:rsid w:val="002D4A17"/>
    <w:rsid w:val="002D53FD"/>
    <w:rsid w:val="002D5B86"/>
    <w:rsid w:val="002D5E8E"/>
    <w:rsid w:val="002D6512"/>
    <w:rsid w:val="002D659D"/>
    <w:rsid w:val="002D67F5"/>
    <w:rsid w:val="002D6A0A"/>
    <w:rsid w:val="002D6F85"/>
    <w:rsid w:val="002D71B0"/>
    <w:rsid w:val="002D76D6"/>
    <w:rsid w:val="002D77C8"/>
    <w:rsid w:val="002D7859"/>
    <w:rsid w:val="002E05D7"/>
    <w:rsid w:val="002E0DC4"/>
    <w:rsid w:val="002E11F3"/>
    <w:rsid w:val="002E1BAA"/>
    <w:rsid w:val="002E1D88"/>
    <w:rsid w:val="002E1F75"/>
    <w:rsid w:val="002E2130"/>
    <w:rsid w:val="002E3034"/>
    <w:rsid w:val="002E3096"/>
    <w:rsid w:val="002E31A2"/>
    <w:rsid w:val="002E3D8F"/>
    <w:rsid w:val="002E4374"/>
    <w:rsid w:val="002E4EF1"/>
    <w:rsid w:val="002E5775"/>
    <w:rsid w:val="002E5905"/>
    <w:rsid w:val="002E5B83"/>
    <w:rsid w:val="002E691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1A8A"/>
    <w:rsid w:val="002F2F78"/>
    <w:rsid w:val="002F3027"/>
    <w:rsid w:val="002F3364"/>
    <w:rsid w:val="002F342B"/>
    <w:rsid w:val="002F3718"/>
    <w:rsid w:val="002F3F9E"/>
    <w:rsid w:val="002F47B3"/>
    <w:rsid w:val="002F4A5B"/>
    <w:rsid w:val="002F4A7F"/>
    <w:rsid w:val="002F4BD1"/>
    <w:rsid w:val="002F4DC5"/>
    <w:rsid w:val="002F5009"/>
    <w:rsid w:val="002F68AF"/>
    <w:rsid w:val="002F68BC"/>
    <w:rsid w:val="002F6A2A"/>
    <w:rsid w:val="002F7230"/>
    <w:rsid w:val="003006FB"/>
    <w:rsid w:val="00301083"/>
    <w:rsid w:val="00301C38"/>
    <w:rsid w:val="00302619"/>
    <w:rsid w:val="003026D5"/>
    <w:rsid w:val="00303D68"/>
    <w:rsid w:val="00303FD3"/>
    <w:rsid w:val="003043E8"/>
    <w:rsid w:val="00304741"/>
    <w:rsid w:val="0030504F"/>
    <w:rsid w:val="00305070"/>
    <w:rsid w:val="00305241"/>
    <w:rsid w:val="0030621D"/>
    <w:rsid w:val="00306F4B"/>
    <w:rsid w:val="00306FCA"/>
    <w:rsid w:val="00307068"/>
    <w:rsid w:val="0030747C"/>
    <w:rsid w:val="0030757F"/>
    <w:rsid w:val="00307990"/>
    <w:rsid w:val="00307B09"/>
    <w:rsid w:val="00310419"/>
    <w:rsid w:val="00310BC9"/>
    <w:rsid w:val="00310E03"/>
    <w:rsid w:val="00310E87"/>
    <w:rsid w:val="00311287"/>
    <w:rsid w:val="003113BC"/>
    <w:rsid w:val="003118FF"/>
    <w:rsid w:val="00311B43"/>
    <w:rsid w:val="00312BC2"/>
    <w:rsid w:val="0031315E"/>
    <w:rsid w:val="00313180"/>
    <w:rsid w:val="00313F3D"/>
    <w:rsid w:val="00313FCA"/>
    <w:rsid w:val="0031400A"/>
    <w:rsid w:val="0031410C"/>
    <w:rsid w:val="00315EFA"/>
    <w:rsid w:val="00316679"/>
    <w:rsid w:val="003178B2"/>
    <w:rsid w:val="00317BE2"/>
    <w:rsid w:val="00320459"/>
    <w:rsid w:val="00320D10"/>
    <w:rsid w:val="00320E55"/>
    <w:rsid w:val="003216B6"/>
    <w:rsid w:val="00322094"/>
    <w:rsid w:val="003220AE"/>
    <w:rsid w:val="00322500"/>
    <w:rsid w:val="00322D91"/>
    <w:rsid w:val="00322DD6"/>
    <w:rsid w:val="00322E6A"/>
    <w:rsid w:val="00323397"/>
    <w:rsid w:val="0032370A"/>
    <w:rsid w:val="00323A8A"/>
    <w:rsid w:val="00324805"/>
    <w:rsid w:val="00325380"/>
    <w:rsid w:val="00325638"/>
    <w:rsid w:val="00325F42"/>
    <w:rsid w:val="00327808"/>
    <w:rsid w:val="00327B4A"/>
    <w:rsid w:val="00327B88"/>
    <w:rsid w:val="00327CBE"/>
    <w:rsid w:val="00327F8F"/>
    <w:rsid w:val="00331427"/>
    <w:rsid w:val="00331EC8"/>
    <w:rsid w:val="00332328"/>
    <w:rsid w:val="00332768"/>
    <w:rsid w:val="00333186"/>
    <w:rsid w:val="00333C4E"/>
    <w:rsid w:val="00333D1A"/>
    <w:rsid w:val="003349A2"/>
    <w:rsid w:val="0033642D"/>
    <w:rsid w:val="003364CB"/>
    <w:rsid w:val="00336C45"/>
    <w:rsid w:val="00337CE1"/>
    <w:rsid w:val="003407FD"/>
    <w:rsid w:val="00341148"/>
    <w:rsid w:val="00341A89"/>
    <w:rsid w:val="003420A6"/>
    <w:rsid w:val="003420E9"/>
    <w:rsid w:val="00342B22"/>
    <w:rsid w:val="00343DC6"/>
    <w:rsid w:val="00344F8A"/>
    <w:rsid w:val="0034584F"/>
    <w:rsid w:val="003458AB"/>
    <w:rsid w:val="00345D64"/>
    <w:rsid w:val="00345F60"/>
    <w:rsid w:val="00346046"/>
    <w:rsid w:val="00346084"/>
    <w:rsid w:val="003466CA"/>
    <w:rsid w:val="003476C4"/>
    <w:rsid w:val="00350141"/>
    <w:rsid w:val="00350355"/>
    <w:rsid w:val="003503CC"/>
    <w:rsid w:val="00350418"/>
    <w:rsid w:val="00350832"/>
    <w:rsid w:val="0035097B"/>
    <w:rsid w:val="00351758"/>
    <w:rsid w:val="0035223A"/>
    <w:rsid w:val="003526EC"/>
    <w:rsid w:val="0035274D"/>
    <w:rsid w:val="00352C77"/>
    <w:rsid w:val="00352DB0"/>
    <w:rsid w:val="00353732"/>
    <w:rsid w:val="00353A93"/>
    <w:rsid w:val="00353CA3"/>
    <w:rsid w:val="00353EA1"/>
    <w:rsid w:val="0035471D"/>
    <w:rsid w:val="003548A1"/>
    <w:rsid w:val="00354AEB"/>
    <w:rsid w:val="00355ABA"/>
    <w:rsid w:val="00355E95"/>
    <w:rsid w:val="003560BE"/>
    <w:rsid w:val="00356329"/>
    <w:rsid w:val="00356CF5"/>
    <w:rsid w:val="00357BE6"/>
    <w:rsid w:val="00360550"/>
    <w:rsid w:val="00360CE2"/>
    <w:rsid w:val="00360FB5"/>
    <w:rsid w:val="00361221"/>
    <w:rsid w:val="00361357"/>
    <w:rsid w:val="00361F93"/>
    <w:rsid w:val="003626E6"/>
    <w:rsid w:val="003627E5"/>
    <w:rsid w:val="00362EF6"/>
    <w:rsid w:val="00363066"/>
    <w:rsid w:val="003636B3"/>
    <w:rsid w:val="00363F48"/>
    <w:rsid w:val="00364898"/>
    <w:rsid w:val="003662B4"/>
    <w:rsid w:val="00367AF0"/>
    <w:rsid w:val="00367B84"/>
    <w:rsid w:val="00367C23"/>
    <w:rsid w:val="00370180"/>
    <w:rsid w:val="003707F8"/>
    <w:rsid w:val="00370BA1"/>
    <w:rsid w:val="00371114"/>
    <w:rsid w:val="003715B4"/>
    <w:rsid w:val="00371CE0"/>
    <w:rsid w:val="00372A88"/>
    <w:rsid w:val="00372C31"/>
    <w:rsid w:val="00372EA8"/>
    <w:rsid w:val="00373C23"/>
    <w:rsid w:val="003741E6"/>
    <w:rsid w:val="00374D9E"/>
    <w:rsid w:val="00374DD6"/>
    <w:rsid w:val="00375AB1"/>
    <w:rsid w:val="003765B6"/>
    <w:rsid w:val="0038059B"/>
    <w:rsid w:val="00380C5D"/>
    <w:rsid w:val="003816F9"/>
    <w:rsid w:val="00381D77"/>
    <w:rsid w:val="00381ED6"/>
    <w:rsid w:val="003828D5"/>
    <w:rsid w:val="00382ED3"/>
    <w:rsid w:val="00382F06"/>
    <w:rsid w:val="00382FF5"/>
    <w:rsid w:val="003832C2"/>
    <w:rsid w:val="00383B62"/>
    <w:rsid w:val="00383E7F"/>
    <w:rsid w:val="0038400C"/>
    <w:rsid w:val="00385ABA"/>
    <w:rsid w:val="00385E46"/>
    <w:rsid w:val="0038685D"/>
    <w:rsid w:val="003872DD"/>
    <w:rsid w:val="00387D05"/>
    <w:rsid w:val="00390090"/>
    <w:rsid w:val="003905D9"/>
    <w:rsid w:val="00391B96"/>
    <w:rsid w:val="00392581"/>
    <w:rsid w:val="00392605"/>
    <w:rsid w:val="003935E7"/>
    <w:rsid w:val="00393D05"/>
    <w:rsid w:val="0039407C"/>
    <w:rsid w:val="0039441A"/>
    <w:rsid w:val="003944CB"/>
    <w:rsid w:val="0039460B"/>
    <w:rsid w:val="003947B6"/>
    <w:rsid w:val="00395005"/>
    <w:rsid w:val="00395A58"/>
    <w:rsid w:val="00395DF1"/>
    <w:rsid w:val="00395DF2"/>
    <w:rsid w:val="00396107"/>
    <w:rsid w:val="003961EC"/>
    <w:rsid w:val="00396AEC"/>
    <w:rsid w:val="00397335"/>
    <w:rsid w:val="00397839"/>
    <w:rsid w:val="003A00F8"/>
    <w:rsid w:val="003A034A"/>
    <w:rsid w:val="003A1D4A"/>
    <w:rsid w:val="003A2830"/>
    <w:rsid w:val="003A2C1D"/>
    <w:rsid w:val="003A3057"/>
    <w:rsid w:val="003A4192"/>
    <w:rsid w:val="003A4614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493"/>
    <w:rsid w:val="003B08D6"/>
    <w:rsid w:val="003B0F30"/>
    <w:rsid w:val="003B1A13"/>
    <w:rsid w:val="003B1F18"/>
    <w:rsid w:val="003B2059"/>
    <w:rsid w:val="003B20B2"/>
    <w:rsid w:val="003B25D8"/>
    <w:rsid w:val="003B272E"/>
    <w:rsid w:val="003B2DC0"/>
    <w:rsid w:val="003B39B2"/>
    <w:rsid w:val="003B3AC5"/>
    <w:rsid w:val="003B4456"/>
    <w:rsid w:val="003B4950"/>
    <w:rsid w:val="003B52D4"/>
    <w:rsid w:val="003B560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7E1"/>
    <w:rsid w:val="003C0D3F"/>
    <w:rsid w:val="003C0F01"/>
    <w:rsid w:val="003C1263"/>
    <w:rsid w:val="003C18E3"/>
    <w:rsid w:val="003C1CC5"/>
    <w:rsid w:val="003C1DFE"/>
    <w:rsid w:val="003C2277"/>
    <w:rsid w:val="003C24DD"/>
    <w:rsid w:val="003C277D"/>
    <w:rsid w:val="003C27EB"/>
    <w:rsid w:val="003C2C80"/>
    <w:rsid w:val="003C3710"/>
    <w:rsid w:val="003C37FE"/>
    <w:rsid w:val="003C3C45"/>
    <w:rsid w:val="003C4536"/>
    <w:rsid w:val="003C496C"/>
    <w:rsid w:val="003C4F2F"/>
    <w:rsid w:val="003C525A"/>
    <w:rsid w:val="003C56E3"/>
    <w:rsid w:val="003C56FC"/>
    <w:rsid w:val="003C5A83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0CF9"/>
    <w:rsid w:val="003D1CC4"/>
    <w:rsid w:val="003D1E96"/>
    <w:rsid w:val="003D2514"/>
    <w:rsid w:val="003D2860"/>
    <w:rsid w:val="003D3055"/>
    <w:rsid w:val="003D327F"/>
    <w:rsid w:val="003D3A54"/>
    <w:rsid w:val="003D3BD4"/>
    <w:rsid w:val="003D4A46"/>
    <w:rsid w:val="003D5025"/>
    <w:rsid w:val="003D55FC"/>
    <w:rsid w:val="003D5969"/>
    <w:rsid w:val="003D5C54"/>
    <w:rsid w:val="003D5FFC"/>
    <w:rsid w:val="003D6568"/>
    <w:rsid w:val="003D6C3E"/>
    <w:rsid w:val="003D6D93"/>
    <w:rsid w:val="003E0AB5"/>
    <w:rsid w:val="003E0CA5"/>
    <w:rsid w:val="003E12A9"/>
    <w:rsid w:val="003E1AD9"/>
    <w:rsid w:val="003E27A0"/>
    <w:rsid w:val="003E29BC"/>
    <w:rsid w:val="003E33EE"/>
    <w:rsid w:val="003E373E"/>
    <w:rsid w:val="003E39A6"/>
    <w:rsid w:val="003E3A36"/>
    <w:rsid w:val="003E3FDB"/>
    <w:rsid w:val="003E4582"/>
    <w:rsid w:val="003E463D"/>
    <w:rsid w:val="003E4C83"/>
    <w:rsid w:val="003E4D6D"/>
    <w:rsid w:val="003E4DB0"/>
    <w:rsid w:val="003E54FD"/>
    <w:rsid w:val="003E5CE1"/>
    <w:rsid w:val="003E5DE8"/>
    <w:rsid w:val="003E5FD6"/>
    <w:rsid w:val="003E6A71"/>
    <w:rsid w:val="003E6D16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985"/>
    <w:rsid w:val="003F1AC3"/>
    <w:rsid w:val="003F2B97"/>
    <w:rsid w:val="003F311D"/>
    <w:rsid w:val="003F343E"/>
    <w:rsid w:val="003F414E"/>
    <w:rsid w:val="003F4735"/>
    <w:rsid w:val="003F50C9"/>
    <w:rsid w:val="003F57C1"/>
    <w:rsid w:val="003F5C28"/>
    <w:rsid w:val="003F6349"/>
    <w:rsid w:val="003F65D5"/>
    <w:rsid w:val="003F68DD"/>
    <w:rsid w:val="003F6C19"/>
    <w:rsid w:val="003F6C5A"/>
    <w:rsid w:val="003F6E6C"/>
    <w:rsid w:val="003F6E9C"/>
    <w:rsid w:val="003F7081"/>
    <w:rsid w:val="003F70D8"/>
    <w:rsid w:val="003F74E2"/>
    <w:rsid w:val="003F76D3"/>
    <w:rsid w:val="0040272D"/>
    <w:rsid w:val="00402CEA"/>
    <w:rsid w:val="00402D7A"/>
    <w:rsid w:val="00402DA4"/>
    <w:rsid w:val="00402F4F"/>
    <w:rsid w:val="00403915"/>
    <w:rsid w:val="00403C18"/>
    <w:rsid w:val="004040FB"/>
    <w:rsid w:val="00404C84"/>
    <w:rsid w:val="00404D2A"/>
    <w:rsid w:val="00404F14"/>
    <w:rsid w:val="00405385"/>
    <w:rsid w:val="004058FE"/>
    <w:rsid w:val="00405E98"/>
    <w:rsid w:val="00406EF1"/>
    <w:rsid w:val="0041025A"/>
    <w:rsid w:val="00410753"/>
    <w:rsid w:val="0041096F"/>
    <w:rsid w:val="004109C8"/>
    <w:rsid w:val="00410A72"/>
    <w:rsid w:val="0041280A"/>
    <w:rsid w:val="004128CB"/>
    <w:rsid w:val="00412EC7"/>
    <w:rsid w:val="0041348A"/>
    <w:rsid w:val="0041379B"/>
    <w:rsid w:val="00413A2C"/>
    <w:rsid w:val="00414753"/>
    <w:rsid w:val="004153EE"/>
    <w:rsid w:val="00415468"/>
    <w:rsid w:val="00415D20"/>
    <w:rsid w:val="004165E4"/>
    <w:rsid w:val="004167F8"/>
    <w:rsid w:val="00416B8E"/>
    <w:rsid w:val="00416D3A"/>
    <w:rsid w:val="00416FD8"/>
    <w:rsid w:val="00417819"/>
    <w:rsid w:val="004179F7"/>
    <w:rsid w:val="00417E2E"/>
    <w:rsid w:val="00420480"/>
    <w:rsid w:val="00420B9E"/>
    <w:rsid w:val="00421997"/>
    <w:rsid w:val="00421E7A"/>
    <w:rsid w:val="00422494"/>
    <w:rsid w:val="00422605"/>
    <w:rsid w:val="00422D74"/>
    <w:rsid w:val="00423DD6"/>
    <w:rsid w:val="004241B7"/>
    <w:rsid w:val="00424B7D"/>
    <w:rsid w:val="00424F31"/>
    <w:rsid w:val="0042510D"/>
    <w:rsid w:val="00425B12"/>
    <w:rsid w:val="00425BCE"/>
    <w:rsid w:val="00425C1E"/>
    <w:rsid w:val="00426100"/>
    <w:rsid w:val="004267E2"/>
    <w:rsid w:val="00426BE5"/>
    <w:rsid w:val="004272BA"/>
    <w:rsid w:val="004273BC"/>
    <w:rsid w:val="0042746E"/>
    <w:rsid w:val="0042755F"/>
    <w:rsid w:val="004303E0"/>
    <w:rsid w:val="004315DE"/>
    <w:rsid w:val="00431A47"/>
    <w:rsid w:val="00432309"/>
    <w:rsid w:val="0043260F"/>
    <w:rsid w:val="004327F1"/>
    <w:rsid w:val="0043345D"/>
    <w:rsid w:val="00433E67"/>
    <w:rsid w:val="00434580"/>
    <w:rsid w:val="00435108"/>
    <w:rsid w:val="00435A43"/>
    <w:rsid w:val="00436973"/>
    <w:rsid w:val="00436E33"/>
    <w:rsid w:val="0043742C"/>
    <w:rsid w:val="004374CE"/>
    <w:rsid w:val="00442A95"/>
    <w:rsid w:val="00442DDF"/>
    <w:rsid w:val="004436ED"/>
    <w:rsid w:val="00444233"/>
    <w:rsid w:val="004450C3"/>
    <w:rsid w:val="004451D7"/>
    <w:rsid w:val="0044544B"/>
    <w:rsid w:val="00445501"/>
    <w:rsid w:val="00446337"/>
    <w:rsid w:val="0044677B"/>
    <w:rsid w:val="004467C8"/>
    <w:rsid w:val="00446902"/>
    <w:rsid w:val="00446B9D"/>
    <w:rsid w:val="00446EC6"/>
    <w:rsid w:val="00447089"/>
    <w:rsid w:val="004471AC"/>
    <w:rsid w:val="00450051"/>
    <w:rsid w:val="0045037E"/>
    <w:rsid w:val="0045070F"/>
    <w:rsid w:val="0045149B"/>
    <w:rsid w:val="00451BB4"/>
    <w:rsid w:val="00451BE6"/>
    <w:rsid w:val="00452DAA"/>
    <w:rsid w:val="00453453"/>
    <w:rsid w:val="0045377E"/>
    <w:rsid w:val="00454005"/>
    <w:rsid w:val="004543F3"/>
    <w:rsid w:val="00454402"/>
    <w:rsid w:val="00455624"/>
    <w:rsid w:val="00455A78"/>
    <w:rsid w:val="00455E79"/>
    <w:rsid w:val="00455EB1"/>
    <w:rsid w:val="00456431"/>
    <w:rsid w:val="00456529"/>
    <w:rsid w:val="00456E40"/>
    <w:rsid w:val="004570CD"/>
    <w:rsid w:val="004573B2"/>
    <w:rsid w:val="00457643"/>
    <w:rsid w:val="004576C1"/>
    <w:rsid w:val="004577F1"/>
    <w:rsid w:val="00460718"/>
    <w:rsid w:val="004609D1"/>
    <w:rsid w:val="00460A58"/>
    <w:rsid w:val="004625DA"/>
    <w:rsid w:val="00464513"/>
    <w:rsid w:val="004647B7"/>
    <w:rsid w:val="00464D25"/>
    <w:rsid w:val="0046502D"/>
    <w:rsid w:val="004653D7"/>
    <w:rsid w:val="00466703"/>
    <w:rsid w:val="00466BA4"/>
    <w:rsid w:val="00467C2B"/>
    <w:rsid w:val="00467FD8"/>
    <w:rsid w:val="004705B0"/>
    <w:rsid w:val="00471222"/>
    <w:rsid w:val="004716CB"/>
    <w:rsid w:val="00471EEC"/>
    <w:rsid w:val="00472618"/>
    <w:rsid w:val="00473DF1"/>
    <w:rsid w:val="00474090"/>
    <w:rsid w:val="00474371"/>
    <w:rsid w:val="00474FFB"/>
    <w:rsid w:val="00475240"/>
    <w:rsid w:val="004753EC"/>
    <w:rsid w:val="004755CB"/>
    <w:rsid w:val="00475E04"/>
    <w:rsid w:val="0047689C"/>
    <w:rsid w:val="0047737A"/>
    <w:rsid w:val="00477F4F"/>
    <w:rsid w:val="00480127"/>
    <w:rsid w:val="004805A0"/>
    <w:rsid w:val="00480A18"/>
    <w:rsid w:val="0048167D"/>
    <w:rsid w:val="004818A2"/>
    <w:rsid w:val="004819E7"/>
    <w:rsid w:val="00482A8C"/>
    <w:rsid w:val="0048344B"/>
    <w:rsid w:val="00483A44"/>
    <w:rsid w:val="00483C59"/>
    <w:rsid w:val="004857A3"/>
    <w:rsid w:val="00485D3F"/>
    <w:rsid w:val="00485F9D"/>
    <w:rsid w:val="00486797"/>
    <w:rsid w:val="00486940"/>
    <w:rsid w:val="00486A68"/>
    <w:rsid w:val="00486EE5"/>
    <w:rsid w:val="00486F58"/>
    <w:rsid w:val="004870CB"/>
    <w:rsid w:val="00487276"/>
    <w:rsid w:val="00487769"/>
    <w:rsid w:val="00487A5F"/>
    <w:rsid w:val="00487ACF"/>
    <w:rsid w:val="00491023"/>
    <w:rsid w:val="00491AD4"/>
    <w:rsid w:val="00492D22"/>
    <w:rsid w:val="004930C5"/>
    <w:rsid w:val="00493FA7"/>
    <w:rsid w:val="00494725"/>
    <w:rsid w:val="004947B1"/>
    <w:rsid w:val="00495116"/>
    <w:rsid w:val="00495A4F"/>
    <w:rsid w:val="00496025"/>
    <w:rsid w:val="0049628D"/>
    <w:rsid w:val="00497173"/>
    <w:rsid w:val="0049795E"/>
    <w:rsid w:val="00497B6C"/>
    <w:rsid w:val="004A1213"/>
    <w:rsid w:val="004A2909"/>
    <w:rsid w:val="004A2944"/>
    <w:rsid w:val="004A296D"/>
    <w:rsid w:val="004A2C3B"/>
    <w:rsid w:val="004A329A"/>
    <w:rsid w:val="004A4060"/>
    <w:rsid w:val="004A47C3"/>
    <w:rsid w:val="004A4858"/>
    <w:rsid w:val="004A4A55"/>
    <w:rsid w:val="004A5646"/>
    <w:rsid w:val="004A570F"/>
    <w:rsid w:val="004A63AC"/>
    <w:rsid w:val="004A6435"/>
    <w:rsid w:val="004A6548"/>
    <w:rsid w:val="004A737E"/>
    <w:rsid w:val="004A7957"/>
    <w:rsid w:val="004A79F8"/>
    <w:rsid w:val="004B1CAB"/>
    <w:rsid w:val="004B2577"/>
    <w:rsid w:val="004B3539"/>
    <w:rsid w:val="004B3AA6"/>
    <w:rsid w:val="004B5009"/>
    <w:rsid w:val="004B50E7"/>
    <w:rsid w:val="004B65DA"/>
    <w:rsid w:val="004B7018"/>
    <w:rsid w:val="004B71BB"/>
    <w:rsid w:val="004B750F"/>
    <w:rsid w:val="004B795F"/>
    <w:rsid w:val="004B7991"/>
    <w:rsid w:val="004C062E"/>
    <w:rsid w:val="004C06F1"/>
    <w:rsid w:val="004C1E8B"/>
    <w:rsid w:val="004C2637"/>
    <w:rsid w:val="004C2751"/>
    <w:rsid w:val="004C2A95"/>
    <w:rsid w:val="004C3129"/>
    <w:rsid w:val="004C3891"/>
    <w:rsid w:val="004C3B60"/>
    <w:rsid w:val="004C46A0"/>
    <w:rsid w:val="004C48FC"/>
    <w:rsid w:val="004C4D43"/>
    <w:rsid w:val="004C53E6"/>
    <w:rsid w:val="004C5E3C"/>
    <w:rsid w:val="004C651F"/>
    <w:rsid w:val="004C74E1"/>
    <w:rsid w:val="004C7FC2"/>
    <w:rsid w:val="004D0577"/>
    <w:rsid w:val="004D10FD"/>
    <w:rsid w:val="004D150F"/>
    <w:rsid w:val="004D156F"/>
    <w:rsid w:val="004D1915"/>
    <w:rsid w:val="004D2013"/>
    <w:rsid w:val="004D22EE"/>
    <w:rsid w:val="004D2FCA"/>
    <w:rsid w:val="004D31D1"/>
    <w:rsid w:val="004D358A"/>
    <w:rsid w:val="004D48B5"/>
    <w:rsid w:val="004D5459"/>
    <w:rsid w:val="004D56AB"/>
    <w:rsid w:val="004D5A7A"/>
    <w:rsid w:val="004D5B9F"/>
    <w:rsid w:val="004D5E21"/>
    <w:rsid w:val="004D63AE"/>
    <w:rsid w:val="004D65B0"/>
    <w:rsid w:val="004D6892"/>
    <w:rsid w:val="004D7856"/>
    <w:rsid w:val="004D7EE1"/>
    <w:rsid w:val="004E06F0"/>
    <w:rsid w:val="004E08F5"/>
    <w:rsid w:val="004E0F53"/>
    <w:rsid w:val="004E1AAB"/>
    <w:rsid w:val="004E2BAF"/>
    <w:rsid w:val="004E423B"/>
    <w:rsid w:val="004E484C"/>
    <w:rsid w:val="004E4CFF"/>
    <w:rsid w:val="004E575D"/>
    <w:rsid w:val="004E5ED5"/>
    <w:rsid w:val="004E5F43"/>
    <w:rsid w:val="004F0765"/>
    <w:rsid w:val="004F10CB"/>
    <w:rsid w:val="004F1675"/>
    <w:rsid w:val="004F2217"/>
    <w:rsid w:val="004F295A"/>
    <w:rsid w:val="004F2A3E"/>
    <w:rsid w:val="004F2B0A"/>
    <w:rsid w:val="004F358D"/>
    <w:rsid w:val="004F38F1"/>
    <w:rsid w:val="004F3F94"/>
    <w:rsid w:val="004F5D22"/>
    <w:rsid w:val="004F6279"/>
    <w:rsid w:val="004F7413"/>
    <w:rsid w:val="004F7880"/>
    <w:rsid w:val="004F7950"/>
    <w:rsid w:val="004F7A1F"/>
    <w:rsid w:val="004F7A35"/>
    <w:rsid w:val="004F7B57"/>
    <w:rsid w:val="00500065"/>
    <w:rsid w:val="0050016E"/>
    <w:rsid w:val="005001E4"/>
    <w:rsid w:val="0050021E"/>
    <w:rsid w:val="00500CF3"/>
    <w:rsid w:val="00502E35"/>
    <w:rsid w:val="00503248"/>
    <w:rsid w:val="00504C9E"/>
    <w:rsid w:val="00504CC3"/>
    <w:rsid w:val="005056E8"/>
    <w:rsid w:val="00505FC0"/>
    <w:rsid w:val="00506049"/>
    <w:rsid w:val="005062AB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CDA"/>
    <w:rsid w:val="005130AB"/>
    <w:rsid w:val="005132FB"/>
    <w:rsid w:val="00514822"/>
    <w:rsid w:val="00514AC0"/>
    <w:rsid w:val="0051512B"/>
    <w:rsid w:val="0052059B"/>
    <w:rsid w:val="00520770"/>
    <w:rsid w:val="00520815"/>
    <w:rsid w:val="00520F51"/>
    <w:rsid w:val="00521955"/>
    <w:rsid w:val="005220A6"/>
    <w:rsid w:val="005220E7"/>
    <w:rsid w:val="00522267"/>
    <w:rsid w:val="0052234A"/>
    <w:rsid w:val="00522974"/>
    <w:rsid w:val="005235E1"/>
    <w:rsid w:val="00523DC1"/>
    <w:rsid w:val="0052410C"/>
    <w:rsid w:val="005245C7"/>
    <w:rsid w:val="005267C7"/>
    <w:rsid w:val="00526DB9"/>
    <w:rsid w:val="005270B1"/>
    <w:rsid w:val="00527101"/>
    <w:rsid w:val="005277DE"/>
    <w:rsid w:val="00531697"/>
    <w:rsid w:val="0053297F"/>
    <w:rsid w:val="00532D0B"/>
    <w:rsid w:val="0053405B"/>
    <w:rsid w:val="00534781"/>
    <w:rsid w:val="00534951"/>
    <w:rsid w:val="00534955"/>
    <w:rsid w:val="00534CFE"/>
    <w:rsid w:val="005356F1"/>
    <w:rsid w:val="00535973"/>
    <w:rsid w:val="00536267"/>
    <w:rsid w:val="0053630C"/>
    <w:rsid w:val="005367AD"/>
    <w:rsid w:val="00537172"/>
    <w:rsid w:val="00537220"/>
    <w:rsid w:val="00537415"/>
    <w:rsid w:val="0053766D"/>
    <w:rsid w:val="0053788E"/>
    <w:rsid w:val="00537AE7"/>
    <w:rsid w:val="00537FE9"/>
    <w:rsid w:val="005402B5"/>
    <w:rsid w:val="00540431"/>
    <w:rsid w:val="00541221"/>
    <w:rsid w:val="005415C3"/>
    <w:rsid w:val="0054163A"/>
    <w:rsid w:val="00541816"/>
    <w:rsid w:val="005422B1"/>
    <w:rsid w:val="00542331"/>
    <w:rsid w:val="00542AB4"/>
    <w:rsid w:val="00543496"/>
    <w:rsid w:val="005438F5"/>
    <w:rsid w:val="00543F49"/>
    <w:rsid w:val="00545250"/>
    <w:rsid w:val="005452AD"/>
    <w:rsid w:val="00545DFB"/>
    <w:rsid w:val="00546838"/>
    <w:rsid w:val="0054691A"/>
    <w:rsid w:val="00546F69"/>
    <w:rsid w:val="005474A2"/>
    <w:rsid w:val="00547FDB"/>
    <w:rsid w:val="005505D9"/>
    <w:rsid w:val="00550C4D"/>
    <w:rsid w:val="00550DE8"/>
    <w:rsid w:val="00551855"/>
    <w:rsid w:val="0055242A"/>
    <w:rsid w:val="00552C3E"/>
    <w:rsid w:val="0055350C"/>
    <w:rsid w:val="0055415C"/>
    <w:rsid w:val="0055444D"/>
    <w:rsid w:val="00554D76"/>
    <w:rsid w:val="00554EB4"/>
    <w:rsid w:val="00555169"/>
    <w:rsid w:val="00555451"/>
    <w:rsid w:val="00555870"/>
    <w:rsid w:val="005563CC"/>
    <w:rsid w:val="005575C6"/>
    <w:rsid w:val="005577CE"/>
    <w:rsid w:val="00557C4E"/>
    <w:rsid w:val="00557E9F"/>
    <w:rsid w:val="00560D01"/>
    <w:rsid w:val="005628B9"/>
    <w:rsid w:val="00562DA0"/>
    <w:rsid w:val="005635DE"/>
    <w:rsid w:val="0056462C"/>
    <w:rsid w:val="00564C33"/>
    <w:rsid w:val="00564D18"/>
    <w:rsid w:val="0056500A"/>
    <w:rsid w:val="0056558A"/>
    <w:rsid w:val="00565DC1"/>
    <w:rsid w:val="00565EC7"/>
    <w:rsid w:val="0056657B"/>
    <w:rsid w:val="00566673"/>
    <w:rsid w:val="005666B6"/>
    <w:rsid w:val="00566852"/>
    <w:rsid w:val="00567BC1"/>
    <w:rsid w:val="00570376"/>
    <w:rsid w:val="00570A05"/>
    <w:rsid w:val="00570CF6"/>
    <w:rsid w:val="00571A00"/>
    <w:rsid w:val="005722B4"/>
    <w:rsid w:val="00572A56"/>
    <w:rsid w:val="00573C5A"/>
    <w:rsid w:val="00574243"/>
    <w:rsid w:val="00575077"/>
    <w:rsid w:val="0057570E"/>
    <w:rsid w:val="00575A00"/>
    <w:rsid w:val="00576004"/>
    <w:rsid w:val="00576BD1"/>
    <w:rsid w:val="0058000B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269B"/>
    <w:rsid w:val="00582BB8"/>
    <w:rsid w:val="0058430C"/>
    <w:rsid w:val="00584768"/>
    <w:rsid w:val="005847D0"/>
    <w:rsid w:val="00584AC9"/>
    <w:rsid w:val="005850B8"/>
    <w:rsid w:val="00585CAF"/>
    <w:rsid w:val="00586942"/>
    <w:rsid w:val="00586985"/>
    <w:rsid w:val="00590A65"/>
    <w:rsid w:val="00590E1B"/>
    <w:rsid w:val="00591261"/>
    <w:rsid w:val="005925A2"/>
    <w:rsid w:val="00592C1E"/>
    <w:rsid w:val="00592FD1"/>
    <w:rsid w:val="005930D8"/>
    <w:rsid w:val="00593315"/>
    <w:rsid w:val="00593A4C"/>
    <w:rsid w:val="00593AA0"/>
    <w:rsid w:val="00594012"/>
    <w:rsid w:val="00594083"/>
    <w:rsid w:val="0059457F"/>
    <w:rsid w:val="00594C7A"/>
    <w:rsid w:val="00595367"/>
    <w:rsid w:val="00595AA8"/>
    <w:rsid w:val="0059623E"/>
    <w:rsid w:val="00596706"/>
    <w:rsid w:val="005972EB"/>
    <w:rsid w:val="005976C0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946"/>
    <w:rsid w:val="005A4A05"/>
    <w:rsid w:val="005A4A81"/>
    <w:rsid w:val="005A4EC8"/>
    <w:rsid w:val="005A53BE"/>
    <w:rsid w:val="005A5536"/>
    <w:rsid w:val="005A5B03"/>
    <w:rsid w:val="005A5EE2"/>
    <w:rsid w:val="005A6507"/>
    <w:rsid w:val="005A69A2"/>
    <w:rsid w:val="005A7557"/>
    <w:rsid w:val="005A7748"/>
    <w:rsid w:val="005A7B04"/>
    <w:rsid w:val="005B0512"/>
    <w:rsid w:val="005B1027"/>
    <w:rsid w:val="005B152B"/>
    <w:rsid w:val="005B2128"/>
    <w:rsid w:val="005B2157"/>
    <w:rsid w:val="005B2FD6"/>
    <w:rsid w:val="005B3047"/>
    <w:rsid w:val="005B349D"/>
    <w:rsid w:val="005B362F"/>
    <w:rsid w:val="005B3841"/>
    <w:rsid w:val="005B4279"/>
    <w:rsid w:val="005B4733"/>
    <w:rsid w:val="005B4A47"/>
    <w:rsid w:val="005B4DDC"/>
    <w:rsid w:val="005B5221"/>
    <w:rsid w:val="005B56D3"/>
    <w:rsid w:val="005B5B56"/>
    <w:rsid w:val="005B61D3"/>
    <w:rsid w:val="005B66DD"/>
    <w:rsid w:val="005B69EE"/>
    <w:rsid w:val="005B6D8C"/>
    <w:rsid w:val="005B6FFB"/>
    <w:rsid w:val="005B7487"/>
    <w:rsid w:val="005B77BA"/>
    <w:rsid w:val="005B7CCE"/>
    <w:rsid w:val="005B7D1D"/>
    <w:rsid w:val="005C0B34"/>
    <w:rsid w:val="005C1390"/>
    <w:rsid w:val="005C1449"/>
    <w:rsid w:val="005C1D6B"/>
    <w:rsid w:val="005C284D"/>
    <w:rsid w:val="005C29F6"/>
    <w:rsid w:val="005C3AA7"/>
    <w:rsid w:val="005C4373"/>
    <w:rsid w:val="005C452A"/>
    <w:rsid w:val="005C4E1A"/>
    <w:rsid w:val="005C5F26"/>
    <w:rsid w:val="005C5FE4"/>
    <w:rsid w:val="005C615E"/>
    <w:rsid w:val="005C6166"/>
    <w:rsid w:val="005C6B42"/>
    <w:rsid w:val="005C6F82"/>
    <w:rsid w:val="005C7629"/>
    <w:rsid w:val="005C76EC"/>
    <w:rsid w:val="005C7ED7"/>
    <w:rsid w:val="005D073C"/>
    <w:rsid w:val="005D162F"/>
    <w:rsid w:val="005D207C"/>
    <w:rsid w:val="005D28FB"/>
    <w:rsid w:val="005D2FA7"/>
    <w:rsid w:val="005D3616"/>
    <w:rsid w:val="005D4211"/>
    <w:rsid w:val="005D49AA"/>
    <w:rsid w:val="005D4A9D"/>
    <w:rsid w:val="005D5632"/>
    <w:rsid w:val="005D5C64"/>
    <w:rsid w:val="005D6255"/>
    <w:rsid w:val="005D6276"/>
    <w:rsid w:val="005D64EF"/>
    <w:rsid w:val="005D6F04"/>
    <w:rsid w:val="005D76C4"/>
    <w:rsid w:val="005E0D82"/>
    <w:rsid w:val="005E1506"/>
    <w:rsid w:val="005E19C5"/>
    <w:rsid w:val="005E1FB6"/>
    <w:rsid w:val="005E2163"/>
    <w:rsid w:val="005E23E2"/>
    <w:rsid w:val="005E261E"/>
    <w:rsid w:val="005E3171"/>
    <w:rsid w:val="005E3AAF"/>
    <w:rsid w:val="005E3B78"/>
    <w:rsid w:val="005E4412"/>
    <w:rsid w:val="005E46B4"/>
    <w:rsid w:val="005E4879"/>
    <w:rsid w:val="005E49C4"/>
    <w:rsid w:val="005E4ACC"/>
    <w:rsid w:val="005E4D0C"/>
    <w:rsid w:val="005E66C4"/>
    <w:rsid w:val="005E6AB3"/>
    <w:rsid w:val="005E6B34"/>
    <w:rsid w:val="005E7D38"/>
    <w:rsid w:val="005E7E30"/>
    <w:rsid w:val="005F0246"/>
    <w:rsid w:val="005F1439"/>
    <w:rsid w:val="005F1549"/>
    <w:rsid w:val="005F1709"/>
    <w:rsid w:val="005F1748"/>
    <w:rsid w:val="005F2706"/>
    <w:rsid w:val="005F30B8"/>
    <w:rsid w:val="005F3256"/>
    <w:rsid w:val="005F3F04"/>
    <w:rsid w:val="005F488A"/>
    <w:rsid w:val="005F5F5F"/>
    <w:rsid w:val="005F63B3"/>
    <w:rsid w:val="005F6817"/>
    <w:rsid w:val="005F736A"/>
    <w:rsid w:val="005F7D72"/>
    <w:rsid w:val="0060059E"/>
    <w:rsid w:val="0060097E"/>
    <w:rsid w:val="00601123"/>
    <w:rsid w:val="006019F4"/>
    <w:rsid w:val="006024CA"/>
    <w:rsid w:val="00602518"/>
    <w:rsid w:val="00602947"/>
    <w:rsid w:val="00602AA6"/>
    <w:rsid w:val="006039A5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159"/>
    <w:rsid w:val="00607F0E"/>
    <w:rsid w:val="00607FEC"/>
    <w:rsid w:val="0061006B"/>
    <w:rsid w:val="006105D9"/>
    <w:rsid w:val="00610B20"/>
    <w:rsid w:val="00611BB9"/>
    <w:rsid w:val="00611DF4"/>
    <w:rsid w:val="00611FA2"/>
    <w:rsid w:val="00612009"/>
    <w:rsid w:val="00612490"/>
    <w:rsid w:val="00612D0B"/>
    <w:rsid w:val="006131BB"/>
    <w:rsid w:val="0061362F"/>
    <w:rsid w:val="0061393C"/>
    <w:rsid w:val="00613D8A"/>
    <w:rsid w:val="006156CE"/>
    <w:rsid w:val="006159FC"/>
    <w:rsid w:val="00615B25"/>
    <w:rsid w:val="00616659"/>
    <w:rsid w:val="00616781"/>
    <w:rsid w:val="00616F06"/>
    <w:rsid w:val="00616F13"/>
    <w:rsid w:val="00617467"/>
    <w:rsid w:val="00620239"/>
    <w:rsid w:val="00621B6D"/>
    <w:rsid w:val="00623FEE"/>
    <w:rsid w:val="006242C4"/>
    <w:rsid w:val="00625102"/>
    <w:rsid w:val="0062571E"/>
    <w:rsid w:val="00625B85"/>
    <w:rsid w:val="00626832"/>
    <w:rsid w:val="00626FB8"/>
    <w:rsid w:val="00627EF3"/>
    <w:rsid w:val="00630442"/>
    <w:rsid w:val="006307B0"/>
    <w:rsid w:val="00630968"/>
    <w:rsid w:val="00630AD6"/>
    <w:rsid w:val="0063112E"/>
    <w:rsid w:val="0063118E"/>
    <w:rsid w:val="0063161A"/>
    <w:rsid w:val="00631FD4"/>
    <w:rsid w:val="00631FE4"/>
    <w:rsid w:val="006326A4"/>
    <w:rsid w:val="0063286B"/>
    <w:rsid w:val="0063325A"/>
    <w:rsid w:val="00633A8E"/>
    <w:rsid w:val="00633BD2"/>
    <w:rsid w:val="0063418C"/>
    <w:rsid w:val="00634928"/>
    <w:rsid w:val="00634BD7"/>
    <w:rsid w:val="00634C10"/>
    <w:rsid w:val="00634CC5"/>
    <w:rsid w:val="006354C6"/>
    <w:rsid w:val="0063550F"/>
    <w:rsid w:val="00635750"/>
    <w:rsid w:val="00635D5C"/>
    <w:rsid w:val="0063609E"/>
    <w:rsid w:val="00636F41"/>
    <w:rsid w:val="006371DE"/>
    <w:rsid w:val="006406E0"/>
    <w:rsid w:val="006406EC"/>
    <w:rsid w:val="006406EE"/>
    <w:rsid w:val="0064071B"/>
    <w:rsid w:val="00641DBF"/>
    <w:rsid w:val="00642367"/>
    <w:rsid w:val="00642690"/>
    <w:rsid w:val="00642B26"/>
    <w:rsid w:val="00642CC2"/>
    <w:rsid w:val="00643B74"/>
    <w:rsid w:val="00643EEE"/>
    <w:rsid w:val="00644AAB"/>
    <w:rsid w:val="00644E48"/>
    <w:rsid w:val="00645AD9"/>
    <w:rsid w:val="0064637D"/>
    <w:rsid w:val="00646A0A"/>
    <w:rsid w:val="00646AAB"/>
    <w:rsid w:val="00647144"/>
    <w:rsid w:val="00647200"/>
    <w:rsid w:val="0064730B"/>
    <w:rsid w:val="0064746D"/>
    <w:rsid w:val="0065077F"/>
    <w:rsid w:val="00650C26"/>
    <w:rsid w:val="00650CC5"/>
    <w:rsid w:val="006519FF"/>
    <w:rsid w:val="00651BF5"/>
    <w:rsid w:val="00651FA9"/>
    <w:rsid w:val="00652211"/>
    <w:rsid w:val="006528DE"/>
    <w:rsid w:val="00653071"/>
    <w:rsid w:val="00653498"/>
    <w:rsid w:val="006534EA"/>
    <w:rsid w:val="006539F7"/>
    <w:rsid w:val="00653BE3"/>
    <w:rsid w:val="00653D18"/>
    <w:rsid w:val="00654212"/>
    <w:rsid w:val="00654BC5"/>
    <w:rsid w:val="00655EA8"/>
    <w:rsid w:val="006565A5"/>
    <w:rsid w:val="006567FD"/>
    <w:rsid w:val="00656E37"/>
    <w:rsid w:val="00657038"/>
    <w:rsid w:val="006607CB"/>
    <w:rsid w:val="00661042"/>
    <w:rsid w:val="006612C0"/>
    <w:rsid w:val="006613D6"/>
    <w:rsid w:val="00661E2C"/>
    <w:rsid w:val="00662CE2"/>
    <w:rsid w:val="00662EDB"/>
    <w:rsid w:val="006641DB"/>
    <w:rsid w:val="00664210"/>
    <w:rsid w:val="00664C8E"/>
    <w:rsid w:val="0066592C"/>
    <w:rsid w:val="00665DF7"/>
    <w:rsid w:val="0066631B"/>
    <w:rsid w:val="006677AD"/>
    <w:rsid w:val="00667CCD"/>
    <w:rsid w:val="006703D8"/>
    <w:rsid w:val="00670CAA"/>
    <w:rsid w:val="00670D11"/>
    <w:rsid w:val="0067138E"/>
    <w:rsid w:val="006713CC"/>
    <w:rsid w:val="00671802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A32"/>
    <w:rsid w:val="00674CBF"/>
    <w:rsid w:val="00674D94"/>
    <w:rsid w:val="006751F9"/>
    <w:rsid w:val="0067567F"/>
    <w:rsid w:val="00675B3F"/>
    <w:rsid w:val="00675BA3"/>
    <w:rsid w:val="00676D59"/>
    <w:rsid w:val="00677241"/>
    <w:rsid w:val="00677A19"/>
    <w:rsid w:val="00680885"/>
    <w:rsid w:val="006812BE"/>
    <w:rsid w:val="00681C38"/>
    <w:rsid w:val="00681CF9"/>
    <w:rsid w:val="00681FEF"/>
    <w:rsid w:val="006821B4"/>
    <w:rsid w:val="0068269A"/>
    <w:rsid w:val="0068328E"/>
    <w:rsid w:val="00683FDC"/>
    <w:rsid w:val="006848D9"/>
    <w:rsid w:val="00684AFF"/>
    <w:rsid w:val="00684B97"/>
    <w:rsid w:val="006852F4"/>
    <w:rsid w:val="0068765A"/>
    <w:rsid w:val="006879F4"/>
    <w:rsid w:val="00690C31"/>
    <w:rsid w:val="0069325C"/>
    <w:rsid w:val="0069382F"/>
    <w:rsid w:val="006945AF"/>
    <w:rsid w:val="0069494E"/>
    <w:rsid w:val="00694AE3"/>
    <w:rsid w:val="006953B9"/>
    <w:rsid w:val="00695CA4"/>
    <w:rsid w:val="006960D3"/>
    <w:rsid w:val="00696327"/>
    <w:rsid w:val="0069777A"/>
    <w:rsid w:val="00697D19"/>
    <w:rsid w:val="00697DB5"/>
    <w:rsid w:val="006A0282"/>
    <w:rsid w:val="006A0325"/>
    <w:rsid w:val="006A1403"/>
    <w:rsid w:val="006A17B0"/>
    <w:rsid w:val="006A1933"/>
    <w:rsid w:val="006A1B7D"/>
    <w:rsid w:val="006A2870"/>
    <w:rsid w:val="006A2957"/>
    <w:rsid w:val="006A2A7A"/>
    <w:rsid w:val="006A3604"/>
    <w:rsid w:val="006A3898"/>
    <w:rsid w:val="006A3AFB"/>
    <w:rsid w:val="006A3BB4"/>
    <w:rsid w:val="006A3D6A"/>
    <w:rsid w:val="006A40DA"/>
    <w:rsid w:val="006A432C"/>
    <w:rsid w:val="006A4528"/>
    <w:rsid w:val="006A49BC"/>
    <w:rsid w:val="006A4B49"/>
    <w:rsid w:val="006A4B4A"/>
    <w:rsid w:val="006A5404"/>
    <w:rsid w:val="006A58CA"/>
    <w:rsid w:val="006A5E4E"/>
    <w:rsid w:val="006A6303"/>
    <w:rsid w:val="006A65AD"/>
    <w:rsid w:val="006A689C"/>
    <w:rsid w:val="006A6C3E"/>
    <w:rsid w:val="006A7649"/>
    <w:rsid w:val="006A77DB"/>
    <w:rsid w:val="006A7FD1"/>
    <w:rsid w:val="006B033C"/>
    <w:rsid w:val="006B068C"/>
    <w:rsid w:val="006B09A5"/>
    <w:rsid w:val="006B09AE"/>
    <w:rsid w:val="006B16BD"/>
    <w:rsid w:val="006B1C54"/>
    <w:rsid w:val="006B1F53"/>
    <w:rsid w:val="006B23DA"/>
    <w:rsid w:val="006B2740"/>
    <w:rsid w:val="006B3098"/>
    <w:rsid w:val="006B3800"/>
    <w:rsid w:val="006B3BA5"/>
    <w:rsid w:val="006B3DF5"/>
    <w:rsid w:val="006B4275"/>
    <w:rsid w:val="006B55AD"/>
    <w:rsid w:val="006B5BD8"/>
    <w:rsid w:val="006B72D3"/>
    <w:rsid w:val="006B73C8"/>
    <w:rsid w:val="006B7A53"/>
    <w:rsid w:val="006C0337"/>
    <w:rsid w:val="006C10C6"/>
    <w:rsid w:val="006C19DC"/>
    <w:rsid w:val="006C26CC"/>
    <w:rsid w:val="006C294B"/>
    <w:rsid w:val="006C37B2"/>
    <w:rsid w:val="006C3BB5"/>
    <w:rsid w:val="006C3CBF"/>
    <w:rsid w:val="006C4D8D"/>
    <w:rsid w:val="006C6450"/>
    <w:rsid w:val="006C686B"/>
    <w:rsid w:val="006C6D84"/>
    <w:rsid w:val="006C7AD1"/>
    <w:rsid w:val="006D0AF8"/>
    <w:rsid w:val="006D0E9E"/>
    <w:rsid w:val="006D0FEF"/>
    <w:rsid w:val="006D1056"/>
    <w:rsid w:val="006D1407"/>
    <w:rsid w:val="006D1436"/>
    <w:rsid w:val="006D2BEC"/>
    <w:rsid w:val="006D305C"/>
    <w:rsid w:val="006D41F2"/>
    <w:rsid w:val="006D58F9"/>
    <w:rsid w:val="006D62D5"/>
    <w:rsid w:val="006D6366"/>
    <w:rsid w:val="006D63E9"/>
    <w:rsid w:val="006D6818"/>
    <w:rsid w:val="006D7F35"/>
    <w:rsid w:val="006E1B5C"/>
    <w:rsid w:val="006E23A9"/>
    <w:rsid w:val="006E299B"/>
    <w:rsid w:val="006E384E"/>
    <w:rsid w:val="006E4B4C"/>
    <w:rsid w:val="006E506D"/>
    <w:rsid w:val="006E590D"/>
    <w:rsid w:val="006E60FD"/>
    <w:rsid w:val="006E77D5"/>
    <w:rsid w:val="006E7BCF"/>
    <w:rsid w:val="006E7EC6"/>
    <w:rsid w:val="006F1C2B"/>
    <w:rsid w:val="006F1D10"/>
    <w:rsid w:val="006F2109"/>
    <w:rsid w:val="006F214E"/>
    <w:rsid w:val="006F2619"/>
    <w:rsid w:val="006F3291"/>
    <w:rsid w:val="006F40AD"/>
    <w:rsid w:val="006F42D1"/>
    <w:rsid w:val="006F46AF"/>
    <w:rsid w:val="006F47AE"/>
    <w:rsid w:val="006F6171"/>
    <w:rsid w:val="006F6325"/>
    <w:rsid w:val="006F688A"/>
    <w:rsid w:val="006F6D4E"/>
    <w:rsid w:val="006F7809"/>
    <w:rsid w:val="006F78EA"/>
    <w:rsid w:val="006F7BA1"/>
    <w:rsid w:val="00700445"/>
    <w:rsid w:val="00700632"/>
    <w:rsid w:val="0070115D"/>
    <w:rsid w:val="00702559"/>
    <w:rsid w:val="007033B2"/>
    <w:rsid w:val="00704636"/>
    <w:rsid w:val="00704A02"/>
    <w:rsid w:val="00704BA0"/>
    <w:rsid w:val="00705AFD"/>
    <w:rsid w:val="007060E0"/>
    <w:rsid w:val="007065A8"/>
    <w:rsid w:val="00706763"/>
    <w:rsid w:val="00706FA3"/>
    <w:rsid w:val="00707433"/>
    <w:rsid w:val="00710041"/>
    <w:rsid w:val="00710F85"/>
    <w:rsid w:val="00711670"/>
    <w:rsid w:val="00712199"/>
    <w:rsid w:val="00712989"/>
    <w:rsid w:val="00712CF0"/>
    <w:rsid w:val="00712EAB"/>
    <w:rsid w:val="00713054"/>
    <w:rsid w:val="00715297"/>
    <w:rsid w:val="00715419"/>
    <w:rsid w:val="0071771A"/>
    <w:rsid w:val="0072032E"/>
    <w:rsid w:val="007211AA"/>
    <w:rsid w:val="007215E4"/>
    <w:rsid w:val="007216D1"/>
    <w:rsid w:val="00722924"/>
    <w:rsid w:val="00722CB1"/>
    <w:rsid w:val="00724889"/>
    <w:rsid w:val="00724916"/>
    <w:rsid w:val="0072500D"/>
    <w:rsid w:val="007266D8"/>
    <w:rsid w:val="00726762"/>
    <w:rsid w:val="007267B4"/>
    <w:rsid w:val="00726B2C"/>
    <w:rsid w:val="00726C5F"/>
    <w:rsid w:val="00727ACD"/>
    <w:rsid w:val="007303D2"/>
    <w:rsid w:val="00730C6F"/>
    <w:rsid w:val="00731850"/>
    <w:rsid w:val="00731E3D"/>
    <w:rsid w:val="00731E78"/>
    <w:rsid w:val="007328E2"/>
    <w:rsid w:val="007329A2"/>
    <w:rsid w:val="00732BD8"/>
    <w:rsid w:val="00733077"/>
    <w:rsid w:val="007332E0"/>
    <w:rsid w:val="00733517"/>
    <w:rsid w:val="00733CD6"/>
    <w:rsid w:val="007349D2"/>
    <w:rsid w:val="007354CE"/>
    <w:rsid w:val="00735CAD"/>
    <w:rsid w:val="00735FB9"/>
    <w:rsid w:val="00736D1C"/>
    <w:rsid w:val="0073737B"/>
    <w:rsid w:val="0073793B"/>
    <w:rsid w:val="00737C8C"/>
    <w:rsid w:val="00740077"/>
    <w:rsid w:val="00740EEE"/>
    <w:rsid w:val="00740FD3"/>
    <w:rsid w:val="00741875"/>
    <w:rsid w:val="00742026"/>
    <w:rsid w:val="007427C4"/>
    <w:rsid w:val="00743D47"/>
    <w:rsid w:val="00744098"/>
    <w:rsid w:val="0074446E"/>
    <w:rsid w:val="007448B7"/>
    <w:rsid w:val="00745036"/>
    <w:rsid w:val="00745564"/>
    <w:rsid w:val="00745CFF"/>
    <w:rsid w:val="00745E43"/>
    <w:rsid w:val="00747395"/>
    <w:rsid w:val="00747A2A"/>
    <w:rsid w:val="00751317"/>
    <w:rsid w:val="00752BF8"/>
    <w:rsid w:val="00752F08"/>
    <w:rsid w:val="00753961"/>
    <w:rsid w:val="00754161"/>
    <w:rsid w:val="00754877"/>
    <w:rsid w:val="007549C1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C7"/>
    <w:rsid w:val="00757A4B"/>
    <w:rsid w:val="00757B82"/>
    <w:rsid w:val="00757C67"/>
    <w:rsid w:val="00761510"/>
    <w:rsid w:val="0076238B"/>
    <w:rsid w:val="00762D69"/>
    <w:rsid w:val="0076439C"/>
    <w:rsid w:val="00764B54"/>
    <w:rsid w:val="00764B65"/>
    <w:rsid w:val="00764CB8"/>
    <w:rsid w:val="00765876"/>
    <w:rsid w:val="007659B0"/>
    <w:rsid w:val="00765EE7"/>
    <w:rsid w:val="00766168"/>
    <w:rsid w:val="007667EB"/>
    <w:rsid w:val="007669AE"/>
    <w:rsid w:val="00767791"/>
    <w:rsid w:val="007678CA"/>
    <w:rsid w:val="00770154"/>
    <w:rsid w:val="00770852"/>
    <w:rsid w:val="00770B56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10A"/>
    <w:rsid w:val="007762FD"/>
    <w:rsid w:val="007767D0"/>
    <w:rsid w:val="00776B25"/>
    <w:rsid w:val="0077700C"/>
    <w:rsid w:val="00777CDD"/>
    <w:rsid w:val="00777E9E"/>
    <w:rsid w:val="00777F4D"/>
    <w:rsid w:val="007804FF"/>
    <w:rsid w:val="007805E8"/>
    <w:rsid w:val="0078174A"/>
    <w:rsid w:val="00781E3C"/>
    <w:rsid w:val="00781ECB"/>
    <w:rsid w:val="00782C41"/>
    <w:rsid w:val="007832F8"/>
    <w:rsid w:val="00783776"/>
    <w:rsid w:val="00783AEC"/>
    <w:rsid w:val="00783B56"/>
    <w:rsid w:val="00783BE1"/>
    <w:rsid w:val="00784093"/>
    <w:rsid w:val="007858D3"/>
    <w:rsid w:val="007868A2"/>
    <w:rsid w:val="00786B6E"/>
    <w:rsid w:val="00786BF9"/>
    <w:rsid w:val="00787C32"/>
    <w:rsid w:val="00787FBD"/>
    <w:rsid w:val="007900C5"/>
    <w:rsid w:val="007902B8"/>
    <w:rsid w:val="0079057E"/>
    <w:rsid w:val="00790830"/>
    <w:rsid w:val="00790A8B"/>
    <w:rsid w:val="0079268B"/>
    <w:rsid w:val="00792E71"/>
    <w:rsid w:val="00793115"/>
    <w:rsid w:val="007940D0"/>
    <w:rsid w:val="00794785"/>
    <w:rsid w:val="0079496F"/>
    <w:rsid w:val="007954FF"/>
    <w:rsid w:val="007957A7"/>
    <w:rsid w:val="00796345"/>
    <w:rsid w:val="007976FB"/>
    <w:rsid w:val="00797C5E"/>
    <w:rsid w:val="007A0312"/>
    <w:rsid w:val="007A0376"/>
    <w:rsid w:val="007A18C6"/>
    <w:rsid w:val="007A1CA3"/>
    <w:rsid w:val="007A1CDD"/>
    <w:rsid w:val="007A38DB"/>
    <w:rsid w:val="007A3A78"/>
    <w:rsid w:val="007A4801"/>
    <w:rsid w:val="007A52E1"/>
    <w:rsid w:val="007A56B6"/>
    <w:rsid w:val="007A5B2D"/>
    <w:rsid w:val="007A5F84"/>
    <w:rsid w:val="007A6E95"/>
    <w:rsid w:val="007A7BFA"/>
    <w:rsid w:val="007B0803"/>
    <w:rsid w:val="007B0C06"/>
    <w:rsid w:val="007B1222"/>
    <w:rsid w:val="007B185B"/>
    <w:rsid w:val="007B1B9E"/>
    <w:rsid w:val="007B2377"/>
    <w:rsid w:val="007B2398"/>
    <w:rsid w:val="007B27AB"/>
    <w:rsid w:val="007B2B43"/>
    <w:rsid w:val="007B31C0"/>
    <w:rsid w:val="007B32A9"/>
    <w:rsid w:val="007B3797"/>
    <w:rsid w:val="007B4B9F"/>
    <w:rsid w:val="007B5CC4"/>
    <w:rsid w:val="007B6ED4"/>
    <w:rsid w:val="007C02AE"/>
    <w:rsid w:val="007C0C19"/>
    <w:rsid w:val="007C1687"/>
    <w:rsid w:val="007C243B"/>
    <w:rsid w:val="007C3039"/>
    <w:rsid w:val="007C325A"/>
    <w:rsid w:val="007C3358"/>
    <w:rsid w:val="007C4508"/>
    <w:rsid w:val="007C594F"/>
    <w:rsid w:val="007C63BD"/>
    <w:rsid w:val="007C6F0C"/>
    <w:rsid w:val="007C72F0"/>
    <w:rsid w:val="007C736E"/>
    <w:rsid w:val="007D2384"/>
    <w:rsid w:val="007D37EA"/>
    <w:rsid w:val="007D390C"/>
    <w:rsid w:val="007D4001"/>
    <w:rsid w:val="007D4137"/>
    <w:rsid w:val="007D4AC8"/>
    <w:rsid w:val="007D4BE8"/>
    <w:rsid w:val="007D4D43"/>
    <w:rsid w:val="007D5106"/>
    <w:rsid w:val="007D5550"/>
    <w:rsid w:val="007D64E1"/>
    <w:rsid w:val="007D6A75"/>
    <w:rsid w:val="007D7422"/>
    <w:rsid w:val="007D76A1"/>
    <w:rsid w:val="007D7AED"/>
    <w:rsid w:val="007D7B89"/>
    <w:rsid w:val="007E0615"/>
    <w:rsid w:val="007E1554"/>
    <w:rsid w:val="007E1BBA"/>
    <w:rsid w:val="007E251F"/>
    <w:rsid w:val="007E2D08"/>
    <w:rsid w:val="007E2E06"/>
    <w:rsid w:val="007E3B1A"/>
    <w:rsid w:val="007E3E76"/>
    <w:rsid w:val="007E3F0A"/>
    <w:rsid w:val="007E3F3A"/>
    <w:rsid w:val="007E4A6C"/>
    <w:rsid w:val="007E5414"/>
    <w:rsid w:val="007E54AF"/>
    <w:rsid w:val="007E5A80"/>
    <w:rsid w:val="007E5DB5"/>
    <w:rsid w:val="007E744F"/>
    <w:rsid w:val="007F0315"/>
    <w:rsid w:val="007F0658"/>
    <w:rsid w:val="007F07CE"/>
    <w:rsid w:val="007F08ED"/>
    <w:rsid w:val="007F0EF5"/>
    <w:rsid w:val="007F13A0"/>
    <w:rsid w:val="007F14C2"/>
    <w:rsid w:val="007F1816"/>
    <w:rsid w:val="007F18F7"/>
    <w:rsid w:val="007F1952"/>
    <w:rsid w:val="007F2B65"/>
    <w:rsid w:val="007F3C2C"/>
    <w:rsid w:val="007F451C"/>
    <w:rsid w:val="007F46C2"/>
    <w:rsid w:val="007F4B31"/>
    <w:rsid w:val="007F640A"/>
    <w:rsid w:val="007F652E"/>
    <w:rsid w:val="007F6DE5"/>
    <w:rsid w:val="007F76AC"/>
    <w:rsid w:val="007F7CC8"/>
    <w:rsid w:val="007F7E62"/>
    <w:rsid w:val="0080116C"/>
    <w:rsid w:val="00801C15"/>
    <w:rsid w:val="00801D58"/>
    <w:rsid w:val="00801E79"/>
    <w:rsid w:val="00802705"/>
    <w:rsid w:val="008027A9"/>
    <w:rsid w:val="00803494"/>
    <w:rsid w:val="00803FA6"/>
    <w:rsid w:val="008047A9"/>
    <w:rsid w:val="00804F33"/>
    <w:rsid w:val="00805255"/>
    <w:rsid w:val="008056BA"/>
    <w:rsid w:val="008058FF"/>
    <w:rsid w:val="008061D5"/>
    <w:rsid w:val="00806723"/>
    <w:rsid w:val="00806C3D"/>
    <w:rsid w:val="00807B49"/>
    <w:rsid w:val="0081019C"/>
    <w:rsid w:val="008102D3"/>
    <w:rsid w:val="008102FC"/>
    <w:rsid w:val="008107C8"/>
    <w:rsid w:val="00810B0A"/>
    <w:rsid w:val="00810D78"/>
    <w:rsid w:val="0081226B"/>
    <w:rsid w:val="00812B4E"/>
    <w:rsid w:val="00812ECB"/>
    <w:rsid w:val="00813080"/>
    <w:rsid w:val="00813E62"/>
    <w:rsid w:val="00813F69"/>
    <w:rsid w:val="008148B6"/>
    <w:rsid w:val="00815AC7"/>
    <w:rsid w:val="00816737"/>
    <w:rsid w:val="00816979"/>
    <w:rsid w:val="00817C75"/>
    <w:rsid w:val="00817CAB"/>
    <w:rsid w:val="00817FFE"/>
    <w:rsid w:val="008221A0"/>
    <w:rsid w:val="00822F07"/>
    <w:rsid w:val="00823B5A"/>
    <w:rsid w:val="00823D7D"/>
    <w:rsid w:val="008241CC"/>
    <w:rsid w:val="00824C53"/>
    <w:rsid w:val="00824FAA"/>
    <w:rsid w:val="00825379"/>
    <w:rsid w:val="00825D81"/>
    <w:rsid w:val="00826434"/>
    <w:rsid w:val="00826ABE"/>
    <w:rsid w:val="00826BD9"/>
    <w:rsid w:val="00826BF0"/>
    <w:rsid w:val="00826EC8"/>
    <w:rsid w:val="00826F68"/>
    <w:rsid w:val="00827409"/>
    <w:rsid w:val="00827A07"/>
    <w:rsid w:val="00832C1E"/>
    <w:rsid w:val="008333CE"/>
    <w:rsid w:val="008336A5"/>
    <w:rsid w:val="008338F3"/>
    <w:rsid w:val="00833AF0"/>
    <w:rsid w:val="0083457A"/>
    <w:rsid w:val="00834A4B"/>
    <w:rsid w:val="00834B63"/>
    <w:rsid w:val="00835427"/>
    <w:rsid w:val="00835E65"/>
    <w:rsid w:val="00836884"/>
    <w:rsid w:val="008369C1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332"/>
    <w:rsid w:val="00842D1D"/>
    <w:rsid w:val="00842E9C"/>
    <w:rsid w:val="008432F3"/>
    <w:rsid w:val="008435BE"/>
    <w:rsid w:val="008437C2"/>
    <w:rsid w:val="00844F5C"/>
    <w:rsid w:val="00845DFD"/>
    <w:rsid w:val="0084664C"/>
    <w:rsid w:val="0084669A"/>
    <w:rsid w:val="00846FB8"/>
    <w:rsid w:val="00847684"/>
    <w:rsid w:val="00847FCC"/>
    <w:rsid w:val="00850378"/>
    <w:rsid w:val="00850EBE"/>
    <w:rsid w:val="008513C5"/>
    <w:rsid w:val="0085246E"/>
    <w:rsid w:val="008524CE"/>
    <w:rsid w:val="00853013"/>
    <w:rsid w:val="00853E39"/>
    <w:rsid w:val="0085438A"/>
    <w:rsid w:val="00854D99"/>
    <w:rsid w:val="00854E4E"/>
    <w:rsid w:val="0085544F"/>
    <w:rsid w:val="0085587A"/>
    <w:rsid w:val="00855ECB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22B"/>
    <w:rsid w:val="0086068F"/>
    <w:rsid w:val="0086086A"/>
    <w:rsid w:val="00860D68"/>
    <w:rsid w:val="008611CC"/>
    <w:rsid w:val="00861397"/>
    <w:rsid w:val="00861403"/>
    <w:rsid w:val="008615B5"/>
    <w:rsid w:val="0086170D"/>
    <w:rsid w:val="0086255C"/>
    <w:rsid w:val="00862925"/>
    <w:rsid w:val="0086348B"/>
    <w:rsid w:val="008635DC"/>
    <w:rsid w:val="00863795"/>
    <w:rsid w:val="00863BE3"/>
    <w:rsid w:val="00864416"/>
    <w:rsid w:val="008649C3"/>
    <w:rsid w:val="00864B1A"/>
    <w:rsid w:val="00864BB2"/>
    <w:rsid w:val="00864E43"/>
    <w:rsid w:val="00865838"/>
    <w:rsid w:val="0086610C"/>
    <w:rsid w:val="00866616"/>
    <w:rsid w:val="008670AB"/>
    <w:rsid w:val="008671B0"/>
    <w:rsid w:val="00867DB2"/>
    <w:rsid w:val="00867F8A"/>
    <w:rsid w:val="008706BA"/>
    <w:rsid w:val="008707D1"/>
    <w:rsid w:val="0087123A"/>
    <w:rsid w:val="0087186E"/>
    <w:rsid w:val="00872983"/>
    <w:rsid w:val="0087324F"/>
    <w:rsid w:val="00873966"/>
    <w:rsid w:val="00874FE2"/>
    <w:rsid w:val="008750F0"/>
    <w:rsid w:val="00875493"/>
    <w:rsid w:val="00875BEF"/>
    <w:rsid w:val="00875C15"/>
    <w:rsid w:val="00875D33"/>
    <w:rsid w:val="008768E5"/>
    <w:rsid w:val="008775CB"/>
    <w:rsid w:val="008812A7"/>
    <w:rsid w:val="0088163C"/>
    <w:rsid w:val="00881A58"/>
    <w:rsid w:val="008829CE"/>
    <w:rsid w:val="0088324F"/>
    <w:rsid w:val="00883785"/>
    <w:rsid w:val="00883D98"/>
    <w:rsid w:val="00885254"/>
    <w:rsid w:val="008853DC"/>
    <w:rsid w:val="00885505"/>
    <w:rsid w:val="00885895"/>
    <w:rsid w:val="00886163"/>
    <w:rsid w:val="008861C5"/>
    <w:rsid w:val="008868CC"/>
    <w:rsid w:val="00886C85"/>
    <w:rsid w:val="0088736E"/>
    <w:rsid w:val="008877A7"/>
    <w:rsid w:val="0089037F"/>
    <w:rsid w:val="00890AB1"/>
    <w:rsid w:val="00890AC2"/>
    <w:rsid w:val="00890E85"/>
    <w:rsid w:val="00890EE1"/>
    <w:rsid w:val="00891239"/>
    <w:rsid w:val="008912A3"/>
    <w:rsid w:val="008912BA"/>
    <w:rsid w:val="00891FC7"/>
    <w:rsid w:val="00891FCA"/>
    <w:rsid w:val="00892556"/>
    <w:rsid w:val="00892E23"/>
    <w:rsid w:val="008931E4"/>
    <w:rsid w:val="008935D8"/>
    <w:rsid w:val="00893B28"/>
    <w:rsid w:val="00893E9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738C"/>
    <w:rsid w:val="008A0606"/>
    <w:rsid w:val="008A0612"/>
    <w:rsid w:val="008A19AB"/>
    <w:rsid w:val="008A1CCD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DDF"/>
    <w:rsid w:val="008A579F"/>
    <w:rsid w:val="008A5EC0"/>
    <w:rsid w:val="008A65F7"/>
    <w:rsid w:val="008A6FCD"/>
    <w:rsid w:val="008A7B4C"/>
    <w:rsid w:val="008A7BD7"/>
    <w:rsid w:val="008B20F2"/>
    <w:rsid w:val="008B2B0C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207"/>
    <w:rsid w:val="008B4498"/>
    <w:rsid w:val="008B4F15"/>
    <w:rsid w:val="008B597C"/>
    <w:rsid w:val="008B5C41"/>
    <w:rsid w:val="008B5D3F"/>
    <w:rsid w:val="008B5F75"/>
    <w:rsid w:val="008B6F9F"/>
    <w:rsid w:val="008B730A"/>
    <w:rsid w:val="008B7475"/>
    <w:rsid w:val="008B74D9"/>
    <w:rsid w:val="008B7834"/>
    <w:rsid w:val="008B788C"/>
    <w:rsid w:val="008B7960"/>
    <w:rsid w:val="008B7C96"/>
    <w:rsid w:val="008B7FEE"/>
    <w:rsid w:val="008C0443"/>
    <w:rsid w:val="008C058B"/>
    <w:rsid w:val="008C0748"/>
    <w:rsid w:val="008C0E21"/>
    <w:rsid w:val="008C1421"/>
    <w:rsid w:val="008C1825"/>
    <w:rsid w:val="008C2031"/>
    <w:rsid w:val="008C3963"/>
    <w:rsid w:val="008C4A94"/>
    <w:rsid w:val="008C55CB"/>
    <w:rsid w:val="008C6050"/>
    <w:rsid w:val="008C7C51"/>
    <w:rsid w:val="008C7D6A"/>
    <w:rsid w:val="008D1264"/>
    <w:rsid w:val="008D2A28"/>
    <w:rsid w:val="008D2F1F"/>
    <w:rsid w:val="008D3118"/>
    <w:rsid w:val="008D331A"/>
    <w:rsid w:val="008D349D"/>
    <w:rsid w:val="008D3699"/>
    <w:rsid w:val="008D4213"/>
    <w:rsid w:val="008D5DB3"/>
    <w:rsid w:val="008D5DE6"/>
    <w:rsid w:val="008D6D2C"/>
    <w:rsid w:val="008D7191"/>
    <w:rsid w:val="008D7F5F"/>
    <w:rsid w:val="008E0FBC"/>
    <w:rsid w:val="008E10A0"/>
    <w:rsid w:val="008E14D9"/>
    <w:rsid w:val="008E20A9"/>
    <w:rsid w:val="008E265C"/>
    <w:rsid w:val="008E38FA"/>
    <w:rsid w:val="008E3D7E"/>
    <w:rsid w:val="008E4511"/>
    <w:rsid w:val="008E460D"/>
    <w:rsid w:val="008E4CD6"/>
    <w:rsid w:val="008E4D6A"/>
    <w:rsid w:val="008E6489"/>
    <w:rsid w:val="008E7165"/>
    <w:rsid w:val="008E77CA"/>
    <w:rsid w:val="008E7806"/>
    <w:rsid w:val="008E7D55"/>
    <w:rsid w:val="008F0841"/>
    <w:rsid w:val="008F0B0C"/>
    <w:rsid w:val="008F0B89"/>
    <w:rsid w:val="008F1B07"/>
    <w:rsid w:val="008F2386"/>
    <w:rsid w:val="008F272D"/>
    <w:rsid w:val="008F2B68"/>
    <w:rsid w:val="008F2D04"/>
    <w:rsid w:val="008F3058"/>
    <w:rsid w:val="008F4968"/>
    <w:rsid w:val="008F496B"/>
    <w:rsid w:val="008F4F35"/>
    <w:rsid w:val="008F508C"/>
    <w:rsid w:val="008F5665"/>
    <w:rsid w:val="008F61DA"/>
    <w:rsid w:val="008F62DC"/>
    <w:rsid w:val="008F6AE3"/>
    <w:rsid w:val="00900157"/>
    <w:rsid w:val="0090023B"/>
    <w:rsid w:val="0090110F"/>
    <w:rsid w:val="00902EA8"/>
    <w:rsid w:val="0090373D"/>
    <w:rsid w:val="00904837"/>
    <w:rsid w:val="00904925"/>
    <w:rsid w:val="00905957"/>
    <w:rsid w:val="009062F3"/>
    <w:rsid w:val="00906327"/>
    <w:rsid w:val="0090653E"/>
    <w:rsid w:val="00906C3F"/>
    <w:rsid w:val="0090700A"/>
    <w:rsid w:val="00907A07"/>
    <w:rsid w:val="0091023F"/>
    <w:rsid w:val="009104F6"/>
    <w:rsid w:val="009112CC"/>
    <w:rsid w:val="009113C9"/>
    <w:rsid w:val="009114CD"/>
    <w:rsid w:val="00911E9E"/>
    <w:rsid w:val="009120EC"/>
    <w:rsid w:val="00912182"/>
    <w:rsid w:val="00912F70"/>
    <w:rsid w:val="009143A2"/>
    <w:rsid w:val="00914B0F"/>
    <w:rsid w:val="00914EDC"/>
    <w:rsid w:val="0091528B"/>
    <w:rsid w:val="00915614"/>
    <w:rsid w:val="00915801"/>
    <w:rsid w:val="00916C8E"/>
    <w:rsid w:val="00916DA1"/>
    <w:rsid w:val="0091728E"/>
    <w:rsid w:val="00917B17"/>
    <w:rsid w:val="00920A6A"/>
    <w:rsid w:val="0092177E"/>
    <w:rsid w:val="0092194C"/>
    <w:rsid w:val="009221F9"/>
    <w:rsid w:val="00922DA7"/>
    <w:rsid w:val="00923625"/>
    <w:rsid w:val="0092362B"/>
    <w:rsid w:val="00923A6A"/>
    <w:rsid w:val="00923C2B"/>
    <w:rsid w:val="00923F9D"/>
    <w:rsid w:val="00924054"/>
    <w:rsid w:val="00924176"/>
    <w:rsid w:val="0092489A"/>
    <w:rsid w:val="00924DBA"/>
    <w:rsid w:val="0092542F"/>
    <w:rsid w:val="00925E10"/>
    <w:rsid w:val="00926EF3"/>
    <w:rsid w:val="00926F98"/>
    <w:rsid w:val="009305C4"/>
    <w:rsid w:val="00931180"/>
    <w:rsid w:val="009335F2"/>
    <w:rsid w:val="009336D6"/>
    <w:rsid w:val="009339A6"/>
    <w:rsid w:val="00933BB5"/>
    <w:rsid w:val="00933F89"/>
    <w:rsid w:val="00934690"/>
    <w:rsid w:val="009352E4"/>
    <w:rsid w:val="009356B8"/>
    <w:rsid w:val="0093579C"/>
    <w:rsid w:val="009358C6"/>
    <w:rsid w:val="0093608E"/>
    <w:rsid w:val="00936179"/>
    <w:rsid w:val="00937B88"/>
    <w:rsid w:val="00940053"/>
    <w:rsid w:val="0094048E"/>
    <w:rsid w:val="00940663"/>
    <w:rsid w:val="009416EA"/>
    <w:rsid w:val="0094240C"/>
    <w:rsid w:val="009425CD"/>
    <w:rsid w:val="0094316C"/>
    <w:rsid w:val="009436ED"/>
    <w:rsid w:val="00943A4B"/>
    <w:rsid w:val="00944747"/>
    <w:rsid w:val="009451AE"/>
    <w:rsid w:val="00945297"/>
    <w:rsid w:val="00945A3A"/>
    <w:rsid w:val="00945A5A"/>
    <w:rsid w:val="00945B42"/>
    <w:rsid w:val="00945BE0"/>
    <w:rsid w:val="00945EAC"/>
    <w:rsid w:val="009466BA"/>
    <w:rsid w:val="00946B04"/>
    <w:rsid w:val="009501AD"/>
    <w:rsid w:val="0095098F"/>
    <w:rsid w:val="009513A3"/>
    <w:rsid w:val="0095281D"/>
    <w:rsid w:val="0095394C"/>
    <w:rsid w:val="00953B16"/>
    <w:rsid w:val="00953CBA"/>
    <w:rsid w:val="00954143"/>
    <w:rsid w:val="0095420A"/>
    <w:rsid w:val="0095441B"/>
    <w:rsid w:val="00955707"/>
    <w:rsid w:val="009557C2"/>
    <w:rsid w:val="00956C16"/>
    <w:rsid w:val="00956F21"/>
    <w:rsid w:val="00956FF5"/>
    <w:rsid w:val="00957108"/>
    <w:rsid w:val="009602C9"/>
    <w:rsid w:val="00961104"/>
    <w:rsid w:val="009611E5"/>
    <w:rsid w:val="00961646"/>
    <w:rsid w:val="009622C6"/>
    <w:rsid w:val="0096232E"/>
    <w:rsid w:val="00962FFF"/>
    <w:rsid w:val="00963032"/>
    <w:rsid w:val="00963D77"/>
    <w:rsid w:val="009642A4"/>
    <w:rsid w:val="009644AB"/>
    <w:rsid w:val="00964524"/>
    <w:rsid w:val="0096483D"/>
    <w:rsid w:val="00964D7B"/>
    <w:rsid w:val="0096507A"/>
    <w:rsid w:val="00965100"/>
    <w:rsid w:val="00965739"/>
    <w:rsid w:val="00965765"/>
    <w:rsid w:val="009664A6"/>
    <w:rsid w:val="0096675F"/>
    <w:rsid w:val="00966A13"/>
    <w:rsid w:val="00966AF1"/>
    <w:rsid w:val="00966C08"/>
    <w:rsid w:val="00970913"/>
    <w:rsid w:val="00970AA9"/>
    <w:rsid w:val="00971412"/>
    <w:rsid w:val="009714C6"/>
    <w:rsid w:val="00971CDB"/>
    <w:rsid w:val="00971D73"/>
    <w:rsid w:val="00971FE4"/>
    <w:rsid w:val="009723F6"/>
    <w:rsid w:val="009726D2"/>
    <w:rsid w:val="00973BE6"/>
    <w:rsid w:val="0097482A"/>
    <w:rsid w:val="0097538B"/>
    <w:rsid w:val="0097549D"/>
    <w:rsid w:val="0097608C"/>
    <w:rsid w:val="0097649E"/>
    <w:rsid w:val="00977075"/>
    <w:rsid w:val="0097712C"/>
    <w:rsid w:val="00977166"/>
    <w:rsid w:val="009778A3"/>
    <w:rsid w:val="00977AF2"/>
    <w:rsid w:val="00977D01"/>
    <w:rsid w:val="009807A5"/>
    <w:rsid w:val="00980C35"/>
    <w:rsid w:val="009811C7"/>
    <w:rsid w:val="00981965"/>
    <w:rsid w:val="009827FC"/>
    <w:rsid w:val="00982A04"/>
    <w:rsid w:val="00982A4E"/>
    <w:rsid w:val="00982ED1"/>
    <w:rsid w:val="00983507"/>
    <w:rsid w:val="0098357C"/>
    <w:rsid w:val="009838E5"/>
    <w:rsid w:val="00984017"/>
    <w:rsid w:val="009843B4"/>
    <w:rsid w:val="00984558"/>
    <w:rsid w:val="00985BCE"/>
    <w:rsid w:val="00985DCA"/>
    <w:rsid w:val="009869BA"/>
    <w:rsid w:val="009870A8"/>
    <w:rsid w:val="00987A4C"/>
    <w:rsid w:val="00987EDD"/>
    <w:rsid w:val="00990009"/>
    <w:rsid w:val="00990069"/>
    <w:rsid w:val="0099017B"/>
    <w:rsid w:val="0099046F"/>
    <w:rsid w:val="0099088E"/>
    <w:rsid w:val="00991355"/>
    <w:rsid w:val="00991D67"/>
    <w:rsid w:val="009921E6"/>
    <w:rsid w:val="0099257E"/>
    <w:rsid w:val="00992A84"/>
    <w:rsid w:val="00992C1E"/>
    <w:rsid w:val="00993052"/>
    <w:rsid w:val="00993595"/>
    <w:rsid w:val="00996E8C"/>
    <w:rsid w:val="009A0C4B"/>
    <w:rsid w:val="009A1ED4"/>
    <w:rsid w:val="009A222A"/>
    <w:rsid w:val="009A2536"/>
    <w:rsid w:val="009A2EA6"/>
    <w:rsid w:val="009A4A23"/>
    <w:rsid w:val="009A4BD5"/>
    <w:rsid w:val="009A4C87"/>
    <w:rsid w:val="009A506F"/>
    <w:rsid w:val="009A58BF"/>
    <w:rsid w:val="009A5D87"/>
    <w:rsid w:val="009A5FB8"/>
    <w:rsid w:val="009A795D"/>
    <w:rsid w:val="009A7ED5"/>
    <w:rsid w:val="009B00DE"/>
    <w:rsid w:val="009B16CD"/>
    <w:rsid w:val="009B1FE3"/>
    <w:rsid w:val="009B2390"/>
    <w:rsid w:val="009B42DF"/>
    <w:rsid w:val="009B460B"/>
    <w:rsid w:val="009B56B4"/>
    <w:rsid w:val="009B6172"/>
    <w:rsid w:val="009B634E"/>
    <w:rsid w:val="009B674D"/>
    <w:rsid w:val="009B7FED"/>
    <w:rsid w:val="009C0514"/>
    <w:rsid w:val="009C05FE"/>
    <w:rsid w:val="009C0807"/>
    <w:rsid w:val="009C0ECE"/>
    <w:rsid w:val="009C0FDA"/>
    <w:rsid w:val="009C1617"/>
    <w:rsid w:val="009C1885"/>
    <w:rsid w:val="009C1920"/>
    <w:rsid w:val="009C3388"/>
    <w:rsid w:val="009C4521"/>
    <w:rsid w:val="009C4752"/>
    <w:rsid w:val="009C48C8"/>
    <w:rsid w:val="009C4C57"/>
    <w:rsid w:val="009C4FAD"/>
    <w:rsid w:val="009C5619"/>
    <w:rsid w:val="009C6FAE"/>
    <w:rsid w:val="009C7818"/>
    <w:rsid w:val="009C79F2"/>
    <w:rsid w:val="009C7ACA"/>
    <w:rsid w:val="009C7CBE"/>
    <w:rsid w:val="009C7F11"/>
    <w:rsid w:val="009D07B4"/>
    <w:rsid w:val="009D0A7C"/>
    <w:rsid w:val="009D1151"/>
    <w:rsid w:val="009D11EA"/>
    <w:rsid w:val="009D1E85"/>
    <w:rsid w:val="009D2888"/>
    <w:rsid w:val="009D2F04"/>
    <w:rsid w:val="009D306B"/>
    <w:rsid w:val="009D4491"/>
    <w:rsid w:val="009D4C79"/>
    <w:rsid w:val="009D4F74"/>
    <w:rsid w:val="009D6F27"/>
    <w:rsid w:val="009D72C4"/>
    <w:rsid w:val="009D72F4"/>
    <w:rsid w:val="009D7C30"/>
    <w:rsid w:val="009D7C43"/>
    <w:rsid w:val="009E0E92"/>
    <w:rsid w:val="009E2055"/>
    <w:rsid w:val="009E20A4"/>
    <w:rsid w:val="009E27DA"/>
    <w:rsid w:val="009E2B9B"/>
    <w:rsid w:val="009E3C39"/>
    <w:rsid w:val="009E409F"/>
    <w:rsid w:val="009E4415"/>
    <w:rsid w:val="009E47BD"/>
    <w:rsid w:val="009E6D50"/>
    <w:rsid w:val="009E6E39"/>
    <w:rsid w:val="009F04AA"/>
    <w:rsid w:val="009F1C8D"/>
    <w:rsid w:val="009F2772"/>
    <w:rsid w:val="009F34B7"/>
    <w:rsid w:val="009F3509"/>
    <w:rsid w:val="009F40EC"/>
    <w:rsid w:val="009F46F7"/>
    <w:rsid w:val="009F4754"/>
    <w:rsid w:val="009F5054"/>
    <w:rsid w:val="009F5E6B"/>
    <w:rsid w:val="009F6A1C"/>
    <w:rsid w:val="009F6B63"/>
    <w:rsid w:val="009F7330"/>
    <w:rsid w:val="009F7784"/>
    <w:rsid w:val="00A00D82"/>
    <w:rsid w:val="00A014A8"/>
    <w:rsid w:val="00A015E0"/>
    <w:rsid w:val="00A02233"/>
    <w:rsid w:val="00A03962"/>
    <w:rsid w:val="00A0398D"/>
    <w:rsid w:val="00A03B75"/>
    <w:rsid w:val="00A041BF"/>
    <w:rsid w:val="00A04441"/>
    <w:rsid w:val="00A05299"/>
    <w:rsid w:val="00A05529"/>
    <w:rsid w:val="00A057A8"/>
    <w:rsid w:val="00A06095"/>
    <w:rsid w:val="00A06101"/>
    <w:rsid w:val="00A06861"/>
    <w:rsid w:val="00A073C1"/>
    <w:rsid w:val="00A07582"/>
    <w:rsid w:val="00A07592"/>
    <w:rsid w:val="00A10E47"/>
    <w:rsid w:val="00A11963"/>
    <w:rsid w:val="00A11D18"/>
    <w:rsid w:val="00A1253B"/>
    <w:rsid w:val="00A12657"/>
    <w:rsid w:val="00A12D9B"/>
    <w:rsid w:val="00A13412"/>
    <w:rsid w:val="00A13B58"/>
    <w:rsid w:val="00A14031"/>
    <w:rsid w:val="00A147AE"/>
    <w:rsid w:val="00A14981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346"/>
    <w:rsid w:val="00A20A8F"/>
    <w:rsid w:val="00A21A39"/>
    <w:rsid w:val="00A22409"/>
    <w:rsid w:val="00A22B48"/>
    <w:rsid w:val="00A235C4"/>
    <w:rsid w:val="00A23722"/>
    <w:rsid w:val="00A23968"/>
    <w:rsid w:val="00A23E47"/>
    <w:rsid w:val="00A24853"/>
    <w:rsid w:val="00A25718"/>
    <w:rsid w:val="00A25BFD"/>
    <w:rsid w:val="00A269FF"/>
    <w:rsid w:val="00A26A50"/>
    <w:rsid w:val="00A26AA2"/>
    <w:rsid w:val="00A26CFA"/>
    <w:rsid w:val="00A26FA4"/>
    <w:rsid w:val="00A30B89"/>
    <w:rsid w:val="00A30E8A"/>
    <w:rsid w:val="00A31022"/>
    <w:rsid w:val="00A31311"/>
    <w:rsid w:val="00A31D53"/>
    <w:rsid w:val="00A323DA"/>
    <w:rsid w:val="00A3268E"/>
    <w:rsid w:val="00A32EDF"/>
    <w:rsid w:val="00A338FD"/>
    <w:rsid w:val="00A3441F"/>
    <w:rsid w:val="00A352F9"/>
    <w:rsid w:val="00A36070"/>
    <w:rsid w:val="00A361D3"/>
    <w:rsid w:val="00A36C8C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2BC0"/>
    <w:rsid w:val="00A43675"/>
    <w:rsid w:val="00A440A7"/>
    <w:rsid w:val="00A443A3"/>
    <w:rsid w:val="00A4446E"/>
    <w:rsid w:val="00A44560"/>
    <w:rsid w:val="00A44726"/>
    <w:rsid w:val="00A447A3"/>
    <w:rsid w:val="00A45EC3"/>
    <w:rsid w:val="00A46C36"/>
    <w:rsid w:val="00A4719B"/>
    <w:rsid w:val="00A47260"/>
    <w:rsid w:val="00A47F1E"/>
    <w:rsid w:val="00A50E6E"/>
    <w:rsid w:val="00A5205F"/>
    <w:rsid w:val="00A52122"/>
    <w:rsid w:val="00A52515"/>
    <w:rsid w:val="00A52DDE"/>
    <w:rsid w:val="00A53109"/>
    <w:rsid w:val="00A535AE"/>
    <w:rsid w:val="00A54CFD"/>
    <w:rsid w:val="00A551D2"/>
    <w:rsid w:val="00A552E9"/>
    <w:rsid w:val="00A55431"/>
    <w:rsid w:val="00A557CD"/>
    <w:rsid w:val="00A561CC"/>
    <w:rsid w:val="00A567C9"/>
    <w:rsid w:val="00A6029E"/>
    <w:rsid w:val="00A60BAB"/>
    <w:rsid w:val="00A60EA0"/>
    <w:rsid w:val="00A6151E"/>
    <w:rsid w:val="00A6152A"/>
    <w:rsid w:val="00A615B7"/>
    <w:rsid w:val="00A616A9"/>
    <w:rsid w:val="00A619B5"/>
    <w:rsid w:val="00A61DC0"/>
    <w:rsid w:val="00A62FA8"/>
    <w:rsid w:val="00A633D6"/>
    <w:rsid w:val="00A6432C"/>
    <w:rsid w:val="00A64947"/>
    <w:rsid w:val="00A64ECC"/>
    <w:rsid w:val="00A651FD"/>
    <w:rsid w:val="00A658B0"/>
    <w:rsid w:val="00A66522"/>
    <w:rsid w:val="00A66C9C"/>
    <w:rsid w:val="00A66CC0"/>
    <w:rsid w:val="00A66D50"/>
    <w:rsid w:val="00A67196"/>
    <w:rsid w:val="00A67E60"/>
    <w:rsid w:val="00A71A41"/>
    <w:rsid w:val="00A71B4A"/>
    <w:rsid w:val="00A71BF8"/>
    <w:rsid w:val="00A71E2E"/>
    <w:rsid w:val="00A7225E"/>
    <w:rsid w:val="00A72846"/>
    <w:rsid w:val="00A72E43"/>
    <w:rsid w:val="00A7363A"/>
    <w:rsid w:val="00A73896"/>
    <w:rsid w:val="00A73E37"/>
    <w:rsid w:val="00A7544E"/>
    <w:rsid w:val="00A76B41"/>
    <w:rsid w:val="00A76C79"/>
    <w:rsid w:val="00A77802"/>
    <w:rsid w:val="00A77DCB"/>
    <w:rsid w:val="00A8041A"/>
    <w:rsid w:val="00A804B2"/>
    <w:rsid w:val="00A81FB2"/>
    <w:rsid w:val="00A82053"/>
    <w:rsid w:val="00A820CF"/>
    <w:rsid w:val="00A821DB"/>
    <w:rsid w:val="00A82558"/>
    <w:rsid w:val="00A82B5D"/>
    <w:rsid w:val="00A82E29"/>
    <w:rsid w:val="00A833AC"/>
    <w:rsid w:val="00A83D78"/>
    <w:rsid w:val="00A83FF4"/>
    <w:rsid w:val="00A840C5"/>
    <w:rsid w:val="00A84BAC"/>
    <w:rsid w:val="00A85362"/>
    <w:rsid w:val="00A868CF"/>
    <w:rsid w:val="00A86A58"/>
    <w:rsid w:val="00A86BAD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3F14"/>
    <w:rsid w:val="00A9477A"/>
    <w:rsid w:val="00A94EE7"/>
    <w:rsid w:val="00A9611B"/>
    <w:rsid w:val="00A96929"/>
    <w:rsid w:val="00A96C44"/>
    <w:rsid w:val="00A97A04"/>
    <w:rsid w:val="00AA006D"/>
    <w:rsid w:val="00AA0124"/>
    <w:rsid w:val="00AA02DF"/>
    <w:rsid w:val="00AA0580"/>
    <w:rsid w:val="00AA06F2"/>
    <w:rsid w:val="00AA0F6D"/>
    <w:rsid w:val="00AA1556"/>
    <w:rsid w:val="00AA1562"/>
    <w:rsid w:val="00AA19D8"/>
    <w:rsid w:val="00AA19F5"/>
    <w:rsid w:val="00AA34C5"/>
    <w:rsid w:val="00AA4153"/>
    <w:rsid w:val="00AA461C"/>
    <w:rsid w:val="00AA4978"/>
    <w:rsid w:val="00AA50FC"/>
    <w:rsid w:val="00AA53FC"/>
    <w:rsid w:val="00AA546E"/>
    <w:rsid w:val="00AA5627"/>
    <w:rsid w:val="00AA56C2"/>
    <w:rsid w:val="00AA5DB7"/>
    <w:rsid w:val="00AA617D"/>
    <w:rsid w:val="00AA66C6"/>
    <w:rsid w:val="00AA725C"/>
    <w:rsid w:val="00AA757A"/>
    <w:rsid w:val="00AA7878"/>
    <w:rsid w:val="00AA78ED"/>
    <w:rsid w:val="00AA7CFF"/>
    <w:rsid w:val="00AA7D26"/>
    <w:rsid w:val="00AA7EEB"/>
    <w:rsid w:val="00AB022D"/>
    <w:rsid w:val="00AB0FA4"/>
    <w:rsid w:val="00AB122D"/>
    <w:rsid w:val="00AB13EF"/>
    <w:rsid w:val="00AB1EC0"/>
    <w:rsid w:val="00AB217C"/>
    <w:rsid w:val="00AB2354"/>
    <w:rsid w:val="00AB2817"/>
    <w:rsid w:val="00AB283D"/>
    <w:rsid w:val="00AB3544"/>
    <w:rsid w:val="00AB35DA"/>
    <w:rsid w:val="00AB3D1C"/>
    <w:rsid w:val="00AB42B8"/>
    <w:rsid w:val="00AB434C"/>
    <w:rsid w:val="00AB4743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B25"/>
    <w:rsid w:val="00AC2EBB"/>
    <w:rsid w:val="00AC389E"/>
    <w:rsid w:val="00AC3A3B"/>
    <w:rsid w:val="00AC4FE8"/>
    <w:rsid w:val="00AC514B"/>
    <w:rsid w:val="00AC5669"/>
    <w:rsid w:val="00AC6D56"/>
    <w:rsid w:val="00AC71B6"/>
    <w:rsid w:val="00AC752C"/>
    <w:rsid w:val="00AC77DA"/>
    <w:rsid w:val="00AD0380"/>
    <w:rsid w:val="00AD0849"/>
    <w:rsid w:val="00AD14CA"/>
    <w:rsid w:val="00AD2186"/>
    <w:rsid w:val="00AD2685"/>
    <w:rsid w:val="00AD29A9"/>
    <w:rsid w:val="00AD3EFD"/>
    <w:rsid w:val="00AD43AB"/>
    <w:rsid w:val="00AD4998"/>
    <w:rsid w:val="00AD4EAA"/>
    <w:rsid w:val="00AD58F0"/>
    <w:rsid w:val="00AD5E3B"/>
    <w:rsid w:val="00AD6412"/>
    <w:rsid w:val="00AD6E3B"/>
    <w:rsid w:val="00AD6FB5"/>
    <w:rsid w:val="00AD7155"/>
    <w:rsid w:val="00AD745E"/>
    <w:rsid w:val="00AE0042"/>
    <w:rsid w:val="00AE0282"/>
    <w:rsid w:val="00AE06D2"/>
    <w:rsid w:val="00AE084C"/>
    <w:rsid w:val="00AE0AC7"/>
    <w:rsid w:val="00AE1627"/>
    <w:rsid w:val="00AE1CF0"/>
    <w:rsid w:val="00AE386F"/>
    <w:rsid w:val="00AE4243"/>
    <w:rsid w:val="00AE450E"/>
    <w:rsid w:val="00AE539F"/>
    <w:rsid w:val="00AE548D"/>
    <w:rsid w:val="00AE558C"/>
    <w:rsid w:val="00AE5942"/>
    <w:rsid w:val="00AE5E18"/>
    <w:rsid w:val="00AE6B08"/>
    <w:rsid w:val="00AE6CE2"/>
    <w:rsid w:val="00AF02D9"/>
    <w:rsid w:val="00AF054E"/>
    <w:rsid w:val="00AF0A99"/>
    <w:rsid w:val="00AF0F4D"/>
    <w:rsid w:val="00AF0F95"/>
    <w:rsid w:val="00AF16B3"/>
    <w:rsid w:val="00AF2294"/>
    <w:rsid w:val="00AF2C53"/>
    <w:rsid w:val="00AF2E12"/>
    <w:rsid w:val="00AF33E5"/>
    <w:rsid w:val="00AF38DD"/>
    <w:rsid w:val="00AF3D02"/>
    <w:rsid w:val="00AF4246"/>
    <w:rsid w:val="00AF4701"/>
    <w:rsid w:val="00AF4A3C"/>
    <w:rsid w:val="00AF4C2C"/>
    <w:rsid w:val="00AF4CBA"/>
    <w:rsid w:val="00AF4E3C"/>
    <w:rsid w:val="00AF5C3E"/>
    <w:rsid w:val="00AF5D18"/>
    <w:rsid w:val="00AF64CC"/>
    <w:rsid w:val="00AF658A"/>
    <w:rsid w:val="00AF6658"/>
    <w:rsid w:val="00AF6839"/>
    <w:rsid w:val="00AF6C78"/>
    <w:rsid w:val="00B0000E"/>
    <w:rsid w:val="00B005E1"/>
    <w:rsid w:val="00B0065F"/>
    <w:rsid w:val="00B00BA3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BD0"/>
    <w:rsid w:val="00B05F82"/>
    <w:rsid w:val="00B062BF"/>
    <w:rsid w:val="00B074B1"/>
    <w:rsid w:val="00B07B4C"/>
    <w:rsid w:val="00B1023E"/>
    <w:rsid w:val="00B10D3F"/>
    <w:rsid w:val="00B10E6A"/>
    <w:rsid w:val="00B11A18"/>
    <w:rsid w:val="00B11BA7"/>
    <w:rsid w:val="00B11CA2"/>
    <w:rsid w:val="00B11F39"/>
    <w:rsid w:val="00B1222D"/>
    <w:rsid w:val="00B12589"/>
    <w:rsid w:val="00B12885"/>
    <w:rsid w:val="00B130C0"/>
    <w:rsid w:val="00B13B32"/>
    <w:rsid w:val="00B13BA8"/>
    <w:rsid w:val="00B13C96"/>
    <w:rsid w:val="00B154A9"/>
    <w:rsid w:val="00B15524"/>
    <w:rsid w:val="00B155E7"/>
    <w:rsid w:val="00B166F3"/>
    <w:rsid w:val="00B176A2"/>
    <w:rsid w:val="00B17FCC"/>
    <w:rsid w:val="00B20054"/>
    <w:rsid w:val="00B202A2"/>
    <w:rsid w:val="00B20445"/>
    <w:rsid w:val="00B205DE"/>
    <w:rsid w:val="00B20605"/>
    <w:rsid w:val="00B20D05"/>
    <w:rsid w:val="00B21C0B"/>
    <w:rsid w:val="00B228F0"/>
    <w:rsid w:val="00B22B8A"/>
    <w:rsid w:val="00B22C3B"/>
    <w:rsid w:val="00B22E96"/>
    <w:rsid w:val="00B2302A"/>
    <w:rsid w:val="00B230A9"/>
    <w:rsid w:val="00B23C12"/>
    <w:rsid w:val="00B2460A"/>
    <w:rsid w:val="00B24A33"/>
    <w:rsid w:val="00B24B9B"/>
    <w:rsid w:val="00B25A2C"/>
    <w:rsid w:val="00B25C5E"/>
    <w:rsid w:val="00B25E5B"/>
    <w:rsid w:val="00B260A0"/>
    <w:rsid w:val="00B2624B"/>
    <w:rsid w:val="00B26361"/>
    <w:rsid w:val="00B26782"/>
    <w:rsid w:val="00B2681A"/>
    <w:rsid w:val="00B26C07"/>
    <w:rsid w:val="00B27BE1"/>
    <w:rsid w:val="00B3020B"/>
    <w:rsid w:val="00B30489"/>
    <w:rsid w:val="00B31209"/>
    <w:rsid w:val="00B3237F"/>
    <w:rsid w:val="00B32816"/>
    <w:rsid w:val="00B32929"/>
    <w:rsid w:val="00B33A96"/>
    <w:rsid w:val="00B33DBB"/>
    <w:rsid w:val="00B33E33"/>
    <w:rsid w:val="00B33ECC"/>
    <w:rsid w:val="00B34131"/>
    <w:rsid w:val="00B3467C"/>
    <w:rsid w:val="00B3482D"/>
    <w:rsid w:val="00B357A6"/>
    <w:rsid w:val="00B357C9"/>
    <w:rsid w:val="00B36036"/>
    <w:rsid w:val="00B361C1"/>
    <w:rsid w:val="00B36450"/>
    <w:rsid w:val="00B37721"/>
    <w:rsid w:val="00B37C2D"/>
    <w:rsid w:val="00B37E3B"/>
    <w:rsid w:val="00B41D55"/>
    <w:rsid w:val="00B42963"/>
    <w:rsid w:val="00B429BF"/>
    <w:rsid w:val="00B42AAE"/>
    <w:rsid w:val="00B42B33"/>
    <w:rsid w:val="00B43989"/>
    <w:rsid w:val="00B43B11"/>
    <w:rsid w:val="00B43C0A"/>
    <w:rsid w:val="00B44C35"/>
    <w:rsid w:val="00B450E5"/>
    <w:rsid w:val="00B45CBE"/>
    <w:rsid w:val="00B4624D"/>
    <w:rsid w:val="00B475F0"/>
    <w:rsid w:val="00B513EA"/>
    <w:rsid w:val="00B517EF"/>
    <w:rsid w:val="00B51DC1"/>
    <w:rsid w:val="00B5211F"/>
    <w:rsid w:val="00B53447"/>
    <w:rsid w:val="00B537BC"/>
    <w:rsid w:val="00B5397C"/>
    <w:rsid w:val="00B53F78"/>
    <w:rsid w:val="00B541FF"/>
    <w:rsid w:val="00B54801"/>
    <w:rsid w:val="00B54AFC"/>
    <w:rsid w:val="00B54CDC"/>
    <w:rsid w:val="00B54D65"/>
    <w:rsid w:val="00B55CE2"/>
    <w:rsid w:val="00B55D09"/>
    <w:rsid w:val="00B5616A"/>
    <w:rsid w:val="00B5679D"/>
    <w:rsid w:val="00B570D0"/>
    <w:rsid w:val="00B57151"/>
    <w:rsid w:val="00B6010E"/>
    <w:rsid w:val="00B60466"/>
    <w:rsid w:val="00B60675"/>
    <w:rsid w:val="00B6079D"/>
    <w:rsid w:val="00B61956"/>
    <w:rsid w:val="00B61D87"/>
    <w:rsid w:val="00B61EDD"/>
    <w:rsid w:val="00B62239"/>
    <w:rsid w:val="00B622CE"/>
    <w:rsid w:val="00B62A20"/>
    <w:rsid w:val="00B63290"/>
    <w:rsid w:val="00B633EF"/>
    <w:rsid w:val="00B64CD2"/>
    <w:rsid w:val="00B653F4"/>
    <w:rsid w:val="00B65EB4"/>
    <w:rsid w:val="00B65F59"/>
    <w:rsid w:val="00B660A7"/>
    <w:rsid w:val="00B663A4"/>
    <w:rsid w:val="00B67093"/>
    <w:rsid w:val="00B67479"/>
    <w:rsid w:val="00B675C3"/>
    <w:rsid w:val="00B679E3"/>
    <w:rsid w:val="00B67D33"/>
    <w:rsid w:val="00B67D3C"/>
    <w:rsid w:val="00B70200"/>
    <w:rsid w:val="00B704F7"/>
    <w:rsid w:val="00B71279"/>
    <w:rsid w:val="00B71EB3"/>
    <w:rsid w:val="00B7219A"/>
    <w:rsid w:val="00B729AD"/>
    <w:rsid w:val="00B73335"/>
    <w:rsid w:val="00B73D52"/>
    <w:rsid w:val="00B7469F"/>
    <w:rsid w:val="00B748E1"/>
    <w:rsid w:val="00B74DFE"/>
    <w:rsid w:val="00B75074"/>
    <w:rsid w:val="00B76470"/>
    <w:rsid w:val="00B76DDA"/>
    <w:rsid w:val="00B77F9B"/>
    <w:rsid w:val="00B8014C"/>
    <w:rsid w:val="00B80A2D"/>
    <w:rsid w:val="00B80F99"/>
    <w:rsid w:val="00B81E80"/>
    <w:rsid w:val="00B81EDA"/>
    <w:rsid w:val="00B821ED"/>
    <w:rsid w:val="00B8256D"/>
    <w:rsid w:val="00B82587"/>
    <w:rsid w:val="00B82792"/>
    <w:rsid w:val="00B82F31"/>
    <w:rsid w:val="00B83002"/>
    <w:rsid w:val="00B83160"/>
    <w:rsid w:val="00B834B3"/>
    <w:rsid w:val="00B8353B"/>
    <w:rsid w:val="00B83782"/>
    <w:rsid w:val="00B83ED1"/>
    <w:rsid w:val="00B840FF"/>
    <w:rsid w:val="00B84173"/>
    <w:rsid w:val="00B84B4D"/>
    <w:rsid w:val="00B84B93"/>
    <w:rsid w:val="00B84D9D"/>
    <w:rsid w:val="00B8552D"/>
    <w:rsid w:val="00B87A0B"/>
    <w:rsid w:val="00B90060"/>
    <w:rsid w:val="00B904EF"/>
    <w:rsid w:val="00B90BBE"/>
    <w:rsid w:val="00B9109D"/>
    <w:rsid w:val="00B929E7"/>
    <w:rsid w:val="00B92B95"/>
    <w:rsid w:val="00B934EA"/>
    <w:rsid w:val="00B93D84"/>
    <w:rsid w:val="00B9452A"/>
    <w:rsid w:val="00B95245"/>
    <w:rsid w:val="00B958D0"/>
    <w:rsid w:val="00B95CB5"/>
    <w:rsid w:val="00B95D70"/>
    <w:rsid w:val="00B96248"/>
    <w:rsid w:val="00B97355"/>
    <w:rsid w:val="00B9794F"/>
    <w:rsid w:val="00B97A9F"/>
    <w:rsid w:val="00B97CB4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5B18"/>
    <w:rsid w:val="00BA7B6A"/>
    <w:rsid w:val="00BB122C"/>
    <w:rsid w:val="00BB12B1"/>
    <w:rsid w:val="00BB13C0"/>
    <w:rsid w:val="00BB1ADB"/>
    <w:rsid w:val="00BB1CBF"/>
    <w:rsid w:val="00BB22A0"/>
    <w:rsid w:val="00BB2CFC"/>
    <w:rsid w:val="00BB3262"/>
    <w:rsid w:val="00BB341D"/>
    <w:rsid w:val="00BB3CA5"/>
    <w:rsid w:val="00BB40FD"/>
    <w:rsid w:val="00BB4B58"/>
    <w:rsid w:val="00BB4CE6"/>
    <w:rsid w:val="00BB4E0B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4889"/>
    <w:rsid w:val="00BC5112"/>
    <w:rsid w:val="00BC5471"/>
    <w:rsid w:val="00BC5847"/>
    <w:rsid w:val="00BC6408"/>
    <w:rsid w:val="00BC703C"/>
    <w:rsid w:val="00BC7209"/>
    <w:rsid w:val="00BD066D"/>
    <w:rsid w:val="00BD079C"/>
    <w:rsid w:val="00BD17B0"/>
    <w:rsid w:val="00BD273B"/>
    <w:rsid w:val="00BD2BFC"/>
    <w:rsid w:val="00BD433D"/>
    <w:rsid w:val="00BD48AA"/>
    <w:rsid w:val="00BD5A4C"/>
    <w:rsid w:val="00BD5E36"/>
    <w:rsid w:val="00BD653D"/>
    <w:rsid w:val="00BD67CA"/>
    <w:rsid w:val="00BD6860"/>
    <w:rsid w:val="00BD6A5D"/>
    <w:rsid w:val="00BD77C5"/>
    <w:rsid w:val="00BD7BFA"/>
    <w:rsid w:val="00BE0B1C"/>
    <w:rsid w:val="00BE118F"/>
    <w:rsid w:val="00BE14CA"/>
    <w:rsid w:val="00BE15BB"/>
    <w:rsid w:val="00BE1BCC"/>
    <w:rsid w:val="00BE1FD2"/>
    <w:rsid w:val="00BE257A"/>
    <w:rsid w:val="00BE2EA0"/>
    <w:rsid w:val="00BE320B"/>
    <w:rsid w:val="00BE3BF1"/>
    <w:rsid w:val="00BE3D3F"/>
    <w:rsid w:val="00BE3DB9"/>
    <w:rsid w:val="00BE3F43"/>
    <w:rsid w:val="00BE3F90"/>
    <w:rsid w:val="00BE421F"/>
    <w:rsid w:val="00BE4342"/>
    <w:rsid w:val="00BE46FC"/>
    <w:rsid w:val="00BE525F"/>
    <w:rsid w:val="00BE5E31"/>
    <w:rsid w:val="00BE6562"/>
    <w:rsid w:val="00BE6BEF"/>
    <w:rsid w:val="00BE7336"/>
    <w:rsid w:val="00BE7533"/>
    <w:rsid w:val="00BF00ED"/>
    <w:rsid w:val="00BF1534"/>
    <w:rsid w:val="00BF1EDC"/>
    <w:rsid w:val="00BF20FF"/>
    <w:rsid w:val="00BF21F7"/>
    <w:rsid w:val="00BF2814"/>
    <w:rsid w:val="00BF2FF1"/>
    <w:rsid w:val="00BF3221"/>
    <w:rsid w:val="00BF329B"/>
    <w:rsid w:val="00BF4676"/>
    <w:rsid w:val="00BF482E"/>
    <w:rsid w:val="00BF559A"/>
    <w:rsid w:val="00BF6679"/>
    <w:rsid w:val="00BF6C07"/>
    <w:rsid w:val="00BF6FC4"/>
    <w:rsid w:val="00BF72C5"/>
    <w:rsid w:val="00BF7C22"/>
    <w:rsid w:val="00C003B5"/>
    <w:rsid w:val="00C007BC"/>
    <w:rsid w:val="00C00835"/>
    <w:rsid w:val="00C00BEE"/>
    <w:rsid w:val="00C01AF6"/>
    <w:rsid w:val="00C01B2B"/>
    <w:rsid w:val="00C01D7A"/>
    <w:rsid w:val="00C01FA7"/>
    <w:rsid w:val="00C0265C"/>
    <w:rsid w:val="00C03421"/>
    <w:rsid w:val="00C04520"/>
    <w:rsid w:val="00C04E14"/>
    <w:rsid w:val="00C06028"/>
    <w:rsid w:val="00C06A26"/>
    <w:rsid w:val="00C06FAE"/>
    <w:rsid w:val="00C07029"/>
    <w:rsid w:val="00C072AF"/>
    <w:rsid w:val="00C10054"/>
    <w:rsid w:val="00C1021E"/>
    <w:rsid w:val="00C10EAC"/>
    <w:rsid w:val="00C10FB8"/>
    <w:rsid w:val="00C112AF"/>
    <w:rsid w:val="00C11F9A"/>
    <w:rsid w:val="00C11FCD"/>
    <w:rsid w:val="00C1256F"/>
    <w:rsid w:val="00C12CB4"/>
    <w:rsid w:val="00C1319A"/>
    <w:rsid w:val="00C13292"/>
    <w:rsid w:val="00C13F72"/>
    <w:rsid w:val="00C142EB"/>
    <w:rsid w:val="00C1443C"/>
    <w:rsid w:val="00C14EFB"/>
    <w:rsid w:val="00C151E5"/>
    <w:rsid w:val="00C15364"/>
    <w:rsid w:val="00C157CE"/>
    <w:rsid w:val="00C15B84"/>
    <w:rsid w:val="00C15DBB"/>
    <w:rsid w:val="00C1649D"/>
    <w:rsid w:val="00C16D6C"/>
    <w:rsid w:val="00C16E77"/>
    <w:rsid w:val="00C17AD8"/>
    <w:rsid w:val="00C17D47"/>
    <w:rsid w:val="00C208AE"/>
    <w:rsid w:val="00C20A18"/>
    <w:rsid w:val="00C20CF5"/>
    <w:rsid w:val="00C2138D"/>
    <w:rsid w:val="00C21717"/>
    <w:rsid w:val="00C217BB"/>
    <w:rsid w:val="00C21A4B"/>
    <w:rsid w:val="00C222ED"/>
    <w:rsid w:val="00C227EC"/>
    <w:rsid w:val="00C22B89"/>
    <w:rsid w:val="00C22BDC"/>
    <w:rsid w:val="00C233F8"/>
    <w:rsid w:val="00C240FE"/>
    <w:rsid w:val="00C2410E"/>
    <w:rsid w:val="00C25E6A"/>
    <w:rsid w:val="00C2627F"/>
    <w:rsid w:val="00C2633B"/>
    <w:rsid w:val="00C265CA"/>
    <w:rsid w:val="00C278C8"/>
    <w:rsid w:val="00C27938"/>
    <w:rsid w:val="00C30066"/>
    <w:rsid w:val="00C3024F"/>
    <w:rsid w:val="00C3031C"/>
    <w:rsid w:val="00C30562"/>
    <w:rsid w:val="00C312E3"/>
    <w:rsid w:val="00C3152E"/>
    <w:rsid w:val="00C31D0A"/>
    <w:rsid w:val="00C3268D"/>
    <w:rsid w:val="00C33101"/>
    <w:rsid w:val="00C33B81"/>
    <w:rsid w:val="00C33C71"/>
    <w:rsid w:val="00C34110"/>
    <w:rsid w:val="00C3482C"/>
    <w:rsid w:val="00C34C8A"/>
    <w:rsid w:val="00C351E0"/>
    <w:rsid w:val="00C35D66"/>
    <w:rsid w:val="00C35E6C"/>
    <w:rsid w:val="00C3625B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D4"/>
    <w:rsid w:val="00C410C4"/>
    <w:rsid w:val="00C42A3B"/>
    <w:rsid w:val="00C42ADC"/>
    <w:rsid w:val="00C42EFD"/>
    <w:rsid w:val="00C43820"/>
    <w:rsid w:val="00C43FF8"/>
    <w:rsid w:val="00C44243"/>
    <w:rsid w:val="00C44D0D"/>
    <w:rsid w:val="00C44EB9"/>
    <w:rsid w:val="00C4504E"/>
    <w:rsid w:val="00C45223"/>
    <w:rsid w:val="00C453F8"/>
    <w:rsid w:val="00C45C22"/>
    <w:rsid w:val="00C46AA1"/>
    <w:rsid w:val="00C47876"/>
    <w:rsid w:val="00C479C6"/>
    <w:rsid w:val="00C47E4F"/>
    <w:rsid w:val="00C50733"/>
    <w:rsid w:val="00C508E0"/>
    <w:rsid w:val="00C51F84"/>
    <w:rsid w:val="00C51F8F"/>
    <w:rsid w:val="00C520DC"/>
    <w:rsid w:val="00C52394"/>
    <w:rsid w:val="00C52585"/>
    <w:rsid w:val="00C52FFD"/>
    <w:rsid w:val="00C5306B"/>
    <w:rsid w:val="00C5328D"/>
    <w:rsid w:val="00C53377"/>
    <w:rsid w:val="00C53413"/>
    <w:rsid w:val="00C538D5"/>
    <w:rsid w:val="00C53EDC"/>
    <w:rsid w:val="00C53FF1"/>
    <w:rsid w:val="00C5408B"/>
    <w:rsid w:val="00C547A0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7285"/>
    <w:rsid w:val="00C5764B"/>
    <w:rsid w:val="00C604B9"/>
    <w:rsid w:val="00C61321"/>
    <w:rsid w:val="00C61713"/>
    <w:rsid w:val="00C617D1"/>
    <w:rsid w:val="00C61FDF"/>
    <w:rsid w:val="00C62752"/>
    <w:rsid w:val="00C627CC"/>
    <w:rsid w:val="00C62903"/>
    <w:rsid w:val="00C6364B"/>
    <w:rsid w:val="00C6492F"/>
    <w:rsid w:val="00C65A9D"/>
    <w:rsid w:val="00C65B05"/>
    <w:rsid w:val="00C664FD"/>
    <w:rsid w:val="00C66E75"/>
    <w:rsid w:val="00C677B3"/>
    <w:rsid w:val="00C6785D"/>
    <w:rsid w:val="00C67B62"/>
    <w:rsid w:val="00C7035E"/>
    <w:rsid w:val="00C70CCC"/>
    <w:rsid w:val="00C71188"/>
    <w:rsid w:val="00C712EF"/>
    <w:rsid w:val="00C714AF"/>
    <w:rsid w:val="00C715E6"/>
    <w:rsid w:val="00C72E64"/>
    <w:rsid w:val="00C73587"/>
    <w:rsid w:val="00C735B2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E7C"/>
    <w:rsid w:val="00C76F79"/>
    <w:rsid w:val="00C7700B"/>
    <w:rsid w:val="00C7797C"/>
    <w:rsid w:val="00C77AB1"/>
    <w:rsid w:val="00C77C7F"/>
    <w:rsid w:val="00C77FAF"/>
    <w:rsid w:val="00C80764"/>
    <w:rsid w:val="00C8179F"/>
    <w:rsid w:val="00C8181C"/>
    <w:rsid w:val="00C81EB0"/>
    <w:rsid w:val="00C83471"/>
    <w:rsid w:val="00C8386D"/>
    <w:rsid w:val="00C83EFE"/>
    <w:rsid w:val="00C83FC2"/>
    <w:rsid w:val="00C8418B"/>
    <w:rsid w:val="00C844BB"/>
    <w:rsid w:val="00C845C0"/>
    <w:rsid w:val="00C84B2B"/>
    <w:rsid w:val="00C84D28"/>
    <w:rsid w:val="00C850FD"/>
    <w:rsid w:val="00C85261"/>
    <w:rsid w:val="00C85293"/>
    <w:rsid w:val="00C85976"/>
    <w:rsid w:val="00C86F2E"/>
    <w:rsid w:val="00C87000"/>
    <w:rsid w:val="00C870DD"/>
    <w:rsid w:val="00C9051C"/>
    <w:rsid w:val="00C90B41"/>
    <w:rsid w:val="00C90F5D"/>
    <w:rsid w:val="00C91398"/>
    <w:rsid w:val="00C915E8"/>
    <w:rsid w:val="00C91686"/>
    <w:rsid w:val="00C91894"/>
    <w:rsid w:val="00C91D56"/>
    <w:rsid w:val="00C92798"/>
    <w:rsid w:val="00C937B7"/>
    <w:rsid w:val="00C95844"/>
    <w:rsid w:val="00C95EF5"/>
    <w:rsid w:val="00C9650D"/>
    <w:rsid w:val="00C9699C"/>
    <w:rsid w:val="00C96E36"/>
    <w:rsid w:val="00C975EB"/>
    <w:rsid w:val="00CA041E"/>
    <w:rsid w:val="00CA064C"/>
    <w:rsid w:val="00CA1216"/>
    <w:rsid w:val="00CA1710"/>
    <w:rsid w:val="00CA1A03"/>
    <w:rsid w:val="00CA1A1A"/>
    <w:rsid w:val="00CA1B91"/>
    <w:rsid w:val="00CA24D5"/>
    <w:rsid w:val="00CA2BCA"/>
    <w:rsid w:val="00CA2C79"/>
    <w:rsid w:val="00CA2D9F"/>
    <w:rsid w:val="00CA3F50"/>
    <w:rsid w:val="00CA3FB6"/>
    <w:rsid w:val="00CA4188"/>
    <w:rsid w:val="00CA42E6"/>
    <w:rsid w:val="00CA483B"/>
    <w:rsid w:val="00CA5520"/>
    <w:rsid w:val="00CA5556"/>
    <w:rsid w:val="00CA5E68"/>
    <w:rsid w:val="00CA681E"/>
    <w:rsid w:val="00CA6E24"/>
    <w:rsid w:val="00CA715C"/>
    <w:rsid w:val="00CA72E7"/>
    <w:rsid w:val="00CB03AA"/>
    <w:rsid w:val="00CB1578"/>
    <w:rsid w:val="00CB1802"/>
    <w:rsid w:val="00CB1E71"/>
    <w:rsid w:val="00CB2945"/>
    <w:rsid w:val="00CB32CB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0F2A"/>
    <w:rsid w:val="00CC1A9E"/>
    <w:rsid w:val="00CC1CC8"/>
    <w:rsid w:val="00CC1E3D"/>
    <w:rsid w:val="00CC2013"/>
    <w:rsid w:val="00CC2356"/>
    <w:rsid w:val="00CC2ABA"/>
    <w:rsid w:val="00CC3401"/>
    <w:rsid w:val="00CC39CB"/>
    <w:rsid w:val="00CC483B"/>
    <w:rsid w:val="00CC56C4"/>
    <w:rsid w:val="00CC5B48"/>
    <w:rsid w:val="00CC5D48"/>
    <w:rsid w:val="00CC63FC"/>
    <w:rsid w:val="00CC6F01"/>
    <w:rsid w:val="00CC731D"/>
    <w:rsid w:val="00CC7ACB"/>
    <w:rsid w:val="00CD012C"/>
    <w:rsid w:val="00CD01B1"/>
    <w:rsid w:val="00CD01C3"/>
    <w:rsid w:val="00CD15F3"/>
    <w:rsid w:val="00CD16F5"/>
    <w:rsid w:val="00CD1965"/>
    <w:rsid w:val="00CD1D2B"/>
    <w:rsid w:val="00CD1E32"/>
    <w:rsid w:val="00CD2B8E"/>
    <w:rsid w:val="00CD2E5D"/>
    <w:rsid w:val="00CD32E2"/>
    <w:rsid w:val="00CD3883"/>
    <w:rsid w:val="00CD47DE"/>
    <w:rsid w:val="00CD50FC"/>
    <w:rsid w:val="00CD551C"/>
    <w:rsid w:val="00CD55C1"/>
    <w:rsid w:val="00CD5C3A"/>
    <w:rsid w:val="00CD5F38"/>
    <w:rsid w:val="00CD5F47"/>
    <w:rsid w:val="00CD6A52"/>
    <w:rsid w:val="00CD6BE9"/>
    <w:rsid w:val="00CD7174"/>
    <w:rsid w:val="00CD732D"/>
    <w:rsid w:val="00CD741D"/>
    <w:rsid w:val="00CD7980"/>
    <w:rsid w:val="00CD7E55"/>
    <w:rsid w:val="00CE02BB"/>
    <w:rsid w:val="00CE0D55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C23"/>
    <w:rsid w:val="00CE3F6F"/>
    <w:rsid w:val="00CE45E3"/>
    <w:rsid w:val="00CE4F45"/>
    <w:rsid w:val="00CE52F2"/>
    <w:rsid w:val="00CE5435"/>
    <w:rsid w:val="00CE6D00"/>
    <w:rsid w:val="00CE6DC3"/>
    <w:rsid w:val="00CE7D5C"/>
    <w:rsid w:val="00CF0521"/>
    <w:rsid w:val="00CF0736"/>
    <w:rsid w:val="00CF0EA9"/>
    <w:rsid w:val="00CF1AB6"/>
    <w:rsid w:val="00CF1F85"/>
    <w:rsid w:val="00CF27EB"/>
    <w:rsid w:val="00CF3076"/>
    <w:rsid w:val="00CF341C"/>
    <w:rsid w:val="00CF3D3A"/>
    <w:rsid w:val="00CF46E5"/>
    <w:rsid w:val="00CF48A4"/>
    <w:rsid w:val="00CF532C"/>
    <w:rsid w:val="00CF6520"/>
    <w:rsid w:val="00CF6981"/>
    <w:rsid w:val="00CF6AAA"/>
    <w:rsid w:val="00CF71E5"/>
    <w:rsid w:val="00CF7A7F"/>
    <w:rsid w:val="00CF7B37"/>
    <w:rsid w:val="00CF7CE3"/>
    <w:rsid w:val="00D00214"/>
    <w:rsid w:val="00D00977"/>
    <w:rsid w:val="00D00FB0"/>
    <w:rsid w:val="00D0112B"/>
    <w:rsid w:val="00D011DD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586E"/>
    <w:rsid w:val="00D05C63"/>
    <w:rsid w:val="00D06018"/>
    <w:rsid w:val="00D06F97"/>
    <w:rsid w:val="00D07A1E"/>
    <w:rsid w:val="00D07E5F"/>
    <w:rsid w:val="00D07F77"/>
    <w:rsid w:val="00D108F1"/>
    <w:rsid w:val="00D109B4"/>
    <w:rsid w:val="00D11124"/>
    <w:rsid w:val="00D1125F"/>
    <w:rsid w:val="00D11429"/>
    <w:rsid w:val="00D11491"/>
    <w:rsid w:val="00D118C5"/>
    <w:rsid w:val="00D12EDF"/>
    <w:rsid w:val="00D132AD"/>
    <w:rsid w:val="00D13815"/>
    <w:rsid w:val="00D146E3"/>
    <w:rsid w:val="00D14B70"/>
    <w:rsid w:val="00D15708"/>
    <w:rsid w:val="00D1585E"/>
    <w:rsid w:val="00D1695F"/>
    <w:rsid w:val="00D175F0"/>
    <w:rsid w:val="00D20060"/>
    <w:rsid w:val="00D21247"/>
    <w:rsid w:val="00D21696"/>
    <w:rsid w:val="00D21CDC"/>
    <w:rsid w:val="00D21CEA"/>
    <w:rsid w:val="00D22F38"/>
    <w:rsid w:val="00D22F9C"/>
    <w:rsid w:val="00D24100"/>
    <w:rsid w:val="00D2562B"/>
    <w:rsid w:val="00D26581"/>
    <w:rsid w:val="00D26E3A"/>
    <w:rsid w:val="00D27406"/>
    <w:rsid w:val="00D2799B"/>
    <w:rsid w:val="00D30064"/>
    <w:rsid w:val="00D3099C"/>
    <w:rsid w:val="00D316D9"/>
    <w:rsid w:val="00D3182F"/>
    <w:rsid w:val="00D32159"/>
    <w:rsid w:val="00D324AB"/>
    <w:rsid w:val="00D32D8B"/>
    <w:rsid w:val="00D333B6"/>
    <w:rsid w:val="00D33D93"/>
    <w:rsid w:val="00D33E4A"/>
    <w:rsid w:val="00D3498E"/>
    <w:rsid w:val="00D34ADE"/>
    <w:rsid w:val="00D35B81"/>
    <w:rsid w:val="00D3618C"/>
    <w:rsid w:val="00D364B4"/>
    <w:rsid w:val="00D36E4A"/>
    <w:rsid w:val="00D37F4D"/>
    <w:rsid w:val="00D40038"/>
    <w:rsid w:val="00D4083E"/>
    <w:rsid w:val="00D41ABF"/>
    <w:rsid w:val="00D41DBC"/>
    <w:rsid w:val="00D42BE8"/>
    <w:rsid w:val="00D439E4"/>
    <w:rsid w:val="00D43D54"/>
    <w:rsid w:val="00D43E7E"/>
    <w:rsid w:val="00D43F44"/>
    <w:rsid w:val="00D448FB"/>
    <w:rsid w:val="00D44A2C"/>
    <w:rsid w:val="00D44FE1"/>
    <w:rsid w:val="00D45122"/>
    <w:rsid w:val="00D46923"/>
    <w:rsid w:val="00D46992"/>
    <w:rsid w:val="00D469E9"/>
    <w:rsid w:val="00D47531"/>
    <w:rsid w:val="00D47A97"/>
    <w:rsid w:val="00D52224"/>
    <w:rsid w:val="00D5227E"/>
    <w:rsid w:val="00D534C5"/>
    <w:rsid w:val="00D53C10"/>
    <w:rsid w:val="00D53CFE"/>
    <w:rsid w:val="00D53D27"/>
    <w:rsid w:val="00D546F3"/>
    <w:rsid w:val="00D5536E"/>
    <w:rsid w:val="00D56C4C"/>
    <w:rsid w:val="00D56F06"/>
    <w:rsid w:val="00D573CD"/>
    <w:rsid w:val="00D600A5"/>
    <w:rsid w:val="00D627BC"/>
    <w:rsid w:val="00D6281E"/>
    <w:rsid w:val="00D64160"/>
    <w:rsid w:val="00D64181"/>
    <w:rsid w:val="00D64246"/>
    <w:rsid w:val="00D646AF"/>
    <w:rsid w:val="00D646D7"/>
    <w:rsid w:val="00D65ACC"/>
    <w:rsid w:val="00D65BF1"/>
    <w:rsid w:val="00D6643D"/>
    <w:rsid w:val="00D6658A"/>
    <w:rsid w:val="00D67007"/>
    <w:rsid w:val="00D6790A"/>
    <w:rsid w:val="00D679AB"/>
    <w:rsid w:val="00D67DF3"/>
    <w:rsid w:val="00D700ED"/>
    <w:rsid w:val="00D70522"/>
    <w:rsid w:val="00D70D63"/>
    <w:rsid w:val="00D71E26"/>
    <w:rsid w:val="00D7265C"/>
    <w:rsid w:val="00D72944"/>
    <w:rsid w:val="00D7326F"/>
    <w:rsid w:val="00D73ABF"/>
    <w:rsid w:val="00D7414F"/>
    <w:rsid w:val="00D74561"/>
    <w:rsid w:val="00D748A4"/>
    <w:rsid w:val="00D74931"/>
    <w:rsid w:val="00D74DB8"/>
    <w:rsid w:val="00D75522"/>
    <w:rsid w:val="00D75C9E"/>
    <w:rsid w:val="00D75D11"/>
    <w:rsid w:val="00D76379"/>
    <w:rsid w:val="00D76B7A"/>
    <w:rsid w:val="00D76C4D"/>
    <w:rsid w:val="00D76F0B"/>
    <w:rsid w:val="00D81237"/>
    <w:rsid w:val="00D81464"/>
    <w:rsid w:val="00D81534"/>
    <w:rsid w:val="00D818F2"/>
    <w:rsid w:val="00D8196E"/>
    <w:rsid w:val="00D82062"/>
    <w:rsid w:val="00D820A1"/>
    <w:rsid w:val="00D824A4"/>
    <w:rsid w:val="00D829B0"/>
    <w:rsid w:val="00D8386B"/>
    <w:rsid w:val="00D83AF5"/>
    <w:rsid w:val="00D840D3"/>
    <w:rsid w:val="00D84C9C"/>
    <w:rsid w:val="00D84D9F"/>
    <w:rsid w:val="00D84E48"/>
    <w:rsid w:val="00D851A1"/>
    <w:rsid w:val="00D85CC5"/>
    <w:rsid w:val="00D86173"/>
    <w:rsid w:val="00D86621"/>
    <w:rsid w:val="00D868B4"/>
    <w:rsid w:val="00D9056A"/>
    <w:rsid w:val="00D91109"/>
    <w:rsid w:val="00D911D7"/>
    <w:rsid w:val="00D91E35"/>
    <w:rsid w:val="00D91FAC"/>
    <w:rsid w:val="00D94C9B"/>
    <w:rsid w:val="00D950DD"/>
    <w:rsid w:val="00D95332"/>
    <w:rsid w:val="00D95576"/>
    <w:rsid w:val="00D956E9"/>
    <w:rsid w:val="00D95B1E"/>
    <w:rsid w:val="00D95F31"/>
    <w:rsid w:val="00D9650F"/>
    <w:rsid w:val="00D96A95"/>
    <w:rsid w:val="00D97115"/>
    <w:rsid w:val="00D9749F"/>
    <w:rsid w:val="00DA0C88"/>
    <w:rsid w:val="00DA4524"/>
    <w:rsid w:val="00DA47E6"/>
    <w:rsid w:val="00DA499F"/>
    <w:rsid w:val="00DA76B1"/>
    <w:rsid w:val="00DA7717"/>
    <w:rsid w:val="00DA7B91"/>
    <w:rsid w:val="00DA7CEC"/>
    <w:rsid w:val="00DA7EA0"/>
    <w:rsid w:val="00DB00E3"/>
    <w:rsid w:val="00DB0D44"/>
    <w:rsid w:val="00DB1655"/>
    <w:rsid w:val="00DB2653"/>
    <w:rsid w:val="00DB2B91"/>
    <w:rsid w:val="00DB2F42"/>
    <w:rsid w:val="00DB42EB"/>
    <w:rsid w:val="00DB4863"/>
    <w:rsid w:val="00DB4E40"/>
    <w:rsid w:val="00DB5433"/>
    <w:rsid w:val="00DB5550"/>
    <w:rsid w:val="00DB55FE"/>
    <w:rsid w:val="00DB5A7D"/>
    <w:rsid w:val="00DB60F2"/>
    <w:rsid w:val="00DB6565"/>
    <w:rsid w:val="00DB6B98"/>
    <w:rsid w:val="00DB6F97"/>
    <w:rsid w:val="00DB70E2"/>
    <w:rsid w:val="00DB727A"/>
    <w:rsid w:val="00DB73A6"/>
    <w:rsid w:val="00DB7459"/>
    <w:rsid w:val="00DB763A"/>
    <w:rsid w:val="00DB799B"/>
    <w:rsid w:val="00DC0079"/>
    <w:rsid w:val="00DC007B"/>
    <w:rsid w:val="00DC01B1"/>
    <w:rsid w:val="00DC0295"/>
    <w:rsid w:val="00DC03F7"/>
    <w:rsid w:val="00DC0579"/>
    <w:rsid w:val="00DC0F5B"/>
    <w:rsid w:val="00DC14FC"/>
    <w:rsid w:val="00DC1ABF"/>
    <w:rsid w:val="00DC2863"/>
    <w:rsid w:val="00DC36EF"/>
    <w:rsid w:val="00DC3A38"/>
    <w:rsid w:val="00DC3A7A"/>
    <w:rsid w:val="00DC3F7E"/>
    <w:rsid w:val="00DC427E"/>
    <w:rsid w:val="00DC4410"/>
    <w:rsid w:val="00DC4653"/>
    <w:rsid w:val="00DC4EE7"/>
    <w:rsid w:val="00DC4FF4"/>
    <w:rsid w:val="00DC50B6"/>
    <w:rsid w:val="00DC55E5"/>
    <w:rsid w:val="00DC596F"/>
    <w:rsid w:val="00DC62C4"/>
    <w:rsid w:val="00DC6B80"/>
    <w:rsid w:val="00DC6E52"/>
    <w:rsid w:val="00DC7C7B"/>
    <w:rsid w:val="00DD00C2"/>
    <w:rsid w:val="00DD0703"/>
    <w:rsid w:val="00DD0C8D"/>
    <w:rsid w:val="00DD0E9B"/>
    <w:rsid w:val="00DD2E21"/>
    <w:rsid w:val="00DD33F5"/>
    <w:rsid w:val="00DD36F0"/>
    <w:rsid w:val="00DD39CB"/>
    <w:rsid w:val="00DD4B6C"/>
    <w:rsid w:val="00DD5F9A"/>
    <w:rsid w:val="00DD676D"/>
    <w:rsid w:val="00DD6AC6"/>
    <w:rsid w:val="00DD6B63"/>
    <w:rsid w:val="00DD7832"/>
    <w:rsid w:val="00DD78C1"/>
    <w:rsid w:val="00DE04D0"/>
    <w:rsid w:val="00DE06F3"/>
    <w:rsid w:val="00DE123D"/>
    <w:rsid w:val="00DE176E"/>
    <w:rsid w:val="00DE1D61"/>
    <w:rsid w:val="00DE21AA"/>
    <w:rsid w:val="00DE2582"/>
    <w:rsid w:val="00DE2A67"/>
    <w:rsid w:val="00DE381F"/>
    <w:rsid w:val="00DE401F"/>
    <w:rsid w:val="00DE43F8"/>
    <w:rsid w:val="00DE4B36"/>
    <w:rsid w:val="00DE6F61"/>
    <w:rsid w:val="00DE7BAE"/>
    <w:rsid w:val="00DE7BBC"/>
    <w:rsid w:val="00DF0095"/>
    <w:rsid w:val="00DF017F"/>
    <w:rsid w:val="00DF04EF"/>
    <w:rsid w:val="00DF1684"/>
    <w:rsid w:val="00DF2417"/>
    <w:rsid w:val="00DF2EA1"/>
    <w:rsid w:val="00DF4213"/>
    <w:rsid w:val="00DF43C8"/>
    <w:rsid w:val="00DF44B0"/>
    <w:rsid w:val="00DF61E8"/>
    <w:rsid w:val="00DF6443"/>
    <w:rsid w:val="00DF68B4"/>
    <w:rsid w:val="00DF68E9"/>
    <w:rsid w:val="00DF771B"/>
    <w:rsid w:val="00DF78FE"/>
    <w:rsid w:val="00DF79EC"/>
    <w:rsid w:val="00DF7AA3"/>
    <w:rsid w:val="00DF7B24"/>
    <w:rsid w:val="00DF7EC4"/>
    <w:rsid w:val="00E00458"/>
    <w:rsid w:val="00E01F0A"/>
    <w:rsid w:val="00E020FB"/>
    <w:rsid w:val="00E029C9"/>
    <w:rsid w:val="00E03B35"/>
    <w:rsid w:val="00E03F88"/>
    <w:rsid w:val="00E0419A"/>
    <w:rsid w:val="00E04653"/>
    <w:rsid w:val="00E048BD"/>
    <w:rsid w:val="00E053A8"/>
    <w:rsid w:val="00E056D7"/>
    <w:rsid w:val="00E058AE"/>
    <w:rsid w:val="00E05FAA"/>
    <w:rsid w:val="00E06968"/>
    <w:rsid w:val="00E06CD9"/>
    <w:rsid w:val="00E06E61"/>
    <w:rsid w:val="00E0732C"/>
    <w:rsid w:val="00E075EC"/>
    <w:rsid w:val="00E100DF"/>
    <w:rsid w:val="00E10243"/>
    <w:rsid w:val="00E1031E"/>
    <w:rsid w:val="00E1051F"/>
    <w:rsid w:val="00E10DB2"/>
    <w:rsid w:val="00E11062"/>
    <w:rsid w:val="00E113FD"/>
    <w:rsid w:val="00E119A6"/>
    <w:rsid w:val="00E12039"/>
    <w:rsid w:val="00E12926"/>
    <w:rsid w:val="00E12A72"/>
    <w:rsid w:val="00E13125"/>
    <w:rsid w:val="00E14012"/>
    <w:rsid w:val="00E14BAC"/>
    <w:rsid w:val="00E14BE1"/>
    <w:rsid w:val="00E1543C"/>
    <w:rsid w:val="00E1663B"/>
    <w:rsid w:val="00E16ABD"/>
    <w:rsid w:val="00E16CCF"/>
    <w:rsid w:val="00E16DD5"/>
    <w:rsid w:val="00E1726A"/>
    <w:rsid w:val="00E179E7"/>
    <w:rsid w:val="00E2114A"/>
    <w:rsid w:val="00E21409"/>
    <w:rsid w:val="00E21BF6"/>
    <w:rsid w:val="00E21FBD"/>
    <w:rsid w:val="00E22913"/>
    <w:rsid w:val="00E22DE5"/>
    <w:rsid w:val="00E22E44"/>
    <w:rsid w:val="00E23849"/>
    <w:rsid w:val="00E24461"/>
    <w:rsid w:val="00E244BD"/>
    <w:rsid w:val="00E25001"/>
    <w:rsid w:val="00E25A21"/>
    <w:rsid w:val="00E26925"/>
    <w:rsid w:val="00E26986"/>
    <w:rsid w:val="00E270FA"/>
    <w:rsid w:val="00E27951"/>
    <w:rsid w:val="00E309F9"/>
    <w:rsid w:val="00E30BEF"/>
    <w:rsid w:val="00E30BF1"/>
    <w:rsid w:val="00E30D31"/>
    <w:rsid w:val="00E310E6"/>
    <w:rsid w:val="00E312F8"/>
    <w:rsid w:val="00E31454"/>
    <w:rsid w:val="00E32031"/>
    <w:rsid w:val="00E321E1"/>
    <w:rsid w:val="00E321EE"/>
    <w:rsid w:val="00E323FF"/>
    <w:rsid w:val="00E3324C"/>
    <w:rsid w:val="00E34A65"/>
    <w:rsid w:val="00E36086"/>
    <w:rsid w:val="00E36769"/>
    <w:rsid w:val="00E36A2E"/>
    <w:rsid w:val="00E36ED1"/>
    <w:rsid w:val="00E37304"/>
    <w:rsid w:val="00E374C2"/>
    <w:rsid w:val="00E3759C"/>
    <w:rsid w:val="00E37BDD"/>
    <w:rsid w:val="00E37D78"/>
    <w:rsid w:val="00E40585"/>
    <w:rsid w:val="00E405A3"/>
    <w:rsid w:val="00E40977"/>
    <w:rsid w:val="00E4108C"/>
    <w:rsid w:val="00E4109D"/>
    <w:rsid w:val="00E410FF"/>
    <w:rsid w:val="00E413E1"/>
    <w:rsid w:val="00E414F9"/>
    <w:rsid w:val="00E41712"/>
    <w:rsid w:val="00E41F01"/>
    <w:rsid w:val="00E41F50"/>
    <w:rsid w:val="00E42680"/>
    <w:rsid w:val="00E4274F"/>
    <w:rsid w:val="00E42D18"/>
    <w:rsid w:val="00E441BD"/>
    <w:rsid w:val="00E44311"/>
    <w:rsid w:val="00E444E2"/>
    <w:rsid w:val="00E44903"/>
    <w:rsid w:val="00E44C18"/>
    <w:rsid w:val="00E44CB1"/>
    <w:rsid w:val="00E4526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1F20"/>
    <w:rsid w:val="00E522B2"/>
    <w:rsid w:val="00E53892"/>
    <w:rsid w:val="00E541FA"/>
    <w:rsid w:val="00E545FB"/>
    <w:rsid w:val="00E54957"/>
    <w:rsid w:val="00E549CD"/>
    <w:rsid w:val="00E54C8C"/>
    <w:rsid w:val="00E55168"/>
    <w:rsid w:val="00E55213"/>
    <w:rsid w:val="00E55C96"/>
    <w:rsid w:val="00E567A3"/>
    <w:rsid w:val="00E56E6A"/>
    <w:rsid w:val="00E57110"/>
    <w:rsid w:val="00E578E0"/>
    <w:rsid w:val="00E57D05"/>
    <w:rsid w:val="00E60753"/>
    <w:rsid w:val="00E609B4"/>
    <w:rsid w:val="00E60AB7"/>
    <w:rsid w:val="00E6165B"/>
    <w:rsid w:val="00E6186D"/>
    <w:rsid w:val="00E61A84"/>
    <w:rsid w:val="00E624A4"/>
    <w:rsid w:val="00E6368E"/>
    <w:rsid w:val="00E639AD"/>
    <w:rsid w:val="00E63C4D"/>
    <w:rsid w:val="00E646C0"/>
    <w:rsid w:val="00E6482E"/>
    <w:rsid w:val="00E64986"/>
    <w:rsid w:val="00E64A6D"/>
    <w:rsid w:val="00E65BD3"/>
    <w:rsid w:val="00E65F73"/>
    <w:rsid w:val="00E66503"/>
    <w:rsid w:val="00E666D7"/>
    <w:rsid w:val="00E66903"/>
    <w:rsid w:val="00E66E49"/>
    <w:rsid w:val="00E66EF6"/>
    <w:rsid w:val="00E66F86"/>
    <w:rsid w:val="00E674C7"/>
    <w:rsid w:val="00E6784D"/>
    <w:rsid w:val="00E70177"/>
    <w:rsid w:val="00E70A1A"/>
    <w:rsid w:val="00E711E0"/>
    <w:rsid w:val="00E71B21"/>
    <w:rsid w:val="00E71EC7"/>
    <w:rsid w:val="00E72C4A"/>
    <w:rsid w:val="00E73AEC"/>
    <w:rsid w:val="00E7445D"/>
    <w:rsid w:val="00E74962"/>
    <w:rsid w:val="00E749AC"/>
    <w:rsid w:val="00E74E14"/>
    <w:rsid w:val="00E753C5"/>
    <w:rsid w:val="00E755BC"/>
    <w:rsid w:val="00E75BDA"/>
    <w:rsid w:val="00E76123"/>
    <w:rsid w:val="00E76837"/>
    <w:rsid w:val="00E76E3B"/>
    <w:rsid w:val="00E77561"/>
    <w:rsid w:val="00E77B34"/>
    <w:rsid w:val="00E80077"/>
    <w:rsid w:val="00E804F7"/>
    <w:rsid w:val="00E814AF"/>
    <w:rsid w:val="00E817F3"/>
    <w:rsid w:val="00E81E02"/>
    <w:rsid w:val="00E823C0"/>
    <w:rsid w:val="00E830AB"/>
    <w:rsid w:val="00E835A2"/>
    <w:rsid w:val="00E84E0C"/>
    <w:rsid w:val="00E86252"/>
    <w:rsid w:val="00E8702A"/>
    <w:rsid w:val="00E8731B"/>
    <w:rsid w:val="00E877E3"/>
    <w:rsid w:val="00E87DF1"/>
    <w:rsid w:val="00E90662"/>
    <w:rsid w:val="00E908DC"/>
    <w:rsid w:val="00E90C4D"/>
    <w:rsid w:val="00E90E67"/>
    <w:rsid w:val="00E914F6"/>
    <w:rsid w:val="00E92416"/>
    <w:rsid w:val="00E92761"/>
    <w:rsid w:val="00E92D37"/>
    <w:rsid w:val="00E9303A"/>
    <w:rsid w:val="00E93CFF"/>
    <w:rsid w:val="00E93F8E"/>
    <w:rsid w:val="00E94333"/>
    <w:rsid w:val="00E94369"/>
    <w:rsid w:val="00E9451C"/>
    <w:rsid w:val="00E94D5D"/>
    <w:rsid w:val="00E96EE4"/>
    <w:rsid w:val="00E979A4"/>
    <w:rsid w:val="00E97C2A"/>
    <w:rsid w:val="00EA0C69"/>
    <w:rsid w:val="00EA0EEA"/>
    <w:rsid w:val="00EA139D"/>
    <w:rsid w:val="00EA16DC"/>
    <w:rsid w:val="00EA1ED3"/>
    <w:rsid w:val="00EA20B5"/>
    <w:rsid w:val="00EA2448"/>
    <w:rsid w:val="00EA2545"/>
    <w:rsid w:val="00EA4104"/>
    <w:rsid w:val="00EA41D2"/>
    <w:rsid w:val="00EA5286"/>
    <w:rsid w:val="00EA538B"/>
    <w:rsid w:val="00EA6834"/>
    <w:rsid w:val="00EA74EA"/>
    <w:rsid w:val="00EA76EE"/>
    <w:rsid w:val="00EA78CC"/>
    <w:rsid w:val="00EB0493"/>
    <w:rsid w:val="00EB0D8F"/>
    <w:rsid w:val="00EB3080"/>
    <w:rsid w:val="00EB3466"/>
    <w:rsid w:val="00EB3C03"/>
    <w:rsid w:val="00EB48C7"/>
    <w:rsid w:val="00EB4DFF"/>
    <w:rsid w:val="00EB5287"/>
    <w:rsid w:val="00EB7DCA"/>
    <w:rsid w:val="00EC0C7B"/>
    <w:rsid w:val="00EC0F87"/>
    <w:rsid w:val="00EC1125"/>
    <w:rsid w:val="00EC12E5"/>
    <w:rsid w:val="00EC17A4"/>
    <w:rsid w:val="00EC17E4"/>
    <w:rsid w:val="00EC2E7A"/>
    <w:rsid w:val="00EC2FDE"/>
    <w:rsid w:val="00EC3A27"/>
    <w:rsid w:val="00EC45A4"/>
    <w:rsid w:val="00EC46EF"/>
    <w:rsid w:val="00EC4BD5"/>
    <w:rsid w:val="00EC5456"/>
    <w:rsid w:val="00EC56A5"/>
    <w:rsid w:val="00EC5F05"/>
    <w:rsid w:val="00EC6518"/>
    <w:rsid w:val="00EC6592"/>
    <w:rsid w:val="00EC699C"/>
    <w:rsid w:val="00EC6BBE"/>
    <w:rsid w:val="00EC6D4D"/>
    <w:rsid w:val="00EC6D7C"/>
    <w:rsid w:val="00EC76E5"/>
    <w:rsid w:val="00EC7916"/>
    <w:rsid w:val="00EC7EE8"/>
    <w:rsid w:val="00ED091D"/>
    <w:rsid w:val="00ED0998"/>
    <w:rsid w:val="00ED0E5E"/>
    <w:rsid w:val="00ED0F0B"/>
    <w:rsid w:val="00ED159B"/>
    <w:rsid w:val="00ED1C36"/>
    <w:rsid w:val="00ED20F1"/>
    <w:rsid w:val="00ED2231"/>
    <w:rsid w:val="00ED229E"/>
    <w:rsid w:val="00ED2FD5"/>
    <w:rsid w:val="00ED3910"/>
    <w:rsid w:val="00ED43A7"/>
    <w:rsid w:val="00ED4976"/>
    <w:rsid w:val="00ED4CFA"/>
    <w:rsid w:val="00ED4E68"/>
    <w:rsid w:val="00ED5174"/>
    <w:rsid w:val="00ED563C"/>
    <w:rsid w:val="00ED57EB"/>
    <w:rsid w:val="00ED5A39"/>
    <w:rsid w:val="00ED5F4C"/>
    <w:rsid w:val="00ED682B"/>
    <w:rsid w:val="00EE066D"/>
    <w:rsid w:val="00EE0991"/>
    <w:rsid w:val="00EE0F65"/>
    <w:rsid w:val="00EE1F3C"/>
    <w:rsid w:val="00EE2204"/>
    <w:rsid w:val="00EE281E"/>
    <w:rsid w:val="00EE2A4A"/>
    <w:rsid w:val="00EE37AD"/>
    <w:rsid w:val="00EE4243"/>
    <w:rsid w:val="00EE43AA"/>
    <w:rsid w:val="00EE56D1"/>
    <w:rsid w:val="00EE5C4A"/>
    <w:rsid w:val="00EE7F34"/>
    <w:rsid w:val="00EF0511"/>
    <w:rsid w:val="00EF0ABC"/>
    <w:rsid w:val="00EF0AE1"/>
    <w:rsid w:val="00EF0E1A"/>
    <w:rsid w:val="00EF151D"/>
    <w:rsid w:val="00EF19FE"/>
    <w:rsid w:val="00EF2537"/>
    <w:rsid w:val="00EF25CD"/>
    <w:rsid w:val="00EF2C80"/>
    <w:rsid w:val="00EF34A4"/>
    <w:rsid w:val="00EF46E1"/>
    <w:rsid w:val="00EF46F1"/>
    <w:rsid w:val="00EF4858"/>
    <w:rsid w:val="00EF49D9"/>
    <w:rsid w:val="00EF4DFB"/>
    <w:rsid w:val="00EF4F63"/>
    <w:rsid w:val="00EF6083"/>
    <w:rsid w:val="00F00122"/>
    <w:rsid w:val="00F00C94"/>
    <w:rsid w:val="00F00CC8"/>
    <w:rsid w:val="00F00EE5"/>
    <w:rsid w:val="00F01971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07DA2"/>
    <w:rsid w:val="00F103DD"/>
    <w:rsid w:val="00F10C2D"/>
    <w:rsid w:val="00F10C3B"/>
    <w:rsid w:val="00F1143C"/>
    <w:rsid w:val="00F1176A"/>
    <w:rsid w:val="00F12488"/>
    <w:rsid w:val="00F1296D"/>
    <w:rsid w:val="00F13168"/>
    <w:rsid w:val="00F13657"/>
    <w:rsid w:val="00F13AA2"/>
    <w:rsid w:val="00F140A1"/>
    <w:rsid w:val="00F1419D"/>
    <w:rsid w:val="00F1421B"/>
    <w:rsid w:val="00F14EC0"/>
    <w:rsid w:val="00F14EF8"/>
    <w:rsid w:val="00F15C26"/>
    <w:rsid w:val="00F1600E"/>
    <w:rsid w:val="00F16806"/>
    <w:rsid w:val="00F1756A"/>
    <w:rsid w:val="00F2051D"/>
    <w:rsid w:val="00F20625"/>
    <w:rsid w:val="00F2071A"/>
    <w:rsid w:val="00F21246"/>
    <w:rsid w:val="00F217EB"/>
    <w:rsid w:val="00F21E8A"/>
    <w:rsid w:val="00F2247D"/>
    <w:rsid w:val="00F228A9"/>
    <w:rsid w:val="00F234C3"/>
    <w:rsid w:val="00F252E6"/>
    <w:rsid w:val="00F257B8"/>
    <w:rsid w:val="00F259E4"/>
    <w:rsid w:val="00F25DF9"/>
    <w:rsid w:val="00F26047"/>
    <w:rsid w:val="00F26369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8F4"/>
    <w:rsid w:val="00F31A47"/>
    <w:rsid w:val="00F32A5F"/>
    <w:rsid w:val="00F32F32"/>
    <w:rsid w:val="00F3328D"/>
    <w:rsid w:val="00F33BD4"/>
    <w:rsid w:val="00F33D18"/>
    <w:rsid w:val="00F33FD4"/>
    <w:rsid w:val="00F34642"/>
    <w:rsid w:val="00F35244"/>
    <w:rsid w:val="00F35431"/>
    <w:rsid w:val="00F3627D"/>
    <w:rsid w:val="00F37390"/>
    <w:rsid w:val="00F37A01"/>
    <w:rsid w:val="00F37A2D"/>
    <w:rsid w:val="00F401C7"/>
    <w:rsid w:val="00F4118B"/>
    <w:rsid w:val="00F415DC"/>
    <w:rsid w:val="00F41EAC"/>
    <w:rsid w:val="00F41F27"/>
    <w:rsid w:val="00F42441"/>
    <w:rsid w:val="00F42864"/>
    <w:rsid w:val="00F428BA"/>
    <w:rsid w:val="00F42CCB"/>
    <w:rsid w:val="00F42CF2"/>
    <w:rsid w:val="00F43E04"/>
    <w:rsid w:val="00F44075"/>
    <w:rsid w:val="00F44169"/>
    <w:rsid w:val="00F442B7"/>
    <w:rsid w:val="00F44697"/>
    <w:rsid w:val="00F44A71"/>
    <w:rsid w:val="00F452D4"/>
    <w:rsid w:val="00F4603F"/>
    <w:rsid w:val="00F4710B"/>
    <w:rsid w:val="00F47DBA"/>
    <w:rsid w:val="00F50B6C"/>
    <w:rsid w:val="00F50D46"/>
    <w:rsid w:val="00F50E36"/>
    <w:rsid w:val="00F51874"/>
    <w:rsid w:val="00F51F35"/>
    <w:rsid w:val="00F52A38"/>
    <w:rsid w:val="00F52B73"/>
    <w:rsid w:val="00F52CE5"/>
    <w:rsid w:val="00F5344F"/>
    <w:rsid w:val="00F55761"/>
    <w:rsid w:val="00F559FF"/>
    <w:rsid w:val="00F56047"/>
    <w:rsid w:val="00F56510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7B"/>
    <w:rsid w:val="00F60DAB"/>
    <w:rsid w:val="00F615E7"/>
    <w:rsid w:val="00F6262C"/>
    <w:rsid w:val="00F628A5"/>
    <w:rsid w:val="00F63A58"/>
    <w:rsid w:val="00F647B7"/>
    <w:rsid w:val="00F659AE"/>
    <w:rsid w:val="00F6638B"/>
    <w:rsid w:val="00F66422"/>
    <w:rsid w:val="00F66B33"/>
    <w:rsid w:val="00F66FAF"/>
    <w:rsid w:val="00F67ABA"/>
    <w:rsid w:val="00F67ECB"/>
    <w:rsid w:val="00F706C1"/>
    <w:rsid w:val="00F70704"/>
    <w:rsid w:val="00F709EA"/>
    <w:rsid w:val="00F70CB5"/>
    <w:rsid w:val="00F71B69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8FF"/>
    <w:rsid w:val="00F73AA7"/>
    <w:rsid w:val="00F74146"/>
    <w:rsid w:val="00F746C4"/>
    <w:rsid w:val="00F747C9"/>
    <w:rsid w:val="00F747EF"/>
    <w:rsid w:val="00F749BB"/>
    <w:rsid w:val="00F75935"/>
    <w:rsid w:val="00F75C9C"/>
    <w:rsid w:val="00F76337"/>
    <w:rsid w:val="00F76996"/>
    <w:rsid w:val="00F76E54"/>
    <w:rsid w:val="00F77473"/>
    <w:rsid w:val="00F77476"/>
    <w:rsid w:val="00F8047E"/>
    <w:rsid w:val="00F80660"/>
    <w:rsid w:val="00F807F1"/>
    <w:rsid w:val="00F82477"/>
    <w:rsid w:val="00F82908"/>
    <w:rsid w:val="00F82ABE"/>
    <w:rsid w:val="00F83170"/>
    <w:rsid w:val="00F83A4D"/>
    <w:rsid w:val="00F84703"/>
    <w:rsid w:val="00F84918"/>
    <w:rsid w:val="00F84CF5"/>
    <w:rsid w:val="00F85045"/>
    <w:rsid w:val="00F8521B"/>
    <w:rsid w:val="00F8572A"/>
    <w:rsid w:val="00F85D32"/>
    <w:rsid w:val="00F85DEB"/>
    <w:rsid w:val="00F85EE4"/>
    <w:rsid w:val="00F8645F"/>
    <w:rsid w:val="00F87D74"/>
    <w:rsid w:val="00F90289"/>
    <w:rsid w:val="00F90467"/>
    <w:rsid w:val="00F9116B"/>
    <w:rsid w:val="00F926B2"/>
    <w:rsid w:val="00F92A4C"/>
    <w:rsid w:val="00F92F55"/>
    <w:rsid w:val="00F93503"/>
    <w:rsid w:val="00F93A06"/>
    <w:rsid w:val="00F93A34"/>
    <w:rsid w:val="00F945DB"/>
    <w:rsid w:val="00F94894"/>
    <w:rsid w:val="00F94DFC"/>
    <w:rsid w:val="00F95911"/>
    <w:rsid w:val="00F9607F"/>
    <w:rsid w:val="00F96723"/>
    <w:rsid w:val="00F97190"/>
    <w:rsid w:val="00F9757C"/>
    <w:rsid w:val="00FA09A8"/>
    <w:rsid w:val="00FA1334"/>
    <w:rsid w:val="00FA2605"/>
    <w:rsid w:val="00FA264A"/>
    <w:rsid w:val="00FA26DD"/>
    <w:rsid w:val="00FA27E8"/>
    <w:rsid w:val="00FA28B3"/>
    <w:rsid w:val="00FA2B86"/>
    <w:rsid w:val="00FA2CE1"/>
    <w:rsid w:val="00FA33FF"/>
    <w:rsid w:val="00FA4355"/>
    <w:rsid w:val="00FA4422"/>
    <w:rsid w:val="00FA476B"/>
    <w:rsid w:val="00FA4B91"/>
    <w:rsid w:val="00FA4D52"/>
    <w:rsid w:val="00FA5832"/>
    <w:rsid w:val="00FA5EBF"/>
    <w:rsid w:val="00FA62BD"/>
    <w:rsid w:val="00FA7B38"/>
    <w:rsid w:val="00FA7F29"/>
    <w:rsid w:val="00FB0E6E"/>
    <w:rsid w:val="00FB1494"/>
    <w:rsid w:val="00FB16A0"/>
    <w:rsid w:val="00FB1CCD"/>
    <w:rsid w:val="00FB2747"/>
    <w:rsid w:val="00FB29DF"/>
    <w:rsid w:val="00FB3439"/>
    <w:rsid w:val="00FB3563"/>
    <w:rsid w:val="00FB35D1"/>
    <w:rsid w:val="00FB3970"/>
    <w:rsid w:val="00FB3B10"/>
    <w:rsid w:val="00FB462F"/>
    <w:rsid w:val="00FB4882"/>
    <w:rsid w:val="00FB4C6E"/>
    <w:rsid w:val="00FB4E63"/>
    <w:rsid w:val="00FB50DB"/>
    <w:rsid w:val="00FB54B9"/>
    <w:rsid w:val="00FB67DB"/>
    <w:rsid w:val="00FB6F82"/>
    <w:rsid w:val="00FB71C4"/>
    <w:rsid w:val="00FB73CD"/>
    <w:rsid w:val="00FC0119"/>
    <w:rsid w:val="00FC11A5"/>
    <w:rsid w:val="00FC2B6F"/>
    <w:rsid w:val="00FC2BFB"/>
    <w:rsid w:val="00FC320B"/>
    <w:rsid w:val="00FC34F5"/>
    <w:rsid w:val="00FC355F"/>
    <w:rsid w:val="00FC35DC"/>
    <w:rsid w:val="00FC3A05"/>
    <w:rsid w:val="00FC5235"/>
    <w:rsid w:val="00FC5338"/>
    <w:rsid w:val="00FC53CD"/>
    <w:rsid w:val="00FC5C9C"/>
    <w:rsid w:val="00FC5F42"/>
    <w:rsid w:val="00FC70B0"/>
    <w:rsid w:val="00FC718B"/>
    <w:rsid w:val="00FD06B3"/>
    <w:rsid w:val="00FD0D11"/>
    <w:rsid w:val="00FD1165"/>
    <w:rsid w:val="00FD1194"/>
    <w:rsid w:val="00FD33E4"/>
    <w:rsid w:val="00FD53B3"/>
    <w:rsid w:val="00FD67A7"/>
    <w:rsid w:val="00FD7A34"/>
    <w:rsid w:val="00FE0022"/>
    <w:rsid w:val="00FE038C"/>
    <w:rsid w:val="00FE0FDD"/>
    <w:rsid w:val="00FE1003"/>
    <w:rsid w:val="00FE1592"/>
    <w:rsid w:val="00FE16C6"/>
    <w:rsid w:val="00FE224B"/>
    <w:rsid w:val="00FE3839"/>
    <w:rsid w:val="00FE38F0"/>
    <w:rsid w:val="00FE3F0B"/>
    <w:rsid w:val="00FE4341"/>
    <w:rsid w:val="00FE4E93"/>
    <w:rsid w:val="00FE50F8"/>
    <w:rsid w:val="00FE5396"/>
    <w:rsid w:val="00FE563D"/>
    <w:rsid w:val="00FE584E"/>
    <w:rsid w:val="00FE5ADB"/>
    <w:rsid w:val="00FE7CE0"/>
    <w:rsid w:val="00FF00BF"/>
    <w:rsid w:val="00FF2D82"/>
    <w:rsid w:val="00FF3EA2"/>
    <w:rsid w:val="00FF3F7A"/>
    <w:rsid w:val="00FF4729"/>
    <w:rsid w:val="00FF4C79"/>
    <w:rsid w:val="00FF5124"/>
    <w:rsid w:val="00FF677E"/>
    <w:rsid w:val="00FF6D09"/>
    <w:rsid w:val="00FF6D3F"/>
    <w:rsid w:val="00FF6DA7"/>
    <w:rsid w:val="00FF78D0"/>
    <w:rsid w:val="00FF7F5D"/>
    <w:rsid w:val="06D2ED5B"/>
    <w:rsid w:val="08B4579D"/>
    <w:rsid w:val="287A6343"/>
    <w:rsid w:val="2F2DFAE2"/>
    <w:rsid w:val="3ED52D63"/>
    <w:rsid w:val="5AB8B88E"/>
    <w:rsid w:val="6997AB75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E7940F5F-8C42-4DCD-A726-5FF18B19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6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0EE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6170D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uiPriority w:val="59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SimSun" w:hAnsi="Tahoma" w:cs="Tahoma"/>
      <w:sz w:val="16"/>
      <w:szCs w:val="16"/>
      <w:lang w:val="en-GB" w:eastAsia="en-US"/>
    </w:rPr>
  </w:style>
  <w:style w:type="paragraph" w:customStyle="1" w:styleId="PL">
    <w:name w:val="PL"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?? ??,?????,????,列出段落,中等深浅网格 1 - 着色 21,列表段落,¥¡¡¡¡ì¬º¥¹¥È¶ÎÂä,ÁÐ³ö¶ÎÂä,¥ê¥¹¥È¶ÎÂä,列表段落1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semiHidden/>
    <w:rsid w:val="00813E6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SimSun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qFormat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?? ?? Char,????? Char,???? Char"/>
    <w:link w:val="ListParagraph"/>
    <w:uiPriority w:val="34"/>
    <w:qFormat/>
    <w:locked/>
    <w:rsid w:val="00BD6860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AR">
    <w:name w:val="TAR"/>
    <w:basedOn w:val="TAL"/>
    <w:rsid w:val="00697DB5"/>
    <w:pPr>
      <w:jc w:val="right"/>
    </w:pPr>
    <w:rPr>
      <w:rFonts w:eastAsia="Times New Roman"/>
    </w:rPr>
  </w:style>
  <w:style w:type="character" w:customStyle="1" w:styleId="B1Char">
    <w:name w:val="B1 Char"/>
    <w:link w:val="B1"/>
    <w:locked/>
    <w:rsid w:val="00BE320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E320B"/>
    <w:pPr>
      <w:overflowPunct/>
      <w:autoSpaceDE/>
      <w:autoSpaceDN/>
      <w:adjustRightInd/>
      <w:ind w:left="568" w:firstLineChars="0" w:hanging="284"/>
      <w:contextualSpacing w:val="0"/>
      <w:textAlignment w:val="auto"/>
    </w:pPr>
    <w:rPr>
      <w:rFonts w:eastAsiaTheme="minorEastAsia"/>
    </w:rPr>
  </w:style>
  <w:style w:type="paragraph" w:styleId="List">
    <w:name w:val="List"/>
    <w:basedOn w:val="Normal"/>
    <w:uiPriority w:val="99"/>
    <w:semiHidden/>
    <w:unhideWhenUsed/>
    <w:rsid w:val="00BE320B"/>
    <w:pPr>
      <w:ind w:left="200" w:hangingChars="200" w:hanging="200"/>
      <w:contextualSpacing/>
    </w:pPr>
  </w:style>
  <w:style w:type="paragraph" w:customStyle="1" w:styleId="Doc-text2">
    <w:name w:val="Doc-text2"/>
    <w:basedOn w:val="Normal"/>
    <w:link w:val="Doc-text2Char"/>
    <w:qFormat/>
    <w:rsid w:val="00496025"/>
    <w:pPr>
      <w:tabs>
        <w:tab w:val="left" w:pos="1622"/>
      </w:tabs>
      <w:spacing w:after="0"/>
      <w:ind w:left="1622" w:hanging="363"/>
    </w:pPr>
    <w:rPr>
      <w:rFonts w:ascii="Arial" w:eastAsia="Times New Roman" w:hAnsi="Arial"/>
      <w:lang w:val="x-none" w:eastAsia="x-none"/>
    </w:rPr>
  </w:style>
  <w:style w:type="character" w:customStyle="1" w:styleId="Doc-text2Char">
    <w:name w:val="Doc-text2 Char"/>
    <w:link w:val="Doc-text2"/>
    <w:rsid w:val="00496025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TOC9">
    <w:name w:val="toc 9"/>
    <w:basedOn w:val="TOC8"/>
    <w:uiPriority w:val="39"/>
    <w:rsid w:val="0086022B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Chars="0" w:left="1418" w:right="425" w:hanging="1418"/>
      <w:textAlignment w:val="auto"/>
    </w:pPr>
    <w:rPr>
      <w:rFonts w:eastAsia="PMingLiU"/>
      <w:b/>
      <w:noProof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86022B"/>
    <w:pPr>
      <w:ind w:leftChars="1400" w:left="294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740EE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5AIRPNAIUNRU-1830940522-6132</_dlc_DocId>
    <_dlc_DocIdUrl xmlns="71c5aaf6-e6ce-465b-b873-5148d2a4c105">
      <Url>https://nokia.sharepoint.com/sites/c5g/5gradio/_layouts/15/DocIdRedir.aspx?ID=5AIRPNAIUNRU-1830940522-6132</Url>
      <Description>5AIRPNAIUNRU-1830940522-6132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0D0A0F-1F1A-4E34-855A-E86D2FFB27E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13A31A-F602-453E-9F9C-D2112DD77A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1266B8-23B2-4ED8-9414-70EAAC36E1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EEA25C7-F334-4355-9C63-AD69C851AB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2113</Words>
  <Characters>11094</Characters>
  <Application>Microsoft Office Word</Application>
  <DocSecurity>0</DocSecurity>
  <Lines>236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Zhilan Xiong</dc:creator>
  <cp:keywords>Unrestricted</cp:keywords>
  <cp:lastModifiedBy>Olesen, Robert L (US)</cp:lastModifiedBy>
  <cp:revision>5</cp:revision>
  <cp:lastPrinted>2017-04-27T09:58:00Z</cp:lastPrinted>
  <dcterms:created xsi:type="dcterms:W3CDTF">2022-04-27T18:51:00Z</dcterms:created>
  <dcterms:modified xsi:type="dcterms:W3CDTF">2022-04-27T19:07:00Z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76048a8c-41cc-4727-bd2c-f4abb00eaa72</vt:lpwstr>
  </property>
  <property fmtid="{D5CDD505-2E9C-101B-9397-08002B2CF9AE}" pid="5" name="LM SIP Document Sensitivity">
    <vt:lpwstr/>
  </property>
  <property fmtid="{D5CDD505-2E9C-101B-9397-08002B2CF9AE}" pid="6" name="Document Author">
    <vt:lpwstr>US\e423231</vt:lpwstr>
  </property>
  <property fmtid="{D5CDD505-2E9C-101B-9397-08002B2CF9AE}" pid="7" name="Document Sensitivity">
    <vt:lpwstr>1</vt:lpwstr>
  </property>
  <property fmtid="{D5CDD505-2E9C-101B-9397-08002B2CF9AE}" pid="8" name="ThirdParty">
    <vt:lpwstr/>
  </property>
  <property fmtid="{D5CDD505-2E9C-101B-9397-08002B2CF9AE}" pid="9" name="OCI Restriction">
    <vt:bool>false</vt:bool>
  </property>
  <property fmtid="{D5CDD505-2E9C-101B-9397-08002B2CF9AE}" pid="10" name="OCI Additional Info">
    <vt:lpwstr/>
  </property>
  <property fmtid="{D5CDD505-2E9C-101B-9397-08002B2CF9AE}" pid="11" name="Allow Header Overwrite">
    <vt:bool>true</vt:bool>
  </property>
  <property fmtid="{D5CDD505-2E9C-101B-9397-08002B2CF9AE}" pid="12" name="Allow Footer Overwrite">
    <vt:bool>true</vt:bool>
  </property>
  <property fmtid="{D5CDD505-2E9C-101B-9397-08002B2CF9AE}" pid="13" name="Multiple Selected">
    <vt:lpwstr>-1</vt:lpwstr>
  </property>
  <property fmtid="{D5CDD505-2E9C-101B-9397-08002B2CF9AE}" pid="14" name="SIPLongWording">
    <vt:lpwstr>_x000d_
_x000d_
</vt:lpwstr>
  </property>
  <property fmtid="{D5CDD505-2E9C-101B-9397-08002B2CF9AE}" pid="15" name="ExpCountry">
    <vt:lpwstr/>
  </property>
  <property fmtid="{D5CDD505-2E9C-101B-9397-08002B2CF9AE}" pid="16" name="TextBoxAndDropdownValues">
    <vt:lpwstr/>
  </property>
</Properties>
</file>