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Default="00F3458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 109-e</w:t>
      </w:r>
      <w:r>
        <w:rPr>
          <w:b/>
          <w:kern w:val="2"/>
          <w:lang w:eastAsia="zh-CN"/>
        </w:rPr>
        <w:tab/>
        <w:t>R1-2203221</w:t>
      </w:r>
    </w:p>
    <w:p w:rsidR="00FF425C" w:rsidRDefault="00F3458E">
      <w:pPr>
        <w:jc w:val="left"/>
        <w:rPr>
          <w:b/>
          <w:kern w:val="2"/>
          <w:lang w:eastAsia="zh-CN"/>
        </w:rPr>
      </w:pPr>
      <w:r>
        <w:rPr>
          <w:b/>
          <w:kern w:val="2"/>
          <w:lang w:eastAsia="zh-CN"/>
        </w:rPr>
        <w:t>E-Meeting, May 9</w:t>
      </w:r>
      <w:r>
        <w:rPr>
          <w:b/>
          <w:kern w:val="2"/>
          <w:vertAlign w:val="superscript"/>
          <w:lang w:eastAsia="zh-CN"/>
        </w:rPr>
        <w:t>th</w:t>
      </w:r>
      <w:r>
        <w:rPr>
          <w:b/>
          <w:kern w:val="2"/>
          <w:lang w:eastAsia="zh-CN"/>
        </w:rPr>
        <w:t xml:space="preserve"> – May 20</w:t>
      </w:r>
      <w:r>
        <w:rPr>
          <w:b/>
          <w:kern w:val="2"/>
          <w:vertAlign w:val="superscript"/>
          <w:lang w:eastAsia="zh-CN"/>
        </w:rPr>
        <w:t>th</w:t>
      </w:r>
      <w:r>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FF425C" w:rsidRDefault="00F3458E">
      <w:pPr>
        <w:spacing w:afterLines="50"/>
        <w:rPr>
          <w:lang w:eastAsia="zh-CN"/>
        </w:rPr>
      </w:pPr>
      <w:r>
        <w:rPr>
          <w:lang w:eastAsia="zh-CN"/>
        </w:rPr>
        <w:t>In RAN</w:t>
      </w:r>
      <w:r w:rsidR="00BB53EE">
        <w:rPr>
          <w:lang w:eastAsia="zh-CN"/>
        </w:rPr>
        <w:t>P</w:t>
      </w:r>
      <w:r>
        <w:rPr>
          <w:lang w:eastAsia="zh-CN"/>
        </w:rPr>
        <w:t xml:space="preserve">#94-e meeting, a new study item (SI), study on evolution of NR duplex operation was approved  [1], which specified the NR functionalities for duplex evolution with the following objectives. </w:t>
      </w:r>
    </w:p>
    <w:tbl>
      <w:tblPr>
        <w:tblStyle w:val="TableGrid"/>
        <w:tblW w:w="0" w:type="auto"/>
        <w:tblInd w:w="108" w:type="dxa"/>
        <w:tblLook w:val="04A0" w:firstRow="1" w:lastRow="0" w:firstColumn="1" w:lastColumn="0" w:noHBand="0" w:noVBand="1"/>
      </w:tblPr>
      <w:tblGrid>
        <w:gridCol w:w="9199"/>
      </w:tblGrid>
      <w:tr w:rsidR="00FF425C">
        <w:trPr>
          <w:trHeight w:val="1142"/>
        </w:trPr>
        <w:tc>
          <w:tcPr>
            <w:tcW w:w="9356" w:type="dxa"/>
          </w:tcPr>
          <w:p w:rsidR="00FF425C" w:rsidRDefault="00F3458E">
            <w:pPr>
              <w:numPr>
                <w:ilvl w:val="0"/>
                <w:numId w:val="4"/>
              </w:numPr>
              <w:overflowPunct w:val="0"/>
              <w:snapToGrid/>
              <w:spacing w:after="180"/>
              <w:textAlignment w:val="baseline"/>
              <w:rPr>
                <w:lang w:eastAsia="zh-CN"/>
              </w:rPr>
            </w:pPr>
            <w:r>
              <w:rPr>
                <w:rFonts w:hint="eastAsia"/>
                <w:lang w:eastAsia="zh-CN"/>
              </w:rPr>
              <w:t xml:space="preserve">Study </w:t>
            </w:r>
            <w:r>
              <w:rPr>
                <w:lang w:eastAsia="zh-CN"/>
              </w:rPr>
              <w:t xml:space="preserve">the subband non-overlapping full duplex and </w:t>
            </w:r>
            <w:bookmarkStart w:id="2" w:name="_Hlk89796625"/>
            <w:r>
              <w:rPr>
                <w:lang w:eastAsia="zh-CN"/>
              </w:rPr>
              <w:t>potential enhancements on dynamic/flexible TDD</w:t>
            </w:r>
            <w:bookmarkEnd w:id="2"/>
            <w:r>
              <w:rPr>
                <w:lang w:eastAsia="zh-CN"/>
              </w:rPr>
              <w:t xml:space="preserve"> (RA</w:t>
            </w:r>
            <w:bookmarkStart w:id="3" w:name="_GoBack"/>
            <w:bookmarkEnd w:id="3"/>
            <w:r>
              <w:rPr>
                <w:lang w:eastAsia="zh-CN"/>
              </w:rPr>
              <w:t>N1, RAN4).</w:t>
            </w:r>
          </w:p>
          <w:p w:rsidR="00FF425C" w:rsidRDefault="00F3458E">
            <w:pPr>
              <w:pStyle w:val="ListParagraph"/>
              <w:numPr>
                <w:ilvl w:val="0"/>
                <w:numId w:val="5"/>
              </w:numPr>
              <w:overflowPunct w:val="0"/>
              <w:autoSpaceDE w:val="0"/>
              <w:autoSpaceDN w:val="0"/>
              <w:adjustRightInd w:val="0"/>
              <w:spacing w:after="180"/>
              <w:contextualSpacing/>
              <w:jc w:val="both"/>
              <w:textAlignment w:val="baseline"/>
              <w:rPr>
                <w:rFonts w:ascii="Times New Roman" w:hAnsi="Times New Roman"/>
                <w:sz w:val="22"/>
                <w:szCs w:val="22"/>
                <w:lang w:eastAsia="zh-CN"/>
              </w:rPr>
            </w:pPr>
            <w:r>
              <w:rPr>
                <w:rFonts w:ascii="Times New Roman" w:hAnsi="Times New Roman"/>
                <w:sz w:val="22"/>
                <w:szCs w:val="22"/>
                <w:lang w:eastAsia="zh-CN"/>
              </w:rPr>
              <w:t>Identify possible schemes and evaluate their feasibility and performances (RAN1).</w:t>
            </w:r>
          </w:p>
          <w:p w:rsidR="00FF425C" w:rsidRDefault="00F3458E">
            <w:pPr>
              <w:pStyle w:val="ListParagraph"/>
              <w:numPr>
                <w:ilvl w:val="0"/>
                <w:numId w:val="5"/>
              </w:numPr>
              <w:overflowPunct w:val="0"/>
              <w:autoSpaceDE w:val="0"/>
              <w:autoSpaceDN w:val="0"/>
              <w:adjustRightInd w:val="0"/>
              <w:spacing w:after="180"/>
              <w:contextualSpacing/>
              <w:jc w:val="both"/>
              <w:textAlignment w:val="baseline"/>
              <w:rPr>
                <w:rFonts w:ascii="Times New Roman" w:hAnsi="Times New Roman"/>
                <w:sz w:val="22"/>
                <w:szCs w:val="22"/>
                <w:lang w:eastAsia="zh-CN"/>
              </w:rPr>
            </w:pPr>
            <w:r>
              <w:rPr>
                <w:rFonts w:ascii="Times New Roman" w:hAnsi="Times New Roman"/>
                <w:sz w:val="22"/>
                <w:szCs w:val="22"/>
                <w:lang w:eastAsia="zh-CN"/>
              </w:rPr>
              <w:t xml:space="preserve">Study inter-gNB and inter-UE CLI handling and identify solutions to manage them (RAN1). </w:t>
            </w:r>
          </w:p>
          <w:p w:rsidR="00FF425C" w:rsidRDefault="00F3458E">
            <w:pPr>
              <w:pStyle w:val="ListParagraph"/>
              <w:numPr>
                <w:ilvl w:val="1"/>
                <w:numId w:val="5"/>
              </w:numPr>
              <w:overflowPunct w:val="0"/>
              <w:autoSpaceDE w:val="0"/>
              <w:autoSpaceDN w:val="0"/>
              <w:adjustRightInd w:val="0"/>
              <w:spacing w:after="180"/>
              <w:contextualSpacing/>
              <w:jc w:val="both"/>
              <w:textAlignment w:val="baseline"/>
              <w:rPr>
                <w:rFonts w:ascii="Times New Roman" w:hAnsi="Times New Roman"/>
                <w:sz w:val="22"/>
                <w:szCs w:val="22"/>
                <w:lang w:eastAsia="zh-CN"/>
              </w:rPr>
            </w:pPr>
            <w:r>
              <w:rPr>
                <w:rFonts w:ascii="Times New Roman" w:hAnsi="Times New Roman"/>
                <w:sz w:val="22"/>
                <w:szCs w:val="22"/>
                <w:lang w:eastAsia="zh-CN"/>
              </w:rPr>
              <w:t>Consider intra-subband CLI and inter-subband CLI in case of the subband non-overlapping full duplex.</w:t>
            </w:r>
          </w:p>
          <w:p w:rsidR="00FF425C" w:rsidRDefault="00F3458E">
            <w:pPr>
              <w:pStyle w:val="ListParagraph"/>
              <w:numPr>
                <w:ilvl w:val="0"/>
                <w:numId w:val="5"/>
              </w:numPr>
              <w:overflowPunct w:val="0"/>
              <w:autoSpaceDE w:val="0"/>
              <w:autoSpaceDN w:val="0"/>
              <w:adjustRightInd w:val="0"/>
              <w:spacing w:after="180"/>
              <w:contextualSpacing/>
              <w:jc w:val="both"/>
              <w:textAlignment w:val="baseline"/>
              <w:rPr>
                <w:rFonts w:ascii="Times New Roman" w:hAnsi="Times New Roman"/>
                <w:sz w:val="22"/>
                <w:szCs w:val="22"/>
                <w:lang w:eastAsia="zh-CN"/>
              </w:rPr>
            </w:pPr>
            <w:r>
              <w:rPr>
                <w:rFonts w:ascii="Times New Roman" w:hAnsi="Times New Roman"/>
                <w:sz w:val="22"/>
                <w:szCs w:val="22"/>
                <w:lang w:eastAsia="zh-CN"/>
              </w:rPr>
              <w:t>Study the performance of the identified schemes as well as the impact on legacy operation assuming their co-existence in co-channel and adjacent channels (RAN1).</w:t>
            </w:r>
          </w:p>
          <w:p w:rsidR="00FF425C" w:rsidRDefault="00F3458E">
            <w:pPr>
              <w:pStyle w:val="ListParagraph"/>
              <w:numPr>
                <w:ilvl w:val="0"/>
                <w:numId w:val="5"/>
              </w:numPr>
              <w:overflowPunct w:val="0"/>
              <w:autoSpaceDE w:val="0"/>
              <w:autoSpaceDN w:val="0"/>
              <w:adjustRightInd w:val="0"/>
              <w:spacing w:after="180"/>
              <w:contextualSpacing/>
              <w:textAlignment w:val="baseline"/>
              <w:rPr>
                <w:rFonts w:ascii="Times New Roman" w:hAnsi="Times New Roman"/>
                <w:sz w:val="22"/>
                <w:szCs w:val="22"/>
                <w:lang w:eastAsia="zh-CN"/>
              </w:rPr>
            </w:pPr>
            <w:r>
              <w:rPr>
                <w:rFonts w:ascii="Times New Roman" w:hAnsi="Times New Roman"/>
                <w:sz w:val="22"/>
                <w:szCs w:val="22"/>
                <w:lang w:eastAsia="zh-CN"/>
              </w:rPr>
              <w:t>Study the feasibility of and impact on RF requirements considering adjacent-channel co-existence with the legacy operation (RAN4).</w:t>
            </w:r>
          </w:p>
          <w:p w:rsidR="00FF425C" w:rsidRDefault="00F3458E">
            <w:pPr>
              <w:pStyle w:val="ListParagraph"/>
              <w:numPr>
                <w:ilvl w:val="0"/>
                <w:numId w:val="5"/>
              </w:numPr>
              <w:overflowPunct w:val="0"/>
              <w:autoSpaceDE w:val="0"/>
              <w:autoSpaceDN w:val="0"/>
              <w:adjustRightInd w:val="0"/>
              <w:spacing w:after="180"/>
              <w:contextualSpacing/>
              <w:jc w:val="both"/>
              <w:textAlignment w:val="baseline"/>
              <w:rPr>
                <w:rFonts w:eastAsia="Malgun Gothic"/>
                <w:bCs/>
                <w:lang w:eastAsia="ko-KR"/>
              </w:rPr>
            </w:pPr>
            <w:r>
              <w:rPr>
                <w:rFonts w:ascii="Times New Roman" w:hAnsi="Times New Roman"/>
                <w:sz w:val="22"/>
                <w:szCs w:val="22"/>
                <w:lang w:eastAsia="zh-CN"/>
              </w:rPr>
              <w:t>Study the feasibility of and impact on RF requirements considering the self-interference, the inter-subband CLI, and the inter-operator CLI at gNB and the inter-subband CLI and inter-operator CLI at UE (RAN4).</w:t>
            </w:r>
          </w:p>
        </w:tc>
      </w:tr>
    </w:tbl>
    <w:p w:rsidR="00FF425C" w:rsidRDefault="00F3458E">
      <w:pPr>
        <w:rPr>
          <w:lang w:eastAsia="ko-KR"/>
        </w:rPr>
      </w:pPr>
      <w:r>
        <w:t xml:space="preserve">In this contribution we focus on potential enhancement of dynamic/flexible TDD and provide our views on CLI management schemes which cheers the duplex operation. </w:t>
      </w:r>
    </w:p>
    <w:p w:rsidR="00FF425C" w:rsidRDefault="00F3458E">
      <w:pPr>
        <w:pStyle w:val="Heading1"/>
        <w:rPr>
          <w:lang w:eastAsia="zh-CN"/>
        </w:rPr>
      </w:pPr>
      <w:r>
        <w:rPr>
          <w:lang w:eastAsia="zh-CN"/>
        </w:rPr>
        <w:t>Discussion</w:t>
      </w:r>
      <w:r>
        <w:rPr>
          <w:rFonts w:hint="eastAsia"/>
          <w:lang w:eastAsia="zh-CN"/>
        </w:rPr>
        <w:t xml:space="preserve"> </w:t>
      </w:r>
      <w:r>
        <w:rPr>
          <w:lang w:eastAsia="zh-CN"/>
        </w:rPr>
        <w:t xml:space="preserve">  </w:t>
      </w:r>
    </w:p>
    <w:p w:rsidR="00FF425C" w:rsidRDefault="00F3458E">
      <w:pPr>
        <w:rPr>
          <w:lang w:eastAsia="zh-CN"/>
        </w:rPr>
      </w:pPr>
      <w:r>
        <w:rPr>
          <w:lang w:eastAsia="ko-KR"/>
        </w:rPr>
        <w:t>During</w:t>
      </w:r>
      <w:r>
        <w:rPr>
          <w:rFonts w:hint="eastAsia"/>
          <w:lang w:eastAsia="ko-KR"/>
        </w:rPr>
        <w:t xml:space="preserve"> Rel-</w:t>
      </w:r>
      <w:r>
        <w:rPr>
          <w:lang w:eastAsia="ko-KR"/>
        </w:rPr>
        <w:t>15/</w:t>
      </w:r>
      <w:r>
        <w:rPr>
          <w:rFonts w:hint="eastAsia"/>
          <w:lang w:eastAsia="ko-KR"/>
        </w:rPr>
        <w:t>16 NR WI</w:t>
      </w:r>
      <w:r>
        <w:rPr>
          <w:rFonts w:hint="eastAsia"/>
          <w:lang w:eastAsia="zh-CN"/>
        </w:rPr>
        <w:t>s</w:t>
      </w:r>
      <w:r>
        <w:rPr>
          <w:lang w:eastAsia="ko-KR"/>
        </w:rPr>
        <w:t xml:space="preserve"> related to the evolution of duplex operation</w:t>
      </w:r>
      <w:r>
        <w:rPr>
          <w:rFonts w:hint="eastAsia"/>
          <w:lang w:eastAsia="ko-KR"/>
        </w:rPr>
        <w:t xml:space="preserve">, </w:t>
      </w:r>
      <w:r>
        <w:rPr>
          <w:lang w:eastAsia="ko-KR"/>
        </w:rPr>
        <w:t xml:space="preserve">enhancement on dynamic TDD </w:t>
      </w:r>
      <w:r>
        <w:t xml:space="preserve">have been studied and numerous solutions of CLI mitigation were proposed, in which most of them were focused on avoiding the transmission of  neighbor cells in the same time slots. However, avoiding the </w:t>
      </w:r>
      <w:r w:rsidRPr="00F65E76">
        <w:t>neighbor</w:t>
      </w:r>
      <w:r>
        <w:t xml:space="preserve"> cells transmission in the same time slots, may reduce the flexibility of dynamic TDD, reduce the UL coverage and increase the transmission latency. </w:t>
      </w:r>
      <w:r>
        <w:rPr>
          <w:lang w:eastAsia="zh-CN"/>
        </w:rPr>
        <w:t xml:space="preserve">In order to implement full duplex operation and use the same time slots resources in the </w:t>
      </w:r>
      <w:r w:rsidRPr="00F65E76">
        <w:rPr>
          <w:lang w:eastAsia="zh-CN"/>
        </w:rPr>
        <w:t>neighbor cell</w:t>
      </w:r>
      <w:r w:rsidRPr="00F65E76">
        <w:rPr>
          <w:rFonts w:hint="eastAsia"/>
          <w:lang w:eastAsia="zh-CN"/>
        </w:rPr>
        <w:t>s</w:t>
      </w:r>
      <w:r w:rsidRPr="00F65E76">
        <w:rPr>
          <w:lang w:eastAsia="zh-CN"/>
        </w:rPr>
        <w:t>, it is necessary to study CLI mitigation solutions with no concession on the flexibility of dynamic TDD. For that reason, this contribution emphasi</w:t>
      </w:r>
      <w:r w:rsidRPr="00F65E76">
        <w:rPr>
          <w:rFonts w:hint="eastAsia"/>
          <w:lang w:eastAsia="zh-CN"/>
        </w:rPr>
        <w:t>zes</w:t>
      </w:r>
      <w:r w:rsidRPr="00F65E76">
        <w:rPr>
          <w:lang w:eastAsia="zh-CN"/>
        </w:rPr>
        <w:t xml:space="preserve"> on CLI management based on the neighbor cells UEs existence in a beneficial cell area (cell centric or cell edge area), in order to utilize the same time slots resources for transmission in the neighbor cells.</w:t>
      </w:r>
      <w:r>
        <w:rPr>
          <w:lang w:eastAsia="zh-CN"/>
        </w:rPr>
        <w:t xml:space="preserve"> </w:t>
      </w:r>
    </w:p>
    <w:p w:rsidR="00FF425C" w:rsidRDefault="00F3458E">
      <w:pPr>
        <w:rPr>
          <w:b/>
          <w:i/>
          <w:lang w:val="fi-FI"/>
        </w:rPr>
      </w:pPr>
      <w:r>
        <w:rPr>
          <w:b/>
          <w:i/>
          <w:lang w:val="fi-FI"/>
        </w:rPr>
        <w:t xml:space="preserve">Observation 1: CLI mitigation by avoiding the transmission of neigbour’s cells in the same time slots, may reduce the flexibity of dynamic TDD, reduce the UL coverage and increase the transmission latency. </w:t>
      </w:r>
    </w:p>
    <w:p w:rsidR="00FF425C" w:rsidRDefault="00F3458E">
      <w:pPr>
        <w:rPr>
          <w:b/>
          <w:lang w:val="fi-FI" w:eastAsia="zh-CN"/>
        </w:rPr>
      </w:pPr>
      <w:r>
        <w:rPr>
          <w:b/>
          <w:lang w:val="fi-FI" w:eastAsia="zh-CN"/>
        </w:rPr>
        <w:t xml:space="preserve">Propsoal 1: To support full duplex operation, prioritize those CLI mitigation solutions which have less or no impact on the flexibility of dynamic TDD.   </w:t>
      </w:r>
    </w:p>
    <w:p w:rsidR="00FF425C" w:rsidRDefault="00F3458E">
      <w:pPr>
        <w:pStyle w:val="Heading2"/>
        <w:rPr>
          <w:lang w:eastAsia="zh-CN"/>
        </w:rPr>
      </w:pPr>
      <w:r>
        <w:rPr>
          <w:lang w:eastAsia="zh-CN"/>
        </w:rPr>
        <w:t xml:space="preserve">Beneficial Cell area </w:t>
      </w:r>
    </w:p>
    <w:p w:rsidR="00FF425C" w:rsidRDefault="00F3458E">
      <w:pPr>
        <w:rPr>
          <w:lang w:val="fi-FI"/>
        </w:rPr>
      </w:pPr>
      <w:r>
        <w:rPr>
          <w:lang w:eastAsia="zh-CN"/>
        </w:rPr>
        <w:t xml:space="preserve">Beneficial cell area </w:t>
      </w:r>
      <w:r>
        <w:rPr>
          <w:lang w:val="fi-FI"/>
        </w:rPr>
        <w:t xml:space="preserve">can be a specific cell area of a neigbour cell for a given cell where the transmission of the two cells in the same direction </w:t>
      </w:r>
      <w:r>
        <w:rPr>
          <w:rFonts w:hint="eastAsia"/>
          <w:lang w:eastAsia="zh-CN"/>
        </w:rPr>
        <w:t>(</w:t>
      </w:r>
      <w:r>
        <w:rPr>
          <w:lang w:val="fi-FI"/>
        </w:rPr>
        <w:t>i.e</w:t>
      </w:r>
      <w:r>
        <w:rPr>
          <w:rFonts w:hint="eastAsia"/>
          <w:lang w:eastAsia="zh-CN"/>
        </w:rPr>
        <w:t>.</w:t>
      </w:r>
      <w:r>
        <w:rPr>
          <w:lang w:val="fi-FI"/>
        </w:rPr>
        <w:t xml:space="preserve"> DL-DL or UL-UL</w:t>
      </w:r>
      <w:r>
        <w:rPr>
          <w:rFonts w:hint="eastAsia"/>
          <w:lang w:eastAsia="zh-CN"/>
        </w:rPr>
        <w:t>)</w:t>
      </w:r>
      <w:r>
        <w:rPr>
          <w:lang w:val="fi-FI"/>
        </w:rPr>
        <w:t xml:space="preserve"> or transmission of the two cells in the opposite direction (i.e. UL-DL or DL-UL) may create </w:t>
      </w:r>
      <w:r>
        <w:t xml:space="preserve">negligible </w:t>
      </w:r>
      <w:r>
        <w:rPr>
          <w:lang w:val="fi-FI"/>
        </w:rPr>
        <w:t xml:space="preserve">or insignificant CLI in the two cells. </w:t>
      </w:r>
      <w:r>
        <w:rPr>
          <w:lang w:eastAsia="zh-CN"/>
        </w:rPr>
        <w:t>Beneficial</w:t>
      </w:r>
      <w:r>
        <w:rPr>
          <w:lang w:val="fi-FI"/>
        </w:rPr>
        <w:t xml:space="preserve"> cell area can be a cell centric or cell edge area and it can be found by using the CLI comparison</w:t>
      </w:r>
      <w:r>
        <w:rPr>
          <w:rFonts w:hint="eastAsia"/>
          <w:lang w:eastAsia="zh-CN"/>
        </w:rPr>
        <w:t>s</w:t>
      </w:r>
      <w:r>
        <w:rPr>
          <w:lang w:val="fi-FI"/>
        </w:rPr>
        <w:t xml:space="preserve"> of a </w:t>
      </w:r>
      <w:r>
        <w:rPr>
          <w:lang w:val="fi-FI"/>
        </w:rPr>
        <w:lastRenderedPageBreak/>
        <w:t>neigh</w:t>
      </w:r>
      <w:r w:rsidR="00BB53EE">
        <w:rPr>
          <w:lang w:val="fi-FI"/>
        </w:rPr>
        <w:t>bo</w:t>
      </w:r>
      <w:r>
        <w:rPr>
          <w:lang w:val="fi-FI"/>
        </w:rPr>
        <w:t xml:space="preserve">r cell, which </w:t>
      </w:r>
      <w:r>
        <w:t>is</w:t>
      </w:r>
      <w:r>
        <w:rPr>
          <w:lang w:val="fi-FI"/>
        </w:rPr>
        <w:t xml:space="preserve"> created due to tran</w:t>
      </w:r>
      <w:r>
        <w:rPr>
          <w:rFonts w:hint="eastAsia"/>
          <w:lang w:eastAsia="zh-CN"/>
        </w:rPr>
        <w:t>s</w:t>
      </w:r>
      <w:r>
        <w:rPr>
          <w:lang w:val="fi-FI"/>
        </w:rPr>
        <w:t>mission in the same or opposite direction. For instance,</w:t>
      </w:r>
      <w:r>
        <w:t xml:space="preserve"> let’s assume a given cell (cell 1) operating in DL in a certain time slot and its neighbor cell (cell 2) operating in DL or UL as shown in Figure 1. Cell 2 may create BS_2 to UE_1 CLI and UE_2 to UE_1 CLI when operating in same direction i.e. DL and opposite direction i.e. UL respectively. </w:t>
      </w:r>
    </w:p>
    <w:bookmarkStart w:id="4" w:name="_MON_1712648299"/>
    <w:bookmarkEnd w:id="4"/>
    <w:p w:rsidR="00FF425C" w:rsidRDefault="00F3458E">
      <w:pPr>
        <w:keepNext/>
        <w:jc w:val="center"/>
      </w:pPr>
      <w:r>
        <w:object w:dxaOrig="5548" w:dyaOrig="3295" w14:anchorId="315FF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5pt;height:165pt" o:ole="">
            <v:imagedata r:id="rId9" o:title=""/>
          </v:shape>
          <o:OLEObject Type="Embed" ProgID="Visio.Drawing.15" ShapeID="_x0000_i1025" DrawAspect="Content" ObjectID="_1712736678" r:id="rId10"/>
        </w:object>
      </w:r>
    </w:p>
    <w:p w:rsidR="00FF425C" w:rsidRDefault="00F3458E">
      <w:pPr>
        <w:pStyle w:val="Caption"/>
      </w:pPr>
      <w:r>
        <w:t>Figure 1 Cell 2 CLI Comparison for DL Cell 1</w:t>
      </w:r>
    </w:p>
    <w:p w:rsidR="00FF425C" w:rsidRDefault="00F3458E">
      <w:r>
        <w:t>In order to find which cell area (either cell centric or cell edge)  of cell 2 is beneficial for cell</w:t>
      </w:r>
      <w:r>
        <w:rPr>
          <w:rFonts w:hint="eastAsia"/>
          <w:lang w:eastAsia="zh-CN"/>
        </w:rPr>
        <w:t xml:space="preserve"> </w:t>
      </w:r>
      <w:r>
        <w:t>1 to implement transmission in DL or UL direction, cell 1 can sense CLI by using Reference signals and examine the following two condition</w:t>
      </w:r>
      <w:r>
        <w:rPr>
          <w:rFonts w:hint="eastAsia"/>
          <w:lang w:eastAsia="zh-CN"/>
        </w:rPr>
        <w:t>s</w:t>
      </w:r>
      <w:r>
        <w:t xml:space="preserve">. </w:t>
      </w:r>
    </w:p>
    <w:p w:rsidR="00FF425C" w:rsidRDefault="00F3458E">
      <w:r>
        <w:t xml:space="preserve">Condition 1: </w:t>
      </w:r>
    </w:p>
    <w:p w:rsidR="00FF425C" w:rsidRDefault="00F3458E">
      <w:r>
        <w:t>When UE_2 to UE_1 CLI</w:t>
      </w:r>
      <w:r>
        <w:rPr>
          <w:b/>
        </w:rPr>
        <w:t xml:space="preserve"> &gt;</w:t>
      </w:r>
      <w:r>
        <w:t xml:space="preserve"> BS_2 to UE_1 CLI, UE_2 may be located in the cell edge area of cell 2, and cell edge area of cell 2 can be consider as beneficial cell area for the cell 1 to implement transmission of cell 2 in the same direction of cell 1</w:t>
      </w:r>
      <w:r>
        <w:rPr>
          <w:rFonts w:hint="eastAsia"/>
          <w:lang w:eastAsia="zh-CN"/>
        </w:rPr>
        <w:t>,</w:t>
      </w:r>
      <w:r>
        <w:t xml:space="preserve"> i.e. DL transmission in this case as shown in Figure 2. </w:t>
      </w:r>
    </w:p>
    <w:p w:rsidR="00FF425C" w:rsidRDefault="00FF425C"/>
    <w:p w:rsidR="00FF425C" w:rsidRDefault="00FF425C"/>
    <w:p w:rsidR="00FF425C" w:rsidRDefault="00A571CC">
      <w:pPr>
        <w:keepNext/>
        <w:jc w:val="left"/>
      </w:pPr>
      <w:r>
        <w:object w:dxaOrig="1440" w:dyaOrig="1440" w14:anchorId="0CA9AD3C">
          <v:shape id="_x0000_s1029" type="#_x0000_t75" style="position:absolute;margin-left:93.5pt;margin-top:12.1pt;width:279pt;height:160.15pt;z-index:251660288;mso-wrap-distance-left:9pt;mso-wrap-distance-top:0;mso-wrap-distance-right:9pt;mso-wrap-distance-bottom:0;mso-width-relative:page;mso-height-relative:page">
            <v:imagedata r:id="rId11" o:title=""/>
            <w10:wrap type="square" side="right"/>
          </v:shape>
          <o:OLEObject Type="Embed" ProgID="Visio.Drawing.15" ShapeID="_x0000_s1029" DrawAspect="Content" ObjectID="_1712736680" r:id="rId12"/>
        </w:object>
      </w:r>
    </w:p>
    <w:p w:rsidR="00FF425C" w:rsidRDefault="00F3458E">
      <w:pPr>
        <w:keepNext/>
        <w:jc w:val="left"/>
      </w:pPr>
      <w:r>
        <w:br w:type="textWrapping" w:clear="all"/>
      </w:r>
    </w:p>
    <w:p w:rsidR="00FF425C" w:rsidRDefault="00F3458E">
      <w:pPr>
        <w:pStyle w:val="Caption"/>
      </w:pPr>
      <w:r>
        <w:t>Figure 2 Beneficial cell edge area of DL cell 2 for DL Cell 1</w:t>
      </w:r>
    </w:p>
    <w:p w:rsidR="00FF425C" w:rsidRDefault="00FF425C"/>
    <w:p w:rsidR="00FF425C" w:rsidRDefault="00FF425C"/>
    <w:p w:rsidR="00FF425C" w:rsidRDefault="00F3458E">
      <w:r>
        <w:t xml:space="preserve">Condition 2: </w:t>
      </w:r>
    </w:p>
    <w:p w:rsidR="00FF425C" w:rsidRDefault="00F3458E">
      <w:r>
        <w:t>Similarly when BS_2 to UE_1 CLI &gt; UE_2 to UE_1 CLI, UE_2 may be located in the cell centric area of the cell 2, and cell centric area of cell 2 can be consider as beneficial cell area for cell 1 to implement transmission of cell 2 in the opposite direction of cell 1</w:t>
      </w:r>
      <w:r>
        <w:rPr>
          <w:rFonts w:hint="eastAsia"/>
          <w:lang w:eastAsia="zh-CN"/>
        </w:rPr>
        <w:t>,</w:t>
      </w:r>
      <w:r>
        <w:t xml:space="preserve"> i.e. the UL direction in this case as shown in the Figure 3. </w:t>
      </w:r>
    </w:p>
    <w:p w:rsidR="00FF425C" w:rsidRDefault="00F3458E">
      <w:pPr>
        <w:keepNext/>
        <w:jc w:val="center"/>
      </w:pPr>
      <w:r>
        <w:object w:dxaOrig="4980" w:dyaOrig="2900" w14:anchorId="352F52CE">
          <v:shape id="_x0000_i1027" type="#_x0000_t75" style="width:249pt;height:145pt" o:ole="">
            <v:imagedata r:id="rId13" o:title=""/>
          </v:shape>
          <o:OLEObject Type="Embed" ProgID="Visio.Drawing.15" ShapeID="_x0000_i1027" DrawAspect="Content" ObjectID="_1712736679" r:id="rId14"/>
        </w:object>
      </w:r>
    </w:p>
    <w:p w:rsidR="00FF425C" w:rsidRDefault="00F3458E">
      <w:pPr>
        <w:pStyle w:val="Caption"/>
      </w:pPr>
      <w:r>
        <w:t>Figure 3 Beneficial cell centric area of UL cell 2 for DL Cell 1</w:t>
      </w:r>
    </w:p>
    <w:p w:rsidR="00FF425C" w:rsidRDefault="00F3458E">
      <w:r>
        <w:t>In the same way, Cell 2 may use CLI comparison</w:t>
      </w:r>
      <w:r>
        <w:rPr>
          <w:rFonts w:hint="eastAsia"/>
          <w:lang w:eastAsia="zh-CN"/>
        </w:rPr>
        <w:t>s</w:t>
      </w:r>
      <w:r>
        <w:t>, which is created by cell 1 to find the beneficial cell area of cell 1 for cell 2, where cell 1 can implement transmission in the DL or UL direction. Based on CLI comparison</w:t>
      </w:r>
      <w:r>
        <w:rPr>
          <w:rFonts w:hint="eastAsia"/>
          <w:lang w:eastAsia="zh-CN"/>
        </w:rPr>
        <w:t>s</w:t>
      </w:r>
      <w:r>
        <w:t xml:space="preserve"> of </w:t>
      </w:r>
      <w:r w:rsidRPr="00F65E76">
        <w:t>neighbor</w:t>
      </w:r>
      <w:r>
        <w:t xml:space="preserve"> cells we can make the following observations. </w:t>
      </w:r>
    </w:p>
    <w:p w:rsidR="00FF425C" w:rsidRDefault="00F3458E">
      <w:pPr>
        <w:rPr>
          <w:i/>
        </w:rPr>
      </w:pPr>
      <w:r>
        <w:rPr>
          <w:b/>
          <w:i/>
        </w:rPr>
        <w:t xml:space="preserve">Observation 2: Cell centric area of a neighbor cell may be consider as a beneficial cell area for a given cell in the following two cases </w:t>
      </w:r>
    </w:p>
    <w:p w:rsidR="00FF425C" w:rsidRDefault="00F3458E">
      <w:pPr>
        <w:pStyle w:val="ListParagraph"/>
        <w:numPr>
          <w:ilvl w:val="0"/>
          <w:numId w:val="6"/>
        </w:numPr>
        <w:spacing w:line="276" w:lineRule="auto"/>
        <w:contextualSpacing/>
        <w:rPr>
          <w:rFonts w:ascii="Times New Roman" w:hAnsi="Times New Roman"/>
          <w:b/>
          <w:i/>
          <w:sz w:val="22"/>
          <w:szCs w:val="22"/>
        </w:rPr>
      </w:pPr>
      <w:r>
        <w:rPr>
          <w:rFonts w:ascii="Times New Roman" w:hAnsi="Times New Roman"/>
          <w:b/>
          <w:i/>
          <w:sz w:val="22"/>
          <w:szCs w:val="22"/>
        </w:rPr>
        <w:t>When a given cell is operating in the DL and its neighbor cell is operating in the UL</w:t>
      </w:r>
      <w:r>
        <w:rPr>
          <w:rFonts w:ascii="Times New Roman" w:hAnsi="Times New Roman" w:hint="eastAsia"/>
          <w:b/>
          <w:i/>
          <w:sz w:val="22"/>
          <w:szCs w:val="22"/>
          <w:lang w:eastAsia="zh-CN"/>
        </w:rPr>
        <w:t>,</w:t>
      </w:r>
      <w:r>
        <w:rPr>
          <w:rFonts w:ascii="Times New Roman" w:hAnsi="Times New Roman"/>
          <w:b/>
          <w:i/>
          <w:sz w:val="22"/>
          <w:szCs w:val="22"/>
        </w:rPr>
        <w:t xml:space="preserve"> i.e. opposite transmission direction</w:t>
      </w:r>
    </w:p>
    <w:p w:rsidR="00FF425C" w:rsidRDefault="00F3458E">
      <w:pPr>
        <w:pStyle w:val="ListParagraph"/>
        <w:numPr>
          <w:ilvl w:val="0"/>
          <w:numId w:val="6"/>
        </w:numPr>
        <w:spacing w:line="276" w:lineRule="auto"/>
        <w:contextualSpacing/>
        <w:rPr>
          <w:rFonts w:ascii="Times New Roman" w:hAnsi="Times New Roman"/>
          <w:b/>
          <w:i/>
          <w:sz w:val="22"/>
          <w:szCs w:val="22"/>
        </w:rPr>
      </w:pPr>
      <w:r>
        <w:rPr>
          <w:rFonts w:ascii="Times New Roman" w:hAnsi="Times New Roman"/>
          <w:b/>
          <w:i/>
          <w:sz w:val="22"/>
          <w:szCs w:val="22"/>
        </w:rPr>
        <w:t xml:space="preserve">When a given cell is operating in the UL and its neighbor cell is also operating in </w:t>
      </w:r>
      <w:r>
        <w:rPr>
          <w:rFonts w:ascii="Times New Roman" w:hAnsi="Times New Roman" w:hint="eastAsia"/>
          <w:b/>
          <w:i/>
          <w:sz w:val="22"/>
          <w:szCs w:val="22"/>
          <w:lang w:eastAsia="zh-CN"/>
        </w:rPr>
        <w:t xml:space="preserve">the </w:t>
      </w:r>
      <w:r>
        <w:rPr>
          <w:rFonts w:ascii="Times New Roman" w:hAnsi="Times New Roman"/>
          <w:b/>
          <w:i/>
          <w:sz w:val="22"/>
          <w:szCs w:val="22"/>
        </w:rPr>
        <w:t>UL</w:t>
      </w:r>
      <w:r>
        <w:rPr>
          <w:rFonts w:ascii="Times New Roman" w:hAnsi="Times New Roman" w:hint="eastAsia"/>
          <w:b/>
          <w:i/>
          <w:sz w:val="22"/>
          <w:szCs w:val="22"/>
          <w:lang w:eastAsia="zh-CN"/>
        </w:rPr>
        <w:t>,</w:t>
      </w:r>
      <w:r>
        <w:rPr>
          <w:rFonts w:ascii="Times New Roman" w:hAnsi="Times New Roman"/>
          <w:b/>
          <w:i/>
          <w:sz w:val="22"/>
          <w:szCs w:val="22"/>
        </w:rPr>
        <w:t xml:space="preserve"> i.e. in the same direction</w:t>
      </w:r>
    </w:p>
    <w:p w:rsidR="00FF425C" w:rsidRDefault="00F3458E">
      <w:pPr>
        <w:spacing w:line="276" w:lineRule="auto"/>
        <w:contextualSpacing/>
        <w:rPr>
          <w:b/>
          <w:i/>
        </w:rPr>
      </w:pPr>
      <w:r>
        <w:rPr>
          <w:b/>
          <w:i/>
        </w:rPr>
        <w:t xml:space="preserve">Observation 3: Cell edge area of a neighbor cell may be consider as a beneficial cell area for a given cell in the following two cases </w:t>
      </w:r>
    </w:p>
    <w:p w:rsidR="00FF425C" w:rsidRDefault="00F3458E">
      <w:pPr>
        <w:pStyle w:val="ListParagraph"/>
        <w:numPr>
          <w:ilvl w:val="0"/>
          <w:numId w:val="7"/>
        </w:numPr>
        <w:spacing w:line="276" w:lineRule="auto"/>
        <w:contextualSpacing/>
        <w:rPr>
          <w:rFonts w:ascii="Times New Roman" w:hAnsi="Times New Roman"/>
          <w:b/>
          <w:i/>
          <w:sz w:val="22"/>
          <w:szCs w:val="22"/>
        </w:rPr>
      </w:pPr>
      <w:r>
        <w:rPr>
          <w:rFonts w:ascii="Times New Roman" w:hAnsi="Times New Roman"/>
          <w:b/>
          <w:i/>
          <w:sz w:val="22"/>
          <w:szCs w:val="22"/>
        </w:rPr>
        <w:t>When a given cell is operating in the DL and its neighbor cell is also operating in the DL</w:t>
      </w:r>
      <w:r>
        <w:rPr>
          <w:rFonts w:ascii="Times New Roman" w:hAnsi="Times New Roman" w:hint="eastAsia"/>
          <w:b/>
          <w:i/>
          <w:sz w:val="22"/>
          <w:szCs w:val="22"/>
          <w:lang w:eastAsia="zh-CN"/>
        </w:rPr>
        <w:t>,</w:t>
      </w:r>
      <w:r>
        <w:rPr>
          <w:rFonts w:ascii="Times New Roman" w:hAnsi="Times New Roman"/>
          <w:b/>
          <w:i/>
          <w:sz w:val="22"/>
          <w:szCs w:val="22"/>
        </w:rPr>
        <w:t xml:space="preserve"> i.e. same direction</w:t>
      </w:r>
    </w:p>
    <w:p w:rsidR="00FF425C" w:rsidRDefault="00F3458E">
      <w:pPr>
        <w:pStyle w:val="ListParagraph"/>
        <w:numPr>
          <w:ilvl w:val="0"/>
          <w:numId w:val="7"/>
        </w:numPr>
        <w:spacing w:line="276" w:lineRule="auto"/>
        <w:contextualSpacing/>
        <w:rPr>
          <w:rFonts w:ascii="Times New Roman" w:hAnsi="Times New Roman"/>
          <w:b/>
          <w:i/>
          <w:sz w:val="22"/>
          <w:szCs w:val="22"/>
        </w:rPr>
      </w:pPr>
      <w:r>
        <w:rPr>
          <w:rFonts w:ascii="Times New Roman" w:hAnsi="Times New Roman"/>
          <w:b/>
          <w:i/>
          <w:sz w:val="22"/>
          <w:szCs w:val="22"/>
        </w:rPr>
        <w:t xml:space="preserve">When a given cell is operating in </w:t>
      </w:r>
      <w:r>
        <w:rPr>
          <w:rFonts w:ascii="Times New Roman" w:hAnsi="Times New Roman" w:hint="eastAsia"/>
          <w:b/>
          <w:i/>
          <w:sz w:val="22"/>
          <w:szCs w:val="22"/>
          <w:lang w:eastAsia="zh-CN"/>
        </w:rPr>
        <w:t xml:space="preserve">the </w:t>
      </w:r>
      <w:r>
        <w:rPr>
          <w:rFonts w:ascii="Times New Roman" w:hAnsi="Times New Roman"/>
          <w:b/>
          <w:i/>
          <w:sz w:val="22"/>
          <w:szCs w:val="22"/>
        </w:rPr>
        <w:t>UL and its neighbor cell is operating in the DL</w:t>
      </w:r>
      <w:r>
        <w:rPr>
          <w:rFonts w:ascii="Times New Roman" w:hAnsi="Times New Roman" w:hint="eastAsia"/>
          <w:b/>
          <w:i/>
          <w:sz w:val="22"/>
          <w:szCs w:val="22"/>
          <w:lang w:eastAsia="zh-CN"/>
        </w:rPr>
        <w:t>,</w:t>
      </w:r>
      <w:r>
        <w:rPr>
          <w:rFonts w:ascii="Times New Roman" w:hAnsi="Times New Roman"/>
          <w:b/>
          <w:i/>
          <w:sz w:val="22"/>
          <w:szCs w:val="22"/>
        </w:rPr>
        <w:t xml:space="preserve"> i.e. opposite direction </w:t>
      </w:r>
    </w:p>
    <w:p w:rsidR="00FF425C" w:rsidRDefault="00FF425C">
      <w:pPr>
        <w:pStyle w:val="ListParagraph"/>
        <w:spacing w:line="276" w:lineRule="auto"/>
        <w:ind w:left="720" w:firstLine="0"/>
        <w:contextualSpacing/>
        <w:rPr>
          <w:rFonts w:ascii="Times New Roman" w:hAnsi="Times New Roman"/>
          <w:b/>
        </w:rPr>
      </w:pPr>
    </w:p>
    <w:p w:rsidR="00FF425C" w:rsidRDefault="00F3458E">
      <w:pPr>
        <w:rPr>
          <w:b/>
        </w:rPr>
      </w:pPr>
      <w:r>
        <w:rPr>
          <w:b/>
        </w:rPr>
        <w:t xml:space="preserve">Proposal 2: A specific cell area of a neighbor cell, where the UE existence may create negligible or insignificant CLI in a given cell can be consider as a beneficial cell area. </w:t>
      </w:r>
    </w:p>
    <w:p w:rsidR="00FF425C" w:rsidRDefault="00F3458E">
      <w:pPr>
        <w:pStyle w:val="Heading2"/>
      </w:pPr>
      <w:r>
        <w:t xml:space="preserve">Beneficial cell area based CLI Management </w:t>
      </w:r>
    </w:p>
    <w:p w:rsidR="00FF425C" w:rsidRDefault="00F3458E">
      <w:pPr>
        <w:spacing w:line="276" w:lineRule="auto"/>
        <w:contextualSpacing/>
      </w:pPr>
      <w:r>
        <w:t xml:space="preserve">Based on the UE existence and non-existence in the beneficial cell areas of the given cells, CLI management can be implemented as explained in the following cases. </w:t>
      </w:r>
    </w:p>
    <w:p w:rsidR="00FF425C" w:rsidRDefault="00F3458E">
      <w:pPr>
        <w:spacing w:after="200" w:line="276" w:lineRule="auto"/>
        <w:contextualSpacing/>
        <w:rPr>
          <w:rFonts w:eastAsia="Times New Roman"/>
          <w:lang w:eastAsia="zh-CN"/>
        </w:rPr>
      </w:pPr>
      <w:r>
        <w:rPr>
          <w:rFonts w:eastAsia="Times New Roman"/>
          <w:b/>
          <w:lang w:eastAsia="zh-CN"/>
        </w:rPr>
        <w:t>Case 1:</w:t>
      </w:r>
      <w:r>
        <w:rPr>
          <w:rFonts w:eastAsia="Times New Roman"/>
          <w:lang w:eastAsia="zh-CN"/>
        </w:rPr>
        <w:t xml:space="preserve"> </w:t>
      </w:r>
    </w:p>
    <w:p w:rsidR="00FF425C" w:rsidRDefault="00F3458E">
      <w:pPr>
        <w:spacing w:after="200" w:line="276" w:lineRule="auto"/>
        <w:contextualSpacing/>
        <w:rPr>
          <w:rFonts w:eastAsia="Times New Roman"/>
          <w:lang w:eastAsia="zh-CN"/>
        </w:rPr>
      </w:pPr>
      <w:r w:rsidRPr="00F65E76">
        <w:rPr>
          <w:rFonts w:eastAsia="Times New Roman"/>
          <w:lang w:eastAsia="zh-CN"/>
        </w:rPr>
        <w:t xml:space="preserve">When </w:t>
      </w:r>
      <w:r w:rsidR="00BB53EE" w:rsidRPr="00F65E76">
        <w:rPr>
          <w:rFonts w:eastAsia="Times New Roman"/>
          <w:lang w:eastAsia="zh-CN"/>
        </w:rPr>
        <w:t>UEs in all the neighbor TDD cell</w:t>
      </w:r>
      <w:r w:rsidR="00F65E76" w:rsidRPr="00F65E76">
        <w:rPr>
          <w:rFonts w:eastAsia="Times New Roman"/>
          <w:lang w:eastAsia="zh-CN"/>
        </w:rPr>
        <w:t>s</w:t>
      </w:r>
      <w:r w:rsidRPr="00F65E76">
        <w:rPr>
          <w:rFonts w:eastAsia="Times New Roman"/>
          <w:lang w:eastAsia="zh-CN"/>
        </w:rPr>
        <w:t xml:space="preserve"> existed in the beneficial cell areas, the effect of CLI among the neighbor cells may be negligible, thus all </w:t>
      </w:r>
      <w:r w:rsidR="00BB53EE" w:rsidRPr="00F65E76">
        <w:rPr>
          <w:rFonts w:eastAsia="Times New Roman"/>
          <w:lang w:eastAsia="zh-CN"/>
        </w:rPr>
        <w:t xml:space="preserve">UEs in </w:t>
      </w:r>
      <w:r w:rsidRPr="00F65E76">
        <w:rPr>
          <w:rFonts w:eastAsia="Times New Roman"/>
          <w:lang w:eastAsia="zh-CN"/>
        </w:rPr>
        <w:t xml:space="preserve">the </w:t>
      </w:r>
      <w:r w:rsidR="00BB53EE" w:rsidRPr="00F65E76">
        <w:rPr>
          <w:rFonts w:eastAsia="Times New Roman"/>
          <w:lang w:eastAsia="zh-CN"/>
        </w:rPr>
        <w:t xml:space="preserve">neighbor </w:t>
      </w:r>
      <w:r w:rsidRPr="00F65E76">
        <w:rPr>
          <w:rFonts w:eastAsia="Times New Roman"/>
          <w:lang w:eastAsia="zh-CN"/>
        </w:rPr>
        <w:t>TDD cell</w:t>
      </w:r>
      <w:r w:rsidR="00BB53EE" w:rsidRPr="00F65E76">
        <w:rPr>
          <w:rFonts w:eastAsia="Times New Roman"/>
          <w:lang w:eastAsia="zh-CN"/>
        </w:rPr>
        <w:t>s</w:t>
      </w:r>
      <w:r w:rsidR="00F65E76" w:rsidRPr="00F65E76">
        <w:rPr>
          <w:rFonts w:eastAsia="Times New Roman"/>
          <w:lang w:eastAsia="zh-CN"/>
        </w:rPr>
        <w:t xml:space="preserve"> </w:t>
      </w:r>
      <w:r w:rsidRPr="00F65E76">
        <w:rPr>
          <w:rFonts w:eastAsia="Times New Roman"/>
          <w:lang w:eastAsia="zh-CN"/>
        </w:rPr>
        <w:t>may operate in conventional TDD band according to the traffic adaptation</w:t>
      </w:r>
      <w:r w:rsidRPr="00F65E76">
        <w:rPr>
          <w:rFonts w:eastAsia="Times New Roman" w:hint="eastAsia"/>
          <w:lang w:eastAsia="zh-CN"/>
        </w:rPr>
        <w:t>,</w:t>
      </w:r>
      <w:r w:rsidRPr="00F65E76">
        <w:rPr>
          <w:rFonts w:eastAsia="Times New Roman"/>
          <w:lang w:eastAsia="zh-CN"/>
        </w:rPr>
        <w:t xml:space="preserve"> i.e. according to the UL or DL transmission direction.</w:t>
      </w:r>
      <w:r>
        <w:rPr>
          <w:rFonts w:eastAsia="Times New Roman"/>
          <w:lang w:eastAsia="zh-CN"/>
        </w:rPr>
        <w:t xml:space="preserve"> </w:t>
      </w:r>
    </w:p>
    <w:p w:rsidR="00FF425C" w:rsidRDefault="00F3458E">
      <w:pPr>
        <w:spacing w:after="200" w:line="276" w:lineRule="auto"/>
        <w:contextualSpacing/>
        <w:rPr>
          <w:rFonts w:eastAsia="Times New Roman"/>
          <w:lang w:eastAsia="zh-CN"/>
        </w:rPr>
      </w:pPr>
      <w:r>
        <w:rPr>
          <w:rFonts w:eastAsia="Times New Roman"/>
          <w:b/>
          <w:lang w:eastAsia="zh-CN"/>
        </w:rPr>
        <w:t>Case 2:</w:t>
      </w:r>
      <w:r>
        <w:rPr>
          <w:rFonts w:eastAsia="Times New Roman"/>
          <w:lang w:eastAsia="zh-CN"/>
        </w:rPr>
        <w:t xml:space="preserve"> </w:t>
      </w:r>
    </w:p>
    <w:p w:rsidR="00FF425C" w:rsidRDefault="00F3458E">
      <w:pPr>
        <w:spacing w:after="200" w:line="276" w:lineRule="auto"/>
        <w:contextualSpacing/>
        <w:rPr>
          <w:rFonts w:eastAsia="Times New Roman"/>
          <w:lang w:eastAsia="zh-CN"/>
        </w:rPr>
      </w:pPr>
      <w:r w:rsidRPr="005D6548">
        <w:rPr>
          <w:rFonts w:eastAsia="Times New Roman"/>
          <w:lang w:eastAsia="zh-CN"/>
        </w:rPr>
        <w:t>When</w:t>
      </w:r>
      <w:r w:rsidR="00F65E76" w:rsidRPr="005D6548">
        <w:rPr>
          <w:rFonts w:eastAsia="Times New Roman"/>
          <w:lang w:eastAsia="zh-CN"/>
        </w:rPr>
        <w:t xml:space="preserve"> </w:t>
      </w:r>
      <w:r w:rsidR="00BB53EE" w:rsidRPr="005D6548">
        <w:rPr>
          <w:rFonts w:eastAsia="Times New Roman"/>
          <w:lang w:eastAsia="zh-CN"/>
        </w:rPr>
        <w:t xml:space="preserve">UEs </w:t>
      </w:r>
      <w:r w:rsidR="00F65E76" w:rsidRPr="005D6548">
        <w:rPr>
          <w:rFonts w:eastAsia="Times New Roman"/>
          <w:lang w:eastAsia="zh-CN"/>
        </w:rPr>
        <w:t xml:space="preserve">in </w:t>
      </w:r>
      <w:r w:rsidR="003C5488">
        <w:rPr>
          <w:rFonts w:eastAsia="Times New Roman"/>
          <w:lang w:eastAsia="zh-CN"/>
        </w:rPr>
        <w:t xml:space="preserve">a </w:t>
      </w:r>
      <w:r w:rsidR="00BB53EE" w:rsidRPr="005D6548">
        <w:rPr>
          <w:rFonts w:eastAsia="Times New Roman"/>
          <w:lang w:eastAsia="zh-CN"/>
        </w:rPr>
        <w:t xml:space="preserve">TDD </w:t>
      </w:r>
      <w:r w:rsidR="00BB53EE" w:rsidRPr="003C5488">
        <w:rPr>
          <w:rFonts w:eastAsia="Times New Roman"/>
          <w:lang w:eastAsia="zh-CN"/>
        </w:rPr>
        <w:t xml:space="preserve">cell </w:t>
      </w:r>
      <w:r w:rsidRPr="005D6548">
        <w:rPr>
          <w:rFonts w:eastAsia="Times New Roman"/>
          <w:lang w:eastAsia="zh-CN"/>
        </w:rPr>
        <w:t>existed in the beneficial cell area</w:t>
      </w:r>
      <w:r w:rsidR="003C5488">
        <w:rPr>
          <w:rFonts w:eastAsia="Times New Roman"/>
          <w:lang w:eastAsia="zh-CN"/>
        </w:rPr>
        <w:t>s</w:t>
      </w:r>
      <w:r w:rsidRPr="005D6548">
        <w:rPr>
          <w:rFonts w:eastAsia="Times New Roman"/>
          <w:lang w:eastAsia="zh-CN"/>
        </w:rPr>
        <w:t xml:space="preserve"> and </w:t>
      </w:r>
      <w:r w:rsidR="00BB53EE" w:rsidRPr="005D6548">
        <w:rPr>
          <w:rFonts w:eastAsia="Times New Roman"/>
          <w:lang w:eastAsia="zh-CN"/>
        </w:rPr>
        <w:t xml:space="preserve">UEs </w:t>
      </w:r>
      <w:r w:rsidR="000E11F2">
        <w:rPr>
          <w:rFonts w:eastAsia="Times New Roman"/>
          <w:lang w:eastAsia="zh-CN"/>
        </w:rPr>
        <w:t>of its</w:t>
      </w:r>
      <w:r w:rsidR="00BB53EE" w:rsidRPr="005D6548">
        <w:rPr>
          <w:rFonts w:eastAsia="Times New Roman"/>
          <w:lang w:eastAsia="zh-CN"/>
        </w:rPr>
        <w:t xml:space="preserve"> </w:t>
      </w:r>
      <w:r w:rsidRPr="005D6548">
        <w:rPr>
          <w:rFonts w:eastAsia="Times New Roman"/>
          <w:lang w:eastAsia="zh-CN"/>
        </w:rPr>
        <w:t>neighbor TDD</w:t>
      </w:r>
      <w:r w:rsidR="005D6548" w:rsidRPr="005D6548">
        <w:rPr>
          <w:rFonts w:eastAsia="Times New Roman"/>
          <w:lang w:eastAsia="zh-CN"/>
        </w:rPr>
        <w:t xml:space="preserve"> cell</w:t>
      </w:r>
      <w:r w:rsidRPr="005D6548">
        <w:rPr>
          <w:rFonts w:eastAsia="Times New Roman"/>
          <w:lang w:eastAsia="zh-CN"/>
        </w:rPr>
        <w:t xml:space="preserve"> are not existed in the beneficial cell area, the </w:t>
      </w:r>
      <w:r w:rsidR="00BB53EE" w:rsidRPr="005D6548">
        <w:rPr>
          <w:rFonts w:eastAsia="Times New Roman"/>
          <w:lang w:eastAsia="zh-CN"/>
        </w:rPr>
        <w:t xml:space="preserve">UEs </w:t>
      </w:r>
      <w:r w:rsidRPr="005D6548">
        <w:rPr>
          <w:rFonts w:eastAsia="Times New Roman"/>
          <w:lang w:eastAsia="zh-CN"/>
        </w:rPr>
        <w:t xml:space="preserve">of </w:t>
      </w:r>
      <w:r w:rsidR="000E11F2">
        <w:rPr>
          <w:rFonts w:eastAsia="Times New Roman"/>
          <w:lang w:eastAsia="zh-CN"/>
        </w:rPr>
        <w:t xml:space="preserve">neighbor TDD cell, which are not existed in the </w:t>
      </w:r>
      <w:r w:rsidR="003C5488">
        <w:rPr>
          <w:rFonts w:eastAsia="Times New Roman"/>
          <w:lang w:eastAsia="zh-CN"/>
        </w:rPr>
        <w:t>beneficial cell area</w:t>
      </w:r>
      <w:r w:rsidR="000E11F2">
        <w:rPr>
          <w:rFonts w:eastAsia="Times New Roman"/>
          <w:lang w:eastAsia="zh-CN"/>
        </w:rPr>
        <w:t>,</w:t>
      </w:r>
      <w:r w:rsidR="003C5488">
        <w:rPr>
          <w:rFonts w:eastAsia="Times New Roman"/>
          <w:lang w:eastAsia="zh-CN"/>
        </w:rPr>
        <w:t xml:space="preserve"> </w:t>
      </w:r>
      <w:r w:rsidRPr="005D6548">
        <w:rPr>
          <w:rFonts w:eastAsia="Times New Roman"/>
          <w:lang w:eastAsia="zh-CN"/>
        </w:rPr>
        <w:t>may use TDD non-overlapping sub-bands to avoid CLI in its neighbor cells.</w:t>
      </w:r>
      <w:r>
        <w:rPr>
          <w:rFonts w:eastAsia="Times New Roman"/>
          <w:lang w:eastAsia="zh-CN"/>
        </w:rPr>
        <w:t xml:space="preserve">  </w:t>
      </w:r>
    </w:p>
    <w:p w:rsidR="00FF425C" w:rsidRDefault="00F3458E">
      <w:pPr>
        <w:spacing w:after="200" w:line="276" w:lineRule="auto"/>
        <w:contextualSpacing/>
        <w:rPr>
          <w:rFonts w:eastAsia="Times New Roman"/>
          <w:lang w:eastAsia="zh-CN"/>
        </w:rPr>
      </w:pPr>
      <w:r>
        <w:rPr>
          <w:rFonts w:eastAsia="Times New Roman"/>
          <w:b/>
          <w:lang w:eastAsia="zh-CN"/>
        </w:rPr>
        <w:t>Case 3:</w:t>
      </w:r>
      <w:r>
        <w:rPr>
          <w:rFonts w:eastAsia="Times New Roman"/>
          <w:lang w:eastAsia="zh-CN"/>
        </w:rPr>
        <w:t xml:space="preserve"> </w:t>
      </w:r>
    </w:p>
    <w:p w:rsidR="00FF425C" w:rsidRDefault="00F3458E">
      <w:pPr>
        <w:spacing w:after="200" w:line="276" w:lineRule="auto"/>
        <w:contextualSpacing/>
        <w:rPr>
          <w:lang w:val="fi-FI"/>
        </w:rPr>
      </w:pPr>
      <w:r w:rsidRPr="000E11F2">
        <w:rPr>
          <w:rFonts w:eastAsia="Times New Roman"/>
          <w:lang w:eastAsia="zh-CN"/>
        </w:rPr>
        <w:t xml:space="preserve">When </w:t>
      </w:r>
      <w:r w:rsidR="00F65E76" w:rsidRPr="000E11F2">
        <w:rPr>
          <w:rFonts w:eastAsia="Times New Roman"/>
          <w:lang w:eastAsia="zh-CN"/>
        </w:rPr>
        <w:t xml:space="preserve">UEs in all the neighbor TDD cells </w:t>
      </w:r>
      <w:r w:rsidRPr="000E11F2">
        <w:rPr>
          <w:rFonts w:eastAsia="Times New Roman"/>
          <w:lang w:eastAsia="zh-CN"/>
        </w:rPr>
        <w:t xml:space="preserve">are not existed in the beneficial cell areas, it may create sever CLI to each other. In this case, all </w:t>
      </w:r>
      <w:r w:rsidR="003C5488" w:rsidRPr="000E11F2">
        <w:rPr>
          <w:rFonts w:eastAsia="Times New Roman"/>
          <w:lang w:eastAsia="zh-CN"/>
        </w:rPr>
        <w:t xml:space="preserve">the </w:t>
      </w:r>
      <w:r w:rsidR="000E11F2" w:rsidRPr="000E11F2">
        <w:rPr>
          <w:rFonts w:eastAsia="Times New Roman"/>
          <w:lang w:eastAsia="zh-CN"/>
        </w:rPr>
        <w:t>non-existing</w:t>
      </w:r>
      <w:r w:rsidR="003C5488" w:rsidRPr="000E11F2">
        <w:rPr>
          <w:rFonts w:eastAsia="Times New Roman"/>
          <w:lang w:eastAsia="zh-CN"/>
        </w:rPr>
        <w:t xml:space="preserve"> UEs of the </w:t>
      </w:r>
      <w:r w:rsidR="000E11F2" w:rsidRPr="000E11F2">
        <w:rPr>
          <w:rFonts w:eastAsia="Times New Roman"/>
          <w:lang w:eastAsia="zh-CN"/>
        </w:rPr>
        <w:t>neighbor</w:t>
      </w:r>
      <w:r w:rsidR="003C5488" w:rsidRPr="000E11F2">
        <w:rPr>
          <w:rFonts w:eastAsia="Times New Roman"/>
          <w:lang w:eastAsia="zh-CN"/>
        </w:rPr>
        <w:t xml:space="preserve"> TDD cells </w:t>
      </w:r>
      <w:r w:rsidRPr="000E11F2">
        <w:rPr>
          <w:rFonts w:eastAsia="Times New Roman"/>
          <w:lang w:eastAsia="zh-CN"/>
        </w:rPr>
        <w:t>may use TDD non overlapping sub-bands to avoid CLI in its neighbor cells.</w:t>
      </w:r>
    </w:p>
    <w:p w:rsidR="00FF425C" w:rsidRDefault="00F3458E">
      <w:pPr>
        <w:spacing w:line="276" w:lineRule="auto"/>
        <w:contextualSpacing/>
        <w:rPr>
          <w:b/>
          <w:lang w:val="fi-FI"/>
        </w:rPr>
      </w:pPr>
      <w:r>
        <w:rPr>
          <w:b/>
          <w:lang w:val="fi-FI"/>
        </w:rPr>
        <w:t xml:space="preserve">Proposal 3: Study CLI management in dynamic TDD based on the neigbour cells UEs existance in the beneficial cell areas. </w:t>
      </w:r>
    </w:p>
    <w:p w:rsidR="00FF425C" w:rsidRDefault="00FF425C">
      <w:pPr>
        <w:rPr>
          <w:lang w:val="fi-FI" w:eastAsia="zh-CN"/>
        </w:rPr>
      </w:pPr>
    </w:p>
    <w:p w:rsidR="00FF425C" w:rsidRDefault="00F3458E">
      <w:pPr>
        <w:pStyle w:val="Heading1"/>
      </w:pPr>
      <w:r>
        <w:t>Conclusion</w:t>
      </w:r>
    </w:p>
    <w:p w:rsidR="00FF425C" w:rsidRDefault="00F3458E">
      <w:r>
        <w:t>In this contribution we discussed CLI management scheme to enhance the performance of dynamic/ flexible TDD and support full duplex operation, and made the following observations and proposals.</w:t>
      </w:r>
    </w:p>
    <w:p w:rsidR="000E11F2" w:rsidRDefault="000E11F2" w:rsidP="000E11F2">
      <w:pPr>
        <w:spacing w:line="276" w:lineRule="auto"/>
        <w:contextualSpacing/>
        <w:rPr>
          <w:b/>
          <w:i/>
          <w:lang w:val="fi-FI"/>
        </w:rPr>
      </w:pPr>
      <w:r w:rsidRPr="000E11F2">
        <w:rPr>
          <w:b/>
          <w:i/>
          <w:lang w:val="fi-FI"/>
        </w:rPr>
        <w:t>Observation 1: CLI mitigation by avoiding the transmission of neigbour’s cells in the same time slots, may reduce the flexibity of dynamic TDD, reduce the UL coverage and inc</w:t>
      </w:r>
      <w:r>
        <w:rPr>
          <w:b/>
          <w:i/>
          <w:lang w:val="fi-FI"/>
        </w:rPr>
        <w:t>rease the transmission latency.</w:t>
      </w:r>
    </w:p>
    <w:p w:rsidR="000E11F2" w:rsidRDefault="000E11F2" w:rsidP="000E11F2">
      <w:pPr>
        <w:rPr>
          <w:i/>
        </w:rPr>
      </w:pPr>
      <w:r>
        <w:rPr>
          <w:b/>
          <w:i/>
        </w:rPr>
        <w:t xml:space="preserve">Observation 2: Cell centric area of a neighbor cell may be consider as a beneficial cell area for a given cell in the following two cases </w:t>
      </w:r>
    </w:p>
    <w:p w:rsidR="000E11F2" w:rsidRDefault="000E11F2" w:rsidP="000E11F2">
      <w:pPr>
        <w:pStyle w:val="ListParagraph"/>
        <w:numPr>
          <w:ilvl w:val="0"/>
          <w:numId w:val="6"/>
        </w:numPr>
        <w:spacing w:line="276" w:lineRule="auto"/>
        <w:contextualSpacing/>
        <w:rPr>
          <w:rFonts w:ascii="Times New Roman" w:hAnsi="Times New Roman"/>
          <w:b/>
          <w:i/>
          <w:sz w:val="22"/>
          <w:szCs w:val="22"/>
        </w:rPr>
      </w:pPr>
      <w:r>
        <w:rPr>
          <w:rFonts w:ascii="Times New Roman" w:hAnsi="Times New Roman"/>
          <w:b/>
          <w:i/>
          <w:sz w:val="22"/>
          <w:szCs w:val="22"/>
        </w:rPr>
        <w:t>When a given cell is operating in the DL and its neighbor cell is operating in the UL</w:t>
      </w:r>
      <w:r>
        <w:rPr>
          <w:rFonts w:ascii="Times New Roman" w:hAnsi="Times New Roman" w:hint="eastAsia"/>
          <w:b/>
          <w:i/>
          <w:sz w:val="22"/>
          <w:szCs w:val="22"/>
          <w:lang w:eastAsia="zh-CN"/>
        </w:rPr>
        <w:t>,</w:t>
      </w:r>
      <w:r>
        <w:rPr>
          <w:rFonts w:ascii="Times New Roman" w:hAnsi="Times New Roman"/>
          <w:b/>
          <w:i/>
          <w:sz w:val="22"/>
          <w:szCs w:val="22"/>
        </w:rPr>
        <w:t xml:space="preserve"> i.e. opposite transmission direction</w:t>
      </w:r>
    </w:p>
    <w:p w:rsidR="000E11F2" w:rsidRDefault="000E11F2" w:rsidP="000E11F2">
      <w:pPr>
        <w:pStyle w:val="ListParagraph"/>
        <w:numPr>
          <w:ilvl w:val="0"/>
          <w:numId w:val="6"/>
        </w:numPr>
        <w:spacing w:line="276" w:lineRule="auto"/>
        <w:contextualSpacing/>
        <w:rPr>
          <w:rFonts w:ascii="Times New Roman" w:hAnsi="Times New Roman"/>
          <w:b/>
          <w:i/>
          <w:sz w:val="22"/>
          <w:szCs w:val="22"/>
        </w:rPr>
      </w:pPr>
      <w:r>
        <w:rPr>
          <w:rFonts w:ascii="Times New Roman" w:hAnsi="Times New Roman"/>
          <w:b/>
          <w:i/>
          <w:sz w:val="22"/>
          <w:szCs w:val="22"/>
        </w:rPr>
        <w:t xml:space="preserve">When a given cell is operating in the UL and its neighbor cell is also operating in </w:t>
      </w:r>
      <w:r>
        <w:rPr>
          <w:rFonts w:ascii="Times New Roman" w:hAnsi="Times New Roman" w:hint="eastAsia"/>
          <w:b/>
          <w:i/>
          <w:sz w:val="22"/>
          <w:szCs w:val="22"/>
          <w:lang w:eastAsia="zh-CN"/>
        </w:rPr>
        <w:t xml:space="preserve">the </w:t>
      </w:r>
      <w:r>
        <w:rPr>
          <w:rFonts w:ascii="Times New Roman" w:hAnsi="Times New Roman"/>
          <w:b/>
          <w:i/>
          <w:sz w:val="22"/>
          <w:szCs w:val="22"/>
        </w:rPr>
        <w:t>UL</w:t>
      </w:r>
      <w:r>
        <w:rPr>
          <w:rFonts w:ascii="Times New Roman" w:hAnsi="Times New Roman" w:hint="eastAsia"/>
          <w:b/>
          <w:i/>
          <w:sz w:val="22"/>
          <w:szCs w:val="22"/>
          <w:lang w:eastAsia="zh-CN"/>
        </w:rPr>
        <w:t>,</w:t>
      </w:r>
      <w:r>
        <w:rPr>
          <w:rFonts w:ascii="Times New Roman" w:hAnsi="Times New Roman"/>
          <w:b/>
          <w:i/>
          <w:sz w:val="22"/>
          <w:szCs w:val="22"/>
        </w:rPr>
        <w:t xml:space="preserve"> i.e. in the same direction</w:t>
      </w:r>
    </w:p>
    <w:p w:rsidR="000E11F2" w:rsidRDefault="000E11F2" w:rsidP="000E11F2">
      <w:pPr>
        <w:spacing w:line="276" w:lineRule="auto"/>
        <w:contextualSpacing/>
        <w:rPr>
          <w:b/>
          <w:i/>
        </w:rPr>
      </w:pPr>
      <w:r>
        <w:rPr>
          <w:b/>
          <w:i/>
        </w:rPr>
        <w:t xml:space="preserve">Observation 3: Cell edge area of a neighbor cell may be consider as a beneficial cell area for a given cell in the following two cases </w:t>
      </w:r>
    </w:p>
    <w:p w:rsidR="000E11F2" w:rsidRDefault="000E11F2" w:rsidP="000E11F2">
      <w:pPr>
        <w:pStyle w:val="ListParagraph"/>
        <w:numPr>
          <w:ilvl w:val="0"/>
          <w:numId w:val="7"/>
        </w:numPr>
        <w:spacing w:line="276" w:lineRule="auto"/>
        <w:contextualSpacing/>
        <w:rPr>
          <w:rFonts w:ascii="Times New Roman" w:hAnsi="Times New Roman"/>
          <w:b/>
          <w:i/>
          <w:sz w:val="22"/>
          <w:szCs w:val="22"/>
        </w:rPr>
      </w:pPr>
      <w:r>
        <w:rPr>
          <w:rFonts w:ascii="Times New Roman" w:hAnsi="Times New Roman"/>
          <w:b/>
          <w:i/>
          <w:sz w:val="22"/>
          <w:szCs w:val="22"/>
        </w:rPr>
        <w:t>When a given cell is operating in the DL and its neighbor cell is also operating in the DL</w:t>
      </w:r>
      <w:r>
        <w:rPr>
          <w:rFonts w:ascii="Times New Roman" w:hAnsi="Times New Roman" w:hint="eastAsia"/>
          <w:b/>
          <w:i/>
          <w:sz w:val="22"/>
          <w:szCs w:val="22"/>
          <w:lang w:eastAsia="zh-CN"/>
        </w:rPr>
        <w:t>,</w:t>
      </w:r>
      <w:r>
        <w:rPr>
          <w:rFonts w:ascii="Times New Roman" w:hAnsi="Times New Roman"/>
          <w:b/>
          <w:i/>
          <w:sz w:val="22"/>
          <w:szCs w:val="22"/>
        </w:rPr>
        <w:t xml:space="preserve"> i.e. same direction</w:t>
      </w:r>
    </w:p>
    <w:p w:rsidR="000E11F2" w:rsidRDefault="000E11F2" w:rsidP="000E11F2">
      <w:pPr>
        <w:pStyle w:val="ListParagraph"/>
        <w:numPr>
          <w:ilvl w:val="0"/>
          <w:numId w:val="7"/>
        </w:numPr>
        <w:spacing w:line="276" w:lineRule="auto"/>
        <w:contextualSpacing/>
        <w:rPr>
          <w:rFonts w:ascii="Times New Roman" w:hAnsi="Times New Roman"/>
          <w:b/>
          <w:i/>
          <w:sz w:val="22"/>
          <w:szCs w:val="22"/>
        </w:rPr>
      </w:pPr>
      <w:r>
        <w:rPr>
          <w:rFonts w:ascii="Times New Roman" w:hAnsi="Times New Roman"/>
          <w:b/>
          <w:i/>
          <w:sz w:val="22"/>
          <w:szCs w:val="22"/>
        </w:rPr>
        <w:t xml:space="preserve">When a given cell is operating in </w:t>
      </w:r>
      <w:r>
        <w:rPr>
          <w:rFonts w:ascii="Times New Roman" w:hAnsi="Times New Roman" w:hint="eastAsia"/>
          <w:b/>
          <w:i/>
          <w:sz w:val="22"/>
          <w:szCs w:val="22"/>
          <w:lang w:eastAsia="zh-CN"/>
        </w:rPr>
        <w:t xml:space="preserve">the </w:t>
      </w:r>
      <w:r>
        <w:rPr>
          <w:rFonts w:ascii="Times New Roman" w:hAnsi="Times New Roman"/>
          <w:b/>
          <w:i/>
          <w:sz w:val="22"/>
          <w:szCs w:val="22"/>
        </w:rPr>
        <w:t>UL and its neighbor cell is operating in the DL</w:t>
      </w:r>
      <w:r>
        <w:rPr>
          <w:rFonts w:ascii="Times New Roman" w:hAnsi="Times New Roman" w:hint="eastAsia"/>
          <w:b/>
          <w:i/>
          <w:sz w:val="22"/>
          <w:szCs w:val="22"/>
          <w:lang w:eastAsia="zh-CN"/>
        </w:rPr>
        <w:t>,</w:t>
      </w:r>
      <w:r>
        <w:rPr>
          <w:rFonts w:ascii="Times New Roman" w:hAnsi="Times New Roman"/>
          <w:b/>
          <w:i/>
          <w:sz w:val="22"/>
          <w:szCs w:val="22"/>
        </w:rPr>
        <w:t xml:space="preserve"> i.e. opposite direction </w:t>
      </w:r>
    </w:p>
    <w:p w:rsidR="000E11F2" w:rsidRPr="000E11F2" w:rsidRDefault="000E11F2" w:rsidP="000E11F2">
      <w:pPr>
        <w:spacing w:line="276" w:lineRule="auto"/>
        <w:contextualSpacing/>
        <w:rPr>
          <w:b/>
          <w:i/>
          <w:lang w:val="fi-FI"/>
        </w:rPr>
      </w:pPr>
    </w:p>
    <w:p w:rsidR="000E11F2" w:rsidRPr="000E11F2" w:rsidRDefault="000E11F2" w:rsidP="000E11F2">
      <w:pPr>
        <w:rPr>
          <w:b/>
          <w:lang w:val="fi-FI" w:eastAsia="zh-CN"/>
        </w:rPr>
      </w:pPr>
      <w:r w:rsidRPr="000E11F2">
        <w:rPr>
          <w:b/>
          <w:lang w:val="fi-FI" w:eastAsia="zh-CN"/>
        </w:rPr>
        <w:t xml:space="preserve">Propsoal 1: To support full duplex operation, prioritize those CLI mitigation solutions which have less or no impact on the flexibility of dynamic TDD.   </w:t>
      </w:r>
    </w:p>
    <w:p w:rsidR="00FF425C" w:rsidRDefault="000E11F2" w:rsidP="000E11F2">
      <w:pPr>
        <w:rPr>
          <w:b/>
        </w:rPr>
      </w:pPr>
      <w:r>
        <w:rPr>
          <w:b/>
        </w:rPr>
        <w:t xml:space="preserve">Proposal 2: A specific cell area of a neighbor cell, where the UE existence may create negligible or insignificant CLI in a given cell can be consider as a beneficial cell area. </w:t>
      </w:r>
    </w:p>
    <w:p w:rsidR="000E11F2" w:rsidRDefault="000E11F2" w:rsidP="000E11F2">
      <w:pPr>
        <w:spacing w:line="276" w:lineRule="auto"/>
        <w:contextualSpacing/>
        <w:rPr>
          <w:b/>
          <w:lang w:val="fi-FI"/>
        </w:rPr>
      </w:pPr>
      <w:r>
        <w:rPr>
          <w:b/>
          <w:lang w:val="fi-FI"/>
        </w:rPr>
        <w:t xml:space="preserve">Proposal 3: Study CLI management in dynamic TDD based on the neigbour cells UEs existance in the beneficial cell areas. </w:t>
      </w:r>
    </w:p>
    <w:p w:rsidR="00FF425C" w:rsidRDefault="00FF425C">
      <w:pPr>
        <w:rPr>
          <w:b/>
          <w:i/>
          <w:lang w:val="fi-FI" w:eastAsia="zh-CN"/>
        </w:rPr>
      </w:pPr>
    </w:p>
    <w:p w:rsidR="00FF425C" w:rsidRDefault="00FF425C">
      <w:pPr>
        <w:rPr>
          <w:i/>
          <w:lang w:eastAsia="zh-CN"/>
        </w:rPr>
      </w:pPr>
    </w:p>
    <w:p w:rsidR="00FF425C" w:rsidRDefault="00F3458E">
      <w:pPr>
        <w:pStyle w:val="Heading1"/>
        <w:numPr>
          <w:ilvl w:val="0"/>
          <w:numId w:val="0"/>
        </w:numPr>
        <w:ind w:left="432" w:hanging="432"/>
      </w:pPr>
      <w:bookmarkStart w:id="5" w:name="_Ref124671424"/>
      <w:bookmarkStart w:id="6" w:name="_Ref71620620"/>
      <w:bookmarkStart w:id="7" w:name="_Ref124589665"/>
      <w:r>
        <w:t>References</w:t>
      </w:r>
    </w:p>
    <w:p w:rsidR="00FF425C" w:rsidRDefault="00F3458E">
      <w:pPr>
        <w:pStyle w:val="References"/>
        <w:tabs>
          <w:tab w:val="left" w:pos="1778"/>
        </w:tabs>
      </w:pPr>
      <w:bookmarkStart w:id="8" w:name="_Ref461107806"/>
      <w:bookmarkEnd w:id="5"/>
      <w:bookmarkEnd w:id="6"/>
      <w:bookmarkEnd w:id="7"/>
      <w:r>
        <w:t xml:space="preserve">RP-213591, “study item on evolution of NR duplex operation”, </w:t>
      </w:r>
      <w:bookmarkEnd w:id="8"/>
      <w:r>
        <w:t>3GPP TSG RAN#94-e, Dec 6</w:t>
      </w:r>
      <w:r>
        <w:rPr>
          <w:vertAlign w:val="superscript"/>
          <w:lang w:eastAsia="zh-CN"/>
        </w:rPr>
        <w:t>th</w:t>
      </w:r>
      <w:r>
        <w:rPr>
          <w:lang w:eastAsia="zh-CN"/>
        </w:rPr>
        <w:t xml:space="preserve"> </w:t>
      </w:r>
      <w:r>
        <w:t>– 17</w:t>
      </w:r>
      <w:r>
        <w:rPr>
          <w:vertAlign w:val="superscript"/>
        </w:rPr>
        <w:t>th</w:t>
      </w:r>
      <w:r>
        <w:t>, 2021.</w:t>
      </w:r>
    </w:p>
    <w:sectPr w:rsidR="00FF425C">
      <w:footerReference w:type="default" r:id="rId1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1CC" w:rsidRDefault="00A571CC">
      <w:pPr>
        <w:spacing w:after="0"/>
      </w:pPr>
      <w:r>
        <w:separator/>
      </w:r>
    </w:p>
  </w:endnote>
  <w:endnote w:type="continuationSeparator" w:id="0">
    <w:p w:rsidR="00A571CC" w:rsidRDefault="00A571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A571CC">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1CC" w:rsidRDefault="00A571CC">
      <w:pPr>
        <w:spacing w:after="0"/>
      </w:pPr>
      <w:r>
        <w:separator/>
      </w:r>
    </w:p>
  </w:footnote>
  <w:footnote w:type="continuationSeparator" w:id="0">
    <w:p w:rsidR="00A571CC" w:rsidRDefault="00A571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673E"/>
    <w:rsid w:val="001A7763"/>
    <w:rsid w:val="001A7ED9"/>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CFD"/>
    <w:rsid w:val="008C1F2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A2B"/>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6D35"/>
    <w:rsid w:val="00E17619"/>
    <w:rsid w:val="00E17805"/>
    <w:rsid w:val="00E20F79"/>
    <w:rsid w:val="00E21278"/>
    <w:rsid w:val="00E2150C"/>
    <w:rsid w:val="00E22CCD"/>
    <w:rsid w:val="00E23A11"/>
    <w:rsid w:val="00E23FB7"/>
    <w:rsid w:val="00E24A27"/>
    <w:rsid w:val="00E25F89"/>
    <w:rsid w:val="00E26150"/>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2C01"/>
    <w:rsid w:val="00E741AC"/>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50FF"/>
    <w:rsid w:val="00FE58F7"/>
    <w:rsid w:val="00FE67CF"/>
    <w:rsid w:val="00FE6D20"/>
    <w:rsid w:val="00FE6FB9"/>
    <w:rsid w:val="00FE7549"/>
    <w:rsid w:val="00FE7BCC"/>
    <w:rsid w:val="00FF03AA"/>
    <w:rsid w:val="00FF0632"/>
    <w:rsid w:val="00FF126D"/>
    <w:rsid w:val="00FF2310"/>
    <w:rsid w:val="00FF2E73"/>
    <w:rsid w:val="00FF30FB"/>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shapelayout>
  </w:shapeDefaults>
  <w:decimalSymbol w:val="."/>
  <w:listSeparator w:val=","/>
  <w14:docId w14:val="450CF87C"/>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uiPriority w:val="9"/>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qFormat/>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3A667-8BCF-4E23-A83E-67BA6C4D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   </vt:lpstr>
      <vt:lpstr>    Beneficial Cell area </vt:lpstr>
      <vt:lpstr>    Beneficial cell area based CLI Management </vt:lpstr>
      <vt:lpstr>Conclusion</vt:lpstr>
      <vt:lpstr>References</vt:lpstr>
    </vt:vector>
  </TitlesOfParts>
  <Company>Huawei Technologies</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97</cp:revision>
  <cp:lastPrinted>2007-06-18T22:08:00Z</cp:lastPrinted>
  <dcterms:created xsi:type="dcterms:W3CDTF">2019-02-15T17:28:00Z</dcterms:created>
  <dcterms:modified xsi:type="dcterms:W3CDTF">2022-04-29T02:51:00Z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