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308B19F3"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54087A">
        <w:rPr>
          <w:rFonts w:ascii="Arial" w:eastAsia="SimSun" w:hAnsi="Arial" w:cs="Times New Roman"/>
          <w:b/>
          <w:sz w:val="24"/>
          <w:szCs w:val="24"/>
        </w:rPr>
        <w:t>3GPP TSG RAN WG1 #109-e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54087A">
        <w:rPr>
          <w:rFonts w:ascii="Arial" w:eastAsia="SimSun" w:hAnsi="Arial" w:cs="Times New Roman"/>
          <w:b/>
          <w:sz w:val="24"/>
          <w:szCs w:val="24"/>
        </w:rPr>
        <w:t>R1-2203128</w:t>
      </w:r>
      <w:r w:rsidRPr="00FA36A6">
        <w:rPr>
          <w:rFonts w:ascii="Arial" w:eastAsia="SimSun" w:hAnsi="Arial" w:cs="Times New Roman"/>
          <w:b/>
          <w:sz w:val="24"/>
          <w:szCs w:val="24"/>
        </w:rPr>
        <w:fldChar w:fldCharType="end"/>
      </w:r>
    </w:p>
    <w:p w14:paraId="12FC8449" w14:textId="3F5940FD"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54087A">
        <w:rPr>
          <w:rFonts w:ascii="Arial" w:eastAsia="SimSun" w:hAnsi="Arial" w:cs="Times New Roman"/>
          <w:b/>
          <w:sz w:val="24"/>
          <w:szCs w:val="24"/>
          <w:lang w:val="en-US"/>
        </w:rPr>
        <w:t>e-Meeting, May 9th - 20th, 2022</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sz w:val="24"/>
          <w:szCs w:val="24"/>
          <w:lang w:val="en-US"/>
        </w:rPr>
      </w:pPr>
      <w:r w:rsidRPr="00BA7938">
        <w:rPr>
          <w:rFonts w:ascii="Arial" w:eastAsia="SimSun" w:hAnsi="Arial" w:cs="Arial"/>
          <w:b/>
          <w:sz w:val="24"/>
          <w:szCs w:val="24"/>
          <w:lang w:val="en-US"/>
        </w:rPr>
        <w:t>Source:</w:t>
      </w:r>
      <w:r w:rsidRPr="00BA7938">
        <w:rPr>
          <w:rFonts w:ascii="Arial" w:eastAsia="SimSun" w:hAnsi="Arial" w:cs="Arial"/>
          <w:b/>
          <w:sz w:val="24"/>
          <w:lang w:val="en-US"/>
        </w:rPr>
        <w:tab/>
      </w:r>
      <w:r w:rsidRPr="00BA7938">
        <w:rPr>
          <w:rFonts w:ascii="Arial" w:eastAsia="SimSun" w:hAnsi="Arial" w:cs="Arial"/>
          <w:b/>
          <w:sz w:val="24"/>
          <w:szCs w:val="24"/>
          <w:lang w:val="en-US"/>
        </w:rPr>
        <w:t>Nokia, Nokia Shanghai Bell</w:t>
      </w:r>
    </w:p>
    <w:p w14:paraId="26A6672E" w14:textId="12978B3F"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Title:</w:t>
      </w:r>
      <w:r w:rsidRPr="00BA7938">
        <w:rPr>
          <w:rFonts w:ascii="Calibri" w:eastAsia="SimSun" w:hAnsi="Calibri" w:cs="Arial"/>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54087A">
        <w:rPr>
          <w:rFonts w:ascii="Arial" w:eastAsia="SimSun" w:hAnsi="Arial" w:cs="Arial"/>
          <w:b/>
          <w:sz w:val="24"/>
          <w:szCs w:val="24"/>
          <w:lang w:val="en-US"/>
        </w:rPr>
        <w:t>Evaluation of SL positioning</w:t>
      </w:r>
      <w:r w:rsidRPr="00FA36A6">
        <w:rPr>
          <w:rFonts w:ascii="Arial" w:eastAsia="SimSun" w:hAnsi="Arial" w:cs="Arial"/>
          <w:b/>
          <w:sz w:val="24"/>
          <w:szCs w:val="24"/>
        </w:rPr>
        <w:fldChar w:fldCharType="end"/>
      </w:r>
    </w:p>
    <w:p w14:paraId="58D1104C" w14:textId="6D71BD6D" w:rsidR="00FA36A6" w:rsidRPr="00FA36A6" w:rsidRDefault="00FA36A6" w:rsidP="00FA36A6">
      <w:pPr>
        <w:spacing w:after="120" w:line="240" w:lineRule="auto"/>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54087A">
        <w:rPr>
          <w:rFonts w:ascii="Arial" w:eastAsia="MS Mincho" w:hAnsi="Arial" w:cs="Arial"/>
          <w:b/>
          <w:sz w:val="24"/>
          <w:szCs w:val="24"/>
          <w:lang w:val="en-US"/>
        </w:rPr>
        <w:t>9.5.1.2</w:t>
      </w:r>
      <w:r w:rsidRPr="00FA36A6">
        <w:rPr>
          <w:rFonts w:ascii="Arial" w:eastAsia="MS Mincho" w:hAnsi="Arial" w:cs="Arial"/>
          <w:b/>
          <w:sz w:val="24"/>
          <w:szCs w:val="24"/>
        </w:rPr>
        <w:fldChar w:fldCharType="end"/>
      </w:r>
    </w:p>
    <w:p w14:paraId="676B237A" w14:textId="369E8EF2" w:rsidR="00FA36A6" w:rsidRPr="00BA7938" w:rsidRDefault="00FA36A6" w:rsidP="00FA36A6">
      <w:pPr>
        <w:ind w:left="1985" w:hanging="1985"/>
        <w:rPr>
          <w:rFonts w:ascii="Arial" w:eastAsia="SimSun" w:hAnsi="Arial" w:cs="Arial"/>
          <w:b/>
          <w:sz w:val="24"/>
          <w:szCs w:val="24"/>
          <w:lang w:val="en-US"/>
        </w:rPr>
      </w:pPr>
      <w:r w:rsidRPr="00BA7938">
        <w:rPr>
          <w:rFonts w:ascii="Arial" w:eastAsia="SimSun" w:hAnsi="Arial" w:cs="Arial"/>
          <w:b/>
          <w:sz w:val="24"/>
          <w:szCs w:val="24"/>
          <w:lang w:val="en-US"/>
        </w:rPr>
        <w:t>Document for:</w:t>
      </w:r>
      <w:r w:rsidRPr="00BA7938">
        <w:rPr>
          <w:rFonts w:ascii="Arial" w:eastAsia="SimSun" w:hAnsi="Arial" w:cs="Arial"/>
          <w:b/>
          <w:sz w:val="24"/>
          <w:lang w:val="en-US"/>
        </w:rPr>
        <w:tab/>
      </w:r>
      <w:r w:rsidRPr="00FA36A6">
        <w:rPr>
          <w:rFonts w:ascii="Arial" w:eastAsia="SimSun" w:hAnsi="Arial" w:cs="Arial"/>
          <w:b/>
          <w:sz w:val="24"/>
          <w:szCs w:val="24"/>
        </w:rPr>
        <w:fldChar w:fldCharType="begin"/>
      </w:r>
      <w:r w:rsidRPr="00BA7938">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54087A">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288BF155" w:rsidR="00452C72" w:rsidRPr="00AE1659" w:rsidRDefault="0042392D" w:rsidP="009B17F4">
      <w:pPr>
        <w:rPr>
          <w:lang w:val="en-US"/>
        </w:rPr>
      </w:pPr>
      <w:r w:rsidRPr="00AE1659">
        <w:rPr>
          <w:lang w:val="en-US"/>
        </w:rPr>
        <w:t>At RAN#</w:t>
      </w:r>
      <w:r w:rsidR="00CF3364">
        <w:rPr>
          <w:lang w:val="en-US"/>
        </w:rPr>
        <w:t>94</w:t>
      </w:r>
      <w:r w:rsidRPr="00AE1659">
        <w:rPr>
          <w:lang w:val="en-US"/>
        </w:rPr>
        <w:t xml:space="preserve">, a new </w:t>
      </w:r>
      <w:r w:rsidR="008063CC">
        <w:rPr>
          <w:lang w:val="en-US"/>
        </w:rPr>
        <w:t>study</w:t>
      </w:r>
      <w:r w:rsidRPr="00AE1659">
        <w:rPr>
          <w:lang w:val="en-US"/>
        </w:rPr>
        <w:t xml:space="preserve"> item “</w:t>
      </w:r>
      <w:r w:rsidR="00CF3364" w:rsidRPr="00CF3364">
        <w:rPr>
          <w:lang w:val="en-US"/>
        </w:rPr>
        <w:t>Study on expanded and improved NR positioning</w:t>
      </w:r>
      <w:r w:rsidRPr="00AE1659">
        <w:rPr>
          <w:lang w:val="en-US"/>
        </w:rPr>
        <w:t>” (</w:t>
      </w:r>
      <w:r w:rsidR="00CF3364" w:rsidRPr="00CF3364">
        <w:rPr>
          <w:lang w:val="en-US"/>
        </w:rPr>
        <w:t>FS_NR_pos_enh2</w:t>
      </w:r>
      <w:r w:rsidRPr="00AE1659">
        <w:rPr>
          <w:lang w:val="en-US"/>
        </w:rPr>
        <w:t xml:space="preserve">) was approved </w:t>
      </w:r>
      <w:r w:rsidRPr="00AE1659">
        <w:rPr>
          <w:rFonts w:hint="cs"/>
          <w:cs/>
          <w:lang w:val="en-US"/>
        </w:rPr>
        <w:t>‎</w:t>
      </w:r>
      <w:r w:rsidR="00CF3364">
        <w:rPr>
          <w:lang w:val="en-US"/>
        </w:rPr>
        <w:fldChar w:fldCharType="begin"/>
      </w:r>
      <w:r w:rsidR="00CF3364">
        <w:rPr>
          <w:lang w:val="en-US"/>
        </w:rPr>
        <w:instrText xml:space="preserve"> REF _Ref100321863 \r \h </w:instrText>
      </w:r>
      <w:r w:rsidR="00CF3364">
        <w:rPr>
          <w:lang w:val="en-US"/>
        </w:rPr>
      </w:r>
      <w:r w:rsidR="00CF3364">
        <w:rPr>
          <w:lang w:val="en-US"/>
        </w:rPr>
        <w:fldChar w:fldCharType="separate"/>
      </w:r>
      <w:r w:rsidR="0054087A">
        <w:rPr>
          <w:lang w:val="en-US"/>
        </w:rPr>
        <w:t>[1]</w:t>
      </w:r>
      <w:r w:rsidR="00CF3364">
        <w:rPr>
          <w:lang w:val="en-US"/>
        </w:rPr>
        <w:fldChar w:fldCharType="end"/>
      </w:r>
      <w:r w:rsidRPr="00AE1659">
        <w:rPr>
          <w:lang w:val="en-US"/>
        </w:rPr>
        <w:t>.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CA3181" w14:paraId="1A656C78" w14:textId="77777777" w:rsidTr="00C70202">
        <w:tc>
          <w:tcPr>
            <w:tcW w:w="9017" w:type="dxa"/>
          </w:tcPr>
          <w:p w14:paraId="58D672C3" w14:textId="77777777" w:rsidR="00321F5A" w:rsidRPr="00321F5A" w:rsidRDefault="00321F5A" w:rsidP="00321F5A">
            <w:pPr>
              <w:numPr>
                <w:ilvl w:val="0"/>
                <w:numId w:val="88"/>
              </w:numPr>
              <w:spacing w:after="0" w:line="256" w:lineRule="auto"/>
              <w:jc w:val="left"/>
              <w:rPr>
                <w:rFonts w:ascii="Calibri" w:eastAsia="Malgun Gothic" w:hAnsi="Calibri" w:cs="Mangal"/>
                <w:bCs/>
                <w:szCs w:val="20"/>
                <w:lang w:bidi="hi-IN"/>
              </w:rPr>
            </w:pPr>
            <w:bookmarkStart w:id="1" w:name="_Hlk83846699"/>
            <w:r w:rsidRPr="00321F5A">
              <w:rPr>
                <w:rFonts w:ascii="Calibri" w:eastAsia="Malgun Gothic" w:hAnsi="Calibri" w:cs="Mangal"/>
                <w:bCs/>
                <w:szCs w:val="20"/>
                <w:lang w:bidi="hi-IN"/>
              </w:rPr>
              <w:t xml:space="preserve">Study solutions for sidelink positioning considering the following: [RAN1, RAN2] </w:t>
            </w:r>
          </w:p>
          <w:p w14:paraId="35FD7D81" w14:textId="77777777" w:rsidR="00321F5A" w:rsidRPr="00321F5A" w:rsidRDefault="00321F5A" w:rsidP="00321F5A">
            <w:pPr>
              <w:numPr>
                <w:ilvl w:val="0"/>
                <w:numId w:val="88"/>
              </w:numPr>
              <w:spacing w:after="0" w:line="256" w:lineRule="auto"/>
              <w:ind w:left="1080"/>
              <w:jc w:val="left"/>
              <w:rPr>
                <w:rFonts w:ascii="Calibri" w:eastAsia="Malgun Gothic" w:hAnsi="Calibri" w:cs="Mangal"/>
                <w:bCs/>
                <w:szCs w:val="20"/>
                <w:lang w:bidi="hi-IN"/>
              </w:rPr>
            </w:pPr>
            <w:r w:rsidRPr="00321F5A">
              <w:rPr>
                <w:rFonts w:ascii="Calibri" w:eastAsia="Malgun Gothic" w:hAnsi="Calibri" w:cs="Mangal"/>
                <w:bCs/>
                <w:szCs w:val="20"/>
                <w:lang w:bidi="hi-IN"/>
              </w:rPr>
              <w:t xml:space="preserve">Scenario/requirements </w:t>
            </w:r>
          </w:p>
          <w:p w14:paraId="58C48F76"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 xml:space="preserve">Coverage scenarios to </w:t>
            </w:r>
            <w:proofErr w:type="gramStart"/>
            <w:r w:rsidRPr="00321F5A">
              <w:rPr>
                <w:rFonts w:ascii="Calibri" w:eastAsia="Malgun Gothic" w:hAnsi="Calibri" w:cs="Mangal"/>
                <w:bCs/>
                <w:szCs w:val="20"/>
                <w:lang w:bidi="hi-IN"/>
              </w:rPr>
              <w:t>cover:</w:t>
            </w:r>
            <w:proofErr w:type="gramEnd"/>
            <w:r w:rsidRPr="00321F5A">
              <w:rPr>
                <w:rFonts w:ascii="Calibri" w:eastAsia="Malgun Gothic" w:hAnsi="Calibri" w:cs="Mangal"/>
                <w:bCs/>
                <w:szCs w:val="20"/>
                <w:lang w:bidi="hi-IN"/>
              </w:rPr>
              <w:t xml:space="preserve"> in-coverage, partial-coverage and out-of-coverage</w:t>
            </w:r>
          </w:p>
          <w:p w14:paraId="07C0744B"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Requirements: Based on requirements identified in TR38.845 and TS22.261 and TS22.104</w:t>
            </w:r>
          </w:p>
          <w:p w14:paraId="7D3A0D3A"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Use cases: V2X (TR38.845), public safety (TR38.845), commercial (TS22.261), IIOT (TS22.104)</w:t>
            </w:r>
          </w:p>
          <w:p w14:paraId="371A5BD0"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Spectrum: ITS, licensed</w:t>
            </w:r>
          </w:p>
          <w:p w14:paraId="09410A37" w14:textId="77777777" w:rsidR="00321F5A" w:rsidRPr="00321F5A" w:rsidRDefault="00321F5A" w:rsidP="00321F5A">
            <w:pPr>
              <w:numPr>
                <w:ilvl w:val="0"/>
                <w:numId w:val="88"/>
              </w:numPr>
              <w:spacing w:after="0" w:line="256" w:lineRule="auto"/>
              <w:ind w:left="1080"/>
              <w:jc w:val="left"/>
              <w:rPr>
                <w:rFonts w:ascii="Calibri" w:eastAsia="Malgun Gothic" w:hAnsi="Calibri" w:cs="Mangal"/>
                <w:bCs/>
                <w:szCs w:val="20"/>
                <w:lang w:bidi="hi-IN"/>
              </w:rPr>
            </w:pPr>
            <w:r w:rsidRPr="00321F5A">
              <w:rPr>
                <w:rFonts w:ascii="Calibri" w:eastAsia="Malgun Gothic" w:hAnsi="Calibri" w:cs="Mangal"/>
                <w:bCs/>
                <w:szCs w:val="20"/>
                <w:lang w:bidi="hi-IN"/>
              </w:rPr>
              <w:t>Identify specific target performance requirements to be considered for the evaluation based on existing 3GPP work and inputs from industry forums [RAN1]</w:t>
            </w:r>
          </w:p>
          <w:p w14:paraId="1F3196AE" w14:textId="77777777" w:rsidR="00321F5A" w:rsidRPr="00321F5A" w:rsidRDefault="00321F5A" w:rsidP="00321F5A">
            <w:pPr>
              <w:numPr>
                <w:ilvl w:val="0"/>
                <w:numId w:val="88"/>
              </w:numPr>
              <w:spacing w:after="0" w:line="256" w:lineRule="auto"/>
              <w:ind w:left="1080"/>
              <w:jc w:val="left"/>
              <w:rPr>
                <w:rFonts w:ascii="Calibri" w:eastAsia="Malgun Gothic" w:hAnsi="Calibri" w:cs="Mangal"/>
                <w:bCs/>
                <w:szCs w:val="20"/>
                <w:lang w:bidi="hi-IN"/>
              </w:rPr>
            </w:pPr>
            <w:r w:rsidRPr="00321F5A">
              <w:rPr>
                <w:rFonts w:ascii="Calibri" w:eastAsia="Malgun Gothic" w:hAnsi="Calibri" w:cs="Mangal"/>
                <w:bCs/>
                <w:szCs w:val="20"/>
                <w:lang w:bidi="hi-IN"/>
              </w:rPr>
              <w:t xml:space="preserve">Define evaluation methodology with which to evaluate SL positioning for the </w:t>
            </w:r>
            <w:proofErr w:type="gramStart"/>
            <w:r w:rsidRPr="00321F5A">
              <w:rPr>
                <w:rFonts w:ascii="Calibri" w:eastAsia="Malgun Gothic" w:hAnsi="Calibri" w:cs="Mangal"/>
                <w:bCs/>
                <w:szCs w:val="20"/>
                <w:lang w:bidi="hi-IN"/>
              </w:rPr>
              <w:t>uses</w:t>
            </w:r>
            <w:proofErr w:type="gramEnd"/>
            <w:r w:rsidRPr="00321F5A">
              <w:rPr>
                <w:rFonts w:ascii="Calibri" w:eastAsia="Malgun Gothic" w:hAnsi="Calibri" w:cs="Mangal"/>
                <w:bCs/>
                <w:szCs w:val="20"/>
                <w:lang w:bidi="hi-IN"/>
              </w:rPr>
              <w:t xml:space="preserve"> cases and coverage scenarios, reusing existing methodologies from sidelink communication and from positioning as much as possible [RAN1]. </w:t>
            </w:r>
          </w:p>
          <w:p w14:paraId="4C6E5B9D" w14:textId="77777777" w:rsidR="00321F5A" w:rsidRPr="00321F5A" w:rsidRDefault="00321F5A" w:rsidP="00321F5A">
            <w:pPr>
              <w:numPr>
                <w:ilvl w:val="0"/>
                <w:numId w:val="88"/>
              </w:numPr>
              <w:spacing w:after="0" w:line="256" w:lineRule="auto"/>
              <w:ind w:left="1080"/>
              <w:jc w:val="left"/>
              <w:rPr>
                <w:rFonts w:ascii="Calibri" w:eastAsia="Malgun Gothic" w:hAnsi="Calibri" w:cs="Mangal"/>
                <w:bCs/>
                <w:szCs w:val="20"/>
                <w:lang w:bidi="hi-IN"/>
              </w:rPr>
            </w:pPr>
            <w:r w:rsidRPr="00321F5A">
              <w:rPr>
                <w:rFonts w:ascii="Calibri" w:eastAsia="Malgun Gothic" w:hAnsi="Calibri" w:cs="Mangal"/>
                <w:bCs/>
                <w:szCs w:val="20"/>
                <w:lang w:bidi="hi-IN"/>
              </w:rPr>
              <w:t>Study and evaluate performance and feasibility of potential solutions for SL positioning, considering relative positioning, ranging and absolute positioning: [RAN1, RAN2]</w:t>
            </w:r>
          </w:p>
          <w:p w14:paraId="40BD7E09"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Evaluate bandwidth requirement needed to meet the identified accuracy requirements [RAN1]</w:t>
            </w:r>
          </w:p>
          <w:p w14:paraId="4098FD9B"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Study of positioning methods (</w:t>
            </w:r>
            <w:proofErr w:type="gramStart"/>
            <w:r w:rsidRPr="00321F5A">
              <w:rPr>
                <w:rFonts w:ascii="Calibri" w:eastAsia="Malgun Gothic" w:hAnsi="Calibri" w:cs="Mangal"/>
                <w:bCs/>
                <w:szCs w:val="20"/>
                <w:lang w:bidi="hi-IN"/>
              </w:rPr>
              <w:t>e.g.</w:t>
            </w:r>
            <w:proofErr w:type="gramEnd"/>
            <w:r w:rsidRPr="00321F5A">
              <w:rPr>
                <w:rFonts w:ascii="Calibri" w:eastAsia="Malgun Gothic" w:hAnsi="Calibri" w:cs="Mangal"/>
                <w:bCs/>
                <w:szCs w:val="20"/>
                <w:lang w:bidi="hi-IN"/>
              </w:rPr>
              <w:t xml:space="preserve"> TDOA, RTT, AOA/D, etc) including combination of SL positioning measurements with other RAT dependent positioning measurements (e.g. Uu based measurements) [RAN1]</w:t>
            </w:r>
          </w:p>
          <w:p w14:paraId="4845F115"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E3EA14C" w14:textId="77777777" w:rsidR="00321F5A" w:rsidRPr="00321F5A" w:rsidRDefault="00321F5A" w:rsidP="00321F5A">
            <w:pPr>
              <w:numPr>
                <w:ilvl w:val="1"/>
                <w:numId w:val="88"/>
              </w:numPr>
              <w:spacing w:after="0" w:line="256" w:lineRule="auto"/>
              <w:jc w:val="left"/>
              <w:rPr>
                <w:rFonts w:ascii="Calibri" w:eastAsia="Malgun Gothic" w:hAnsi="Calibri" w:cs="Mangal"/>
                <w:bCs/>
                <w:szCs w:val="20"/>
                <w:lang w:bidi="hi-IN"/>
              </w:rPr>
            </w:pPr>
            <w:r w:rsidRPr="00321F5A">
              <w:rPr>
                <w:rFonts w:ascii="Calibri" w:eastAsia="Malgun Gothic" w:hAnsi="Calibri" w:cs="Mangal"/>
                <w:bCs/>
                <w:szCs w:val="20"/>
                <w:lang w:bidi="hi-IN"/>
              </w:rPr>
              <w:t>Study of positioning architecture and signalling procedures (</w:t>
            </w:r>
            <w:proofErr w:type="gramStart"/>
            <w:r w:rsidRPr="00321F5A">
              <w:rPr>
                <w:rFonts w:ascii="Calibri" w:eastAsia="Malgun Gothic" w:hAnsi="Calibri" w:cs="Mangal"/>
                <w:bCs/>
                <w:szCs w:val="20"/>
                <w:lang w:bidi="hi-IN"/>
              </w:rPr>
              <w:t>e.g.</w:t>
            </w:r>
            <w:proofErr w:type="gramEnd"/>
            <w:r w:rsidRPr="00321F5A">
              <w:rPr>
                <w:rFonts w:ascii="Calibri" w:eastAsia="Malgun Gothic" w:hAnsi="Calibri" w:cs="Mangal"/>
                <w:bCs/>
                <w:szCs w:val="20"/>
                <w:lang w:bidi="hi-IN"/>
              </w:rPr>
              <w:t xml:space="preserve"> configuration, measurement reporting, etc) to enable sidelink positioning covering both UE </w:t>
            </w:r>
            <w:r w:rsidRPr="00321F5A">
              <w:rPr>
                <w:rFonts w:ascii="Calibri" w:eastAsia="Malgun Gothic" w:hAnsi="Calibri" w:cs="Mangal"/>
                <w:bCs/>
                <w:szCs w:val="20"/>
                <w:lang w:bidi="hi-IN"/>
              </w:rPr>
              <w:lastRenderedPageBreak/>
              <w:t>based and network based positioning [RAN2, including coordination and alignment with RAN3 and SA2 as required]</w:t>
            </w:r>
          </w:p>
          <w:p w14:paraId="03BEC551" w14:textId="77777777" w:rsidR="00321F5A" w:rsidRPr="00321F5A" w:rsidRDefault="00321F5A" w:rsidP="00321F5A">
            <w:pPr>
              <w:spacing w:after="0" w:line="256" w:lineRule="auto"/>
              <w:ind w:left="1080"/>
              <w:jc w:val="left"/>
              <w:rPr>
                <w:rFonts w:ascii="Calibri" w:eastAsia="Malgun Gothic" w:hAnsi="Calibri" w:cs="Mangal"/>
                <w:bCs/>
                <w:szCs w:val="20"/>
                <w:lang w:bidi="hi-IN"/>
              </w:rPr>
            </w:pPr>
            <w:r w:rsidRPr="00321F5A">
              <w:rPr>
                <w:rFonts w:ascii="Calibri" w:eastAsia="Malgun Gothic" w:hAnsi="Calibri" w:cs="Mangal"/>
                <w:bCs/>
                <w:szCs w:val="20"/>
                <w:lang w:bidi="hi-I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31CBD5" w14:textId="35DE8702" w:rsidR="00C70202" w:rsidRPr="00AE1659" w:rsidRDefault="00C70202" w:rsidP="00CF3364">
            <w:pPr>
              <w:overflowPunct w:val="0"/>
              <w:autoSpaceDE w:val="0"/>
              <w:autoSpaceDN w:val="0"/>
              <w:adjustRightInd w:val="0"/>
              <w:spacing w:line="240" w:lineRule="auto"/>
              <w:rPr>
                <w:lang w:val="en-US"/>
              </w:rPr>
            </w:pPr>
          </w:p>
        </w:tc>
      </w:tr>
      <w:bookmarkEnd w:id="1"/>
    </w:tbl>
    <w:p w14:paraId="4F660BAE" w14:textId="77777777" w:rsidR="00C70202" w:rsidRPr="00AE1659" w:rsidRDefault="00C70202" w:rsidP="00E8648A">
      <w:pPr>
        <w:spacing w:after="0"/>
        <w:rPr>
          <w:lang w:val="en-US"/>
        </w:rPr>
      </w:pPr>
    </w:p>
    <w:p w14:paraId="2EE1C9C9" w14:textId="649BC859" w:rsidR="00EE2D98" w:rsidRDefault="00C441D4" w:rsidP="009B17F4">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provide our views on</w:t>
      </w:r>
      <w:r w:rsidR="00321F5A">
        <w:rPr>
          <w:lang w:val="en-US"/>
        </w:rPr>
        <w:t xml:space="preserve"> </w:t>
      </w:r>
      <w:r w:rsidR="00321F5A" w:rsidRPr="00321F5A">
        <w:rPr>
          <w:lang w:val="en-US"/>
        </w:rPr>
        <w:t>evaluation methodology</w:t>
      </w:r>
      <w:r w:rsidR="00321F5A">
        <w:rPr>
          <w:lang w:val="en-US"/>
        </w:rPr>
        <w:t xml:space="preserve"> for SL positioning.</w:t>
      </w:r>
    </w:p>
    <w:p w14:paraId="0C96355A" w14:textId="3034D54D" w:rsidR="00EE2D98" w:rsidRDefault="003B0387" w:rsidP="00CE33CD">
      <w:pPr>
        <w:pStyle w:val="Heading1"/>
        <w:rPr>
          <w:rFonts w:eastAsia="SimSun"/>
        </w:rPr>
      </w:pPr>
      <w:r>
        <w:rPr>
          <w:rFonts w:eastAsia="SimSun"/>
        </w:rPr>
        <w:t>Discussion</w:t>
      </w:r>
      <w:r w:rsidR="002E38AE">
        <w:rPr>
          <w:rFonts w:eastAsia="SimSun"/>
        </w:rPr>
        <w:t xml:space="preserve"> of Evaluation Methodology</w:t>
      </w:r>
    </w:p>
    <w:p w14:paraId="47D67412" w14:textId="7B04B637" w:rsidR="002E38AE" w:rsidRDefault="002E38AE" w:rsidP="002E38AE">
      <w:pPr>
        <w:pStyle w:val="Heading2"/>
      </w:pPr>
      <w:r>
        <w:t>Use cases – scenarios, channel models etc</w:t>
      </w:r>
    </w:p>
    <w:p w14:paraId="081DDC4E" w14:textId="42587AA3" w:rsidR="002E38AE" w:rsidRDefault="002E38AE" w:rsidP="002E38AE">
      <w:pPr>
        <w:pStyle w:val="Heading3"/>
      </w:pPr>
      <w:r>
        <w:t>V2X</w:t>
      </w:r>
    </w:p>
    <w:p w14:paraId="576587F8" w14:textId="594510F5" w:rsidR="002E38AE" w:rsidRDefault="002E38AE" w:rsidP="002E38AE">
      <w:pPr>
        <w:rPr>
          <w:lang w:eastAsia="en-GB"/>
        </w:rPr>
      </w:pPr>
      <w:r>
        <w:rPr>
          <w:lang w:eastAsia="en-GB"/>
        </w:rPr>
        <w:t xml:space="preserve">The evaluation methodology for V2X communication </w:t>
      </w:r>
      <w:r w:rsidR="00DC682A">
        <w:rPr>
          <w:lang w:eastAsia="en-GB"/>
        </w:rPr>
        <w:t xml:space="preserve">over sidelink </w:t>
      </w:r>
      <w:r>
        <w:rPr>
          <w:lang w:eastAsia="en-GB"/>
        </w:rPr>
        <w:t xml:space="preserve">has been defined in TR 37.885 </w:t>
      </w:r>
      <w:r>
        <w:rPr>
          <w:lang w:eastAsia="en-GB"/>
        </w:rPr>
        <w:fldChar w:fldCharType="begin"/>
      </w:r>
      <w:r>
        <w:rPr>
          <w:lang w:eastAsia="en-GB"/>
        </w:rPr>
        <w:instrText xml:space="preserve"> REF _Ref102159082 \r \h </w:instrText>
      </w:r>
      <w:r>
        <w:rPr>
          <w:lang w:eastAsia="en-GB"/>
        </w:rPr>
      </w:r>
      <w:r>
        <w:rPr>
          <w:lang w:eastAsia="en-GB"/>
        </w:rPr>
        <w:fldChar w:fldCharType="separate"/>
      </w:r>
      <w:r w:rsidR="0054087A">
        <w:rPr>
          <w:lang w:eastAsia="en-GB"/>
        </w:rPr>
        <w:t>[2]</w:t>
      </w:r>
      <w:r>
        <w:rPr>
          <w:lang w:eastAsia="en-GB"/>
        </w:rPr>
        <w:fldChar w:fldCharType="end"/>
      </w:r>
      <w:r>
        <w:rPr>
          <w:lang w:eastAsia="en-GB"/>
        </w:rPr>
        <w:t xml:space="preserve">. This TR includes highway and urban scenarios, </w:t>
      </w:r>
      <w:r w:rsidR="00E85D01">
        <w:rPr>
          <w:lang w:eastAsia="en-GB"/>
        </w:rPr>
        <w:t xml:space="preserve">UE drop and mobility models for </w:t>
      </w:r>
      <w:r>
        <w:rPr>
          <w:lang w:eastAsia="en-GB"/>
        </w:rPr>
        <w:t xml:space="preserve">multiple vehicle types with a variety of antenna configurations, UE-type RSUs, </w:t>
      </w:r>
      <w:r w:rsidR="00DC682A">
        <w:rPr>
          <w:lang w:eastAsia="en-GB"/>
        </w:rPr>
        <w:t xml:space="preserve">pedestrian UEs, </w:t>
      </w:r>
      <w:r>
        <w:rPr>
          <w:lang w:eastAsia="en-GB"/>
        </w:rPr>
        <w:t>sidelink channel models</w:t>
      </w:r>
      <w:r w:rsidR="00E85D01">
        <w:rPr>
          <w:lang w:eastAsia="en-GB"/>
        </w:rPr>
        <w:t xml:space="preserve">. For some aspects, TR 37.885 refers to TR 36.885 </w:t>
      </w:r>
      <w:r w:rsidR="00E85D01">
        <w:rPr>
          <w:lang w:eastAsia="en-GB"/>
        </w:rPr>
        <w:fldChar w:fldCharType="begin"/>
      </w:r>
      <w:r w:rsidR="00E85D01">
        <w:rPr>
          <w:lang w:eastAsia="en-GB"/>
        </w:rPr>
        <w:instrText xml:space="preserve"> REF _Ref102159546 \r \h </w:instrText>
      </w:r>
      <w:r w:rsidR="00E85D01">
        <w:rPr>
          <w:lang w:eastAsia="en-GB"/>
        </w:rPr>
      </w:r>
      <w:r w:rsidR="00E85D01">
        <w:rPr>
          <w:lang w:eastAsia="en-GB"/>
        </w:rPr>
        <w:fldChar w:fldCharType="separate"/>
      </w:r>
      <w:r w:rsidR="0054087A">
        <w:rPr>
          <w:lang w:eastAsia="en-GB"/>
        </w:rPr>
        <w:t>[3]</w:t>
      </w:r>
      <w:r w:rsidR="00E85D01">
        <w:rPr>
          <w:lang w:eastAsia="en-GB"/>
        </w:rPr>
        <w:fldChar w:fldCharType="end"/>
      </w:r>
      <w:r w:rsidR="00E85D01">
        <w:rPr>
          <w:lang w:eastAsia="en-GB"/>
        </w:rPr>
        <w:t>.</w:t>
      </w:r>
    </w:p>
    <w:p w14:paraId="4A5819A2" w14:textId="28778141" w:rsidR="00D82323" w:rsidRDefault="00D82323" w:rsidP="002E38AE">
      <w:pPr>
        <w:rPr>
          <w:lang w:eastAsia="en-GB"/>
        </w:rPr>
      </w:pPr>
      <w:r>
        <w:rPr>
          <w:lang w:eastAsia="en-GB"/>
        </w:rPr>
        <w:t xml:space="preserve">TR 37.885 considered simulation bandwidths of 10, 20 and 100 </w:t>
      </w:r>
      <w:proofErr w:type="spellStart"/>
      <w:r>
        <w:rPr>
          <w:lang w:eastAsia="en-GB"/>
        </w:rPr>
        <w:t>MHz.</w:t>
      </w:r>
      <w:proofErr w:type="spellEnd"/>
      <w:r>
        <w:rPr>
          <w:lang w:eastAsia="en-GB"/>
        </w:rPr>
        <w:t xml:space="preserve"> However, 100 MHz is not available in currently defined ITS bands, so 40 MHz can be used instead.</w:t>
      </w:r>
    </w:p>
    <w:p w14:paraId="46284A53" w14:textId="1C68E4BA" w:rsidR="00E85D01" w:rsidRDefault="00E85D01" w:rsidP="00E85D01">
      <w:pPr>
        <w:rPr>
          <w:b/>
          <w:bCs/>
          <w:lang w:val="en-US"/>
        </w:rPr>
      </w:pPr>
      <w:bookmarkStart w:id="2" w:name="Proposal661"/>
      <w:bookmarkStart w:id="3" w:name="Proposal2168"/>
      <w:r w:rsidRPr="24AF282E">
        <w:rPr>
          <w:b/>
          <w:bCs/>
          <w:lang w:val="en-US"/>
        </w:rPr>
        <w:t xml:space="preserve">Proposal </w:t>
      </w:r>
      <w:r w:rsidRPr="24AF282E">
        <w:rPr>
          <w:b/>
          <w:bCs/>
          <w:color w:val="2B579A"/>
        </w:rPr>
        <w:fldChar w:fldCharType="begin"/>
      </w:r>
      <w:r w:rsidRPr="24AF282E">
        <w:rPr>
          <w:b/>
          <w:bCs/>
          <w:lang w:val="en-US"/>
        </w:rPr>
        <w:instrText xml:space="preserve"> SEQ Proposal \* Arabic </w:instrText>
      </w:r>
      <w:r w:rsidRPr="24AF282E">
        <w:rPr>
          <w:b/>
          <w:bCs/>
          <w:color w:val="2B579A"/>
        </w:rPr>
        <w:fldChar w:fldCharType="separate"/>
      </w:r>
      <w:r w:rsidR="0054087A">
        <w:rPr>
          <w:b/>
          <w:bCs/>
          <w:noProof/>
          <w:lang w:val="en-US"/>
        </w:rPr>
        <w:t>1</w:t>
      </w:r>
      <w:r w:rsidRPr="24AF282E">
        <w:rPr>
          <w:b/>
          <w:bCs/>
          <w:color w:val="2B579A"/>
        </w:rPr>
        <w:fldChar w:fldCharType="end"/>
      </w:r>
      <w:r w:rsidRPr="24AF282E">
        <w:rPr>
          <w:b/>
          <w:bCs/>
          <w:lang w:val="en-US"/>
        </w:rPr>
        <w:t xml:space="preserve">: </w:t>
      </w:r>
      <w:r>
        <w:rPr>
          <w:b/>
          <w:bCs/>
          <w:lang w:val="en-US"/>
        </w:rPr>
        <w:t>For the V2X use cases, reuse the evaluation methodology of TR 37.885. Both urban and highway scenarios shall be considered.</w:t>
      </w:r>
      <w:r w:rsidR="00DC682A">
        <w:rPr>
          <w:b/>
          <w:bCs/>
          <w:lang w:val="en-US"/>
        </w:rPr>
        <w:t xml:space="preserve"> Vehicular UEs, UE-type RSUs and pedestrian UEs/VRUs shall be considered.</w:t>
      </w:r>
    </w:p>
    <w:p w14:paraId="0A80E6D1" w14:textId="3BC7B721" w:rsidR="00D82323" w:rsidRDefault="00D82323" w:rsidP="00D82323">
      <w:pPr>
        <w:rPr>
          <w:b/>
          <w:bCs/>
          <w:lang w:val="en-US"/>
        </w:rPr>
      </w:pPr>
      <w:bookmarkStart w:id="4" w:name="Proposal662"/>
      <w:bookmarkStart w:id="5" w:name="Proposal2169"/>
      <w:bookmarkEnd w:id="2"/>
      <w:bookmarkEnd w:id="3"/>
      <w:r w:rsidRPr="24AF282E">
        <w:rPr>
          <w:b/>
          <w:bCs/>
          <w:lang w:val="en-US"/>
        </w:rPr>
        <w:t xml:space="preserve">Proposal </w:t>
      </w:r>
      <w:r w:rsidRPr="24AF282E">
        <w:rPr>
          <w:b/>
          <w:bCs/>
          <w:color w:val="2B579A"/>
        </w:rPr>
        <w:fldChar w:fldCharType="begin"/>
      </w:r>
      <w:r w:rsidRPr="24AF282E">
        <w:rPr>
          <w:b/>
          <w:bCs/>
          <w:lang w:val="en-US"/>
        </w:rPr>
        <w:instrText xml:space="preserve"> SEQ Proposal \* Arabic </w:instrText>
      </w:r>
      <w:r w:rsidRPr="24AF282E">
        <w:rPr>
          <w:b/>
          <w:bCs/>
          <w:color w:val="2B579A"/>
        </w:rPr>
        <w:fldChar w:fldCharType="separate"/>
      </w:r>
      <w:r w:rsidR="0054087A">
        <w:rPr>
          <w:b/>
          <w:bCs/>
          <w:noProof/>
          <w:lang w:val="en-US"/>
        </w:rPr>
        <w:t>2</w:t>
      </w:r>
      <w:r w:rsidRPr="24AF282E">
        <w:rPr>
          <w:b/>
          <w:bCs/>
          <w:color w:val="2B579A"/>
        </w:rPr>
        <w:fldChar w:fldCharType="end"/>
      </w:r>
      <w:r w:rsidRPr="24AF282E">
        <w:rPr>
          <w:b/>
          <w:bCs/>
          <w:lang w:val="en-US"/>
        </w:rPr>
        <w:t xml:space="preserve">: </w:t>
      </w:r>
      <w:r>
        <w:rPr>
          <w:b/>
          <w:bCs/>
          <w:lang w:val="en-US"/>
        </w:rPr>
        <w:t xml:space="preserve">For the V2X use cases, </w:t>
      </w:r>
      <w:r w:rsidR="003D1F7D">
        <w:rPr>
          <w:b/>
          <w:bCs/>
          <w:lang w:val="en-US"/>
        </w:rPr>
        <w:t>consider simulation bandwidths of 10, 20 and 40 MHz in FR1 ITS spectrum (band n47).</w:t>
      </w:r>
    </w:p>
    <w:bookmarkEnd w:id="4"/>
    <w:bookmarkEnd w:id="5"/>
    <w:p w14:paraId="7AB22ECD" w14:textId="005FC974" w:rsidR="00A3719B" w:rsidRDefault="00A3719B" w:rsidP="00E85D01">
      <w:pPr>
        <w:rPr>
          <w:b/>
          <w:bCs/>
          <w:lang w:val="en-US"/>
        </w:rPr>
      </w:pPr>
    </w:p>
    <w:p w14:paraId="265BA5D7" w14:textId="72BD72B9" w:rsidR="002E38AE" w:rsidRDefault="002E38AE" w:rsidP="002E38AE">
      <w:pPr>
        <w:pStyle w:val="Heading3"/>
      </w:pPr>
      <w:r>
        <w:t>Public Safety</w:t>
      </w:r>
    </w:p>
    <w:p w14:paraId="68E726A1" w14:textId="09A8AA51" w:rsidR="00E85D01" w:rsidRDefault="00E85D01" w:rsidP="00E85D01">
      <w:pPr>
        <w:rPr>
          <w:lang w:eastAsia="en-GB"/>
        </w:rPr>
      </w:pPr>
      <w:r>
        <w:rPr>
          <w:lang w:eastAsia="en-GB"/>
        </w:rPr>
        <w:t xml:space="preserve">The evaluation methodology for public safety sidelink has been defined in </w:t>
      </w:r>
      <w:r w:rsidRPr="00E85D01">
        <w:rPr>
          <w:lang w:eastAsia="en-GB"/>
        </w:rPr>
        <w:t>TR 36.843</w:t>
      </w:r>
      <w:r>
        <w:rPr>
          <w:lang w:eastAsia="en-GB"/>
        </w:rPr>
        <w:t xml:space="preserve"> </w:t>
      </w:r>
      <w:r>
        <w:rPr>
          <w:lang w:eastAsia="en-GB"/>
        </w:rPr>
        <w:fldChar w:fldCharType="begin"/>
      </w:r>
      <w:r>
        <w:rPr>
          <w:lang w:eastAsia="en-GB"/>
        </w:rPr>
        <w:instrText xml:space="preserve"> REF _Ref102159743 \r \h </w:instrText>
      </w:r>
      <w:r>
        <w:rPr>
          <w:lang w:eastAsia="en-GB"/>
        </w:rPr>
      </w:r>
      <w:r>
        <w:rPr>
          <w:lang w:eastAsia="en-GB"/>
        </w:rPr>
        <w:fldChar w:fldCharType="separate"/>
      </w:r>
      <w:r w:rsidR="0054087A">
        <w:rPr>
          <w:lang w:eastAsia="en-GB"/>
        </w:rPr>
        <w:t>[4]</w:t>
      </w:r>
      <w:r>
        <w:rPr>
          <w:lang w:eastAsia="en-GB"/>
        </w:rPr>
        <w:fldChar w:fldCharType="end"/>
      </w:r>
      <w:r>
        <w:rPr>
          <w:lang w:eastAsia="en-GB"/>
        </w:rPr>
        <w:t xml:space="preserve">. </w:t>
      </w:r>
    </w:p>
    <w:p w14:paraId="1AAC2267" w14:textId="4F5670F6" w:rsidR="00D82323" w:rsidRDefault="00D82323" w:rsidP="00D82323">
      <w:pPr>
        <w:rPr>
          <w:b/>
          <w:bCs/>
          <w:lang w:val="en-US"/>
        </w:rPr>
      </w:pPr>
      <w:bookmarkStart w:id="6" w:name="Proposal663"/>
      <w:bookmarkStart w:id="7" w:name="Proposal2170"/>
      <w:r w:rsidRPr="24AF282E">
        <w:rPr>
          <w:b/>
          <w:bCs/>
          <w:lang w:val="en-US"/>
        </w:rPr>
        <w:t xml:space="preserve">Proposal </w:t>
      </w:r>
      <w:r w:rsidRPr="24AF282E">
        <w:rPr>
          <w:b/>
          <w:bCs/>
          <w:color w:val="2B579A"/>
        </w:rPr>
        <w:fldChar w:fldCharType="begin"/>
      </w:r>
      <w:r w:rsidRPr="24AF282E">
        <w:rPr>
          <w:b/>
          <w:bCs/>
          <w:lang w:val="en-US"/>
        </w:rPr>
        <w:instrText xml:space="preserve"> SEQ Proposal \* Arabic </w:instrText>
      </w:r>
      <w:r w:rsidRPr="24AF282E">
        <w:rPr>
          <w:b/>
          <w:bCs/>
          <w:color w:val="2B579A"/>
        </w:rPr>
        <w:fldChar w:fldCharType="separate"/>
      </w:r>
      <w:r w:rsidR="0054087A">
        <w:rPr>
          <w:b/>
          <w:bCs/>
          <w:noProof/>
          <w:lang w:val="en-US"/>
        </w:rPr>
        <w:t>3</w:t>
      </w:r>
      <w:r w:rsidRPr="24AF282E">
        <w:rPr>
          <w:b/>
          <w:bCs/>
          <w:color w:val="2B579A"/>
        </w:rPr>
        <w:fldChar w:fldCharType="end"/>
      </w:r>
      <w:r w:rsidRPr="24AF282E">
        <w:rPr>
          <w:b/>
          <w:bCs/>
          <w:lang w:val="en-US"/>
        </w:rPr>
        <w:t xml:space="preserve">: </w:t>
      </w:r>
      <w:r>
        <w:rPr>
          <w:b/>
          <w:bCs/>
          <w:lang w:val="en-US"/>
        </w:rPr>
        <w:t xml:space="preserve">For the public safety use cases, reuse the evaluation methodology of TR 36.843. </w:t>
      </w:r>
    </w:p>
    <w:bookmarkEnd w:id="6"/>
    <w:bookmarkEnd w:id="7"/>
    <w:p w14:paraId="516E9738" w14:textId="77777777" w:rsidR="00D82323" w:rsidRPr="00E85D01" w:rsidRDefault="00D82323" w:rsidP="00E85D01">
      <w:pPr>
        <w:rPr>
          <w:lang w:eastAsia="en-GB"/>
        </w:rPr>
      </w:pPr>
    </w:p>
    <w:p w14:paraId="48A47C74" w14:textId="3D98B6CE" w:rsidR="002E38AE" w:rsidRDefault="002E38AE" w:rsidP="002E38AE">
      <w:pPr>
        <w:pStyle w:val="Heading3"/>
      </w:pPr>
      <w:r>
        <w:t>IIoT</w:t>
      </w:r>
    </w:p>
    <w:p w14:paraId="26A9C91D" w14:textId="31AE4A3A" w:rsidR="00DC763F" w:rsidRDefault="00DC763F" w:rsidP="000347A0">
      <w:pPr>
        <w:rPr>
          <w:lang w:eastAsia="en-GB"/>
        </w:rPr>
      </w:pPr>
      <w:r>
        <w:rPr>
          <w:lang w:eastAsia="en-GB"/>
        </w:rPr>
        <w:t xml:space="preserve">Evaluation methodology </w:t>
      </w:r>
      <w:r w:rsidR="000347A0">
        <w:rPr>
          <w:lang w:eastAsia="en-GB"/>
        </w:rPr>
        <w:t xml:space="preserve">for factory scenarios is described in TR 38.901 </w:t>
      </w:r>
      <w:r w:rsidR="000347A0">
        <w:rPr>
          <w:lang w:eastAsia="en-GB"/>
        </w:rPr>
        <w:fldChar w:fldCharType="begin"/>
      </w:r>
      <w:r w:rsidR="000347A0">
        <w:rPr>
          <w:lang w:eastAsia="en-GB"/>
        </w:rPr>
        <w:instrText xml:space="preserve"> REF _Ref102161548 \r \h </w:instrText>
      </w:r>
      <w:r w:rsidR="000347A0">
        <w:rPr>
          <w:lang w:eastAsia="en-GB"/>
        </w:rPr>
      </w:r>
      <w:r w:rsidR="000347A0">
        <w:rPr>
          <w:lang w:eastAsia="en-GB"/>
        </w:rPr>
        <w:fldChar w:fldCharType="separate"/>
      </w:r>
      <w:r w:rsidR="0054087A">
        <w:rPr>
          <w:lang w:eastAsia="en-GB"/>
        </w:rPr>
        <w:t>[6]</w:t>
      </w:r>
      <w:r w:rsidR="000347A0">
        <w:rPr>
          <w:lang w:eastAsia="en-GB"/>
        </w:rPr>
        <w:fldChar w:fldCharType="end"/>
      </w:r>
      <w:r w:rsidR="000347A0">
        <w:rPr>
          <w:lang w:eastAsia="en-GB"/>
        </w:rPr>
        <w:t xml:space="preserve">. This TR, however, does not consider sidelink; some additional work on sidelink aspects, </w:t>
      </w:r>
      <w:proofErr w:type="gramStart"/>
      <w:r w:rsidR="000347A0">
        <w:rPr>
          <w:lang w:eastAsia="en-GB"/>
        </w:rPr>
        <w:t>e.g.</w:t>
      </w:r>
      <w:proofErr w:type="gramEnd"/>
      <w:r w:rsidR="000347A0">
        <w:rPr>
          <w:lang w:eastAsia="en-GB"/>
        </w:rPr>
        <w:t xml:space="preserve"> sidelink channel models, will therefore be required. For the InF (Indoor Factory) scenario, TR</w:t>
      </w:r>
      <w:r w:rsidR="00D82323">
        <w:rPr>
          <w:lang w:eastAsia="en-GB"/>
        </w:rPr>
        <w:t xml:space="preserve"> 38.901</w:t>
      </w:r>
      <w:r w:rsidR="000347A0">
        <w:rPr>
          <w:lang w:eastAsia="en-GB"/>
        </w:rPr>
        <w:t xml:space="preserve"> considers both high BS (base station antenna above the factory clutter) and low BS (base station antenna below average clutter height). The latter may be a suitable starting point for InF sidelink evaluation. TR 38.901 defines the two </w:t>
      </w:r>
      <w:r w:rsidR="00D82323">
        <w:rPr>
          <w:lang w:eastAsia="en-GB"/>
        </w:rPr>
        <w:t xml:space="preserve">low-BS </w:t>
      </w:r>
      <w:r w:rsidR="000347A0">
        <w:rPr>
          <w:lang w:eastAsia="en-GB"/>
        </w:rPr>
        <w:t xml:space="preserve">sub-scenarios </w:t>
      </w:r>
      <w:r w:rsidR="00D82323">
        <w:rPr>
          <w:lang w:eastAsia="en-GB"/>
        </w:rPr>
        <w:t xml:space="preserve">of </w:t>
      </w:r>
      <w:r w:rsidR="000347A0">
        <w:rPr>
          <w:lang w:eastAsia="en-GB"/>
        </w:rPr>
        <w:t>InF-SL (sparse clutter, low BS) and InF-DL (dense clutter, low BS).</w:t>
      </w:r>
      <w:r w:rsidR="000A02B6">
        <w:rPr>
          <w:lang w:eastAsia="en-GB"/>
        </w:rPr>
        <w:t xml:space="preserve"> Additional details for InF scenarios can be found </w:t>
      </w:r>
      <w:bookmarkStart w:id="8" w:name="_Hlk102163215"/>
      <w:r w:rsidR="000A02B6">
        <w:rPr>
          <w:lang w:eastAsia="en-GB"/>
        </w:rPr>
        <w:t xml:space="preserve">in clause 6.1 of TR 38.857 </w:t>
      </w:r>
      <w:bookmarkEnd w:id="8"/>
      <w:r w:rsidR="000A02B6">
        <w:rPr>
          <w:lang w:eastAsia="en-GB"/>
        </w:rPr>
        <w:fldChar w:fldCharType="begin"/>
      </w:r>
      <w:r w:rsidR="000A02B6">
        <w:rPr>
          <w:lang w:eastAsia="en-GB"/>
        </w:rPr>
        <w:instrText xml:space="preserve"> REF _Ref102161433 \r \h </w:instrText>
      </w:r>
      <w:r w:rsidR="000A02B6">
        <w:rPr>
          <w:lang w:eastAsia="en-GB"/>
        </w:rPr>
      </w:r>
      <w:r w:rsidR="000A02B6">
        <w:rPr>
          <w:lang w:eastAsia="en-GB"/>
        </w:rPr>
        <w:fldChar w:fldCharType="separate"/>
      </w:r>
      <w:r w:rsidR="0054087A">
        <w:rPr>
          <w:lang w:eastAsia="en-GB"/>
        </w:rPr>
        <w:t>[9]</w:t>
      </w:r>
      <w:r w:rsidR="000A02B6">
        <w:rPr>
          <w:lang w:eastAsia="en-GB"/>
        </w:rPr>
        <w:fldChar w:fldCharType="end"/>
      </w:r>
      <w:r w:rsidR="000A02B6">
        <w:rPr>
          <w:lang w:eastAsia="en-GB"/>
        </w:rPr>
        <w:t>.</w:t>
      </w:r>
    </w:p>
    <w:p w14:paraId="0F878A40" w14:textId="1F04455F" w:rsidR="000347A0" w:rsidRDefault="000347A0" w:rsidP="000347A0">
      <w:pPr>
        <w:rPr>
          <w:b/>
          <w:bCs/>
          <w:lang w:val="en-US"/>
        </w:rPr>
      </w:pPr>
      <w:bookmarkStart w:id="9" w:name="Proposal664"/>
      <w:bookmarkStart w:id="10" w:name="Proposal2171"/>
      <w:r w:rsidRPr="24AF282E">
        <w:rPr>
          <w:b/>
          <w:bCs/>
          <w:lang w:val="en-US"/>
        </w:rPr>
        <w:lastRenderedPageBreak/>
        <w:t xml:space="preserve">Proposal </w:t>
      </w:r>
      <w:r w:rsidRPr="24AF282E">
        <w:rPr>
          <w:b/>
          <w:bCs/>
          <w:color w:val="2B579A"/>
        </w:rPr>
        <w:fldChar w:fldCharType="begin"/>
      </w:r>
      <w:r w:rsidRPr="24AF282E">
        <w:rPr>
          <w:b/>
          <w:bCs/>
          <w:lang w:val="en-US"/>
        </w:rPr>
        <w:instrText xml:space="preserve"> SEQ Proposal \* Arabic </w:instrText>
      </w:r>
      <w:r w:rsidRPr="24AF282E">
        <w:rPr>
          <w:b/>
          <w:bCs/>
          <w:color w:val="2B579A"/>
        </w:rPr>
        <w:fldChar w:fldCharType="separate"/>
      </w:r>
      <w:r w:rsidR="0054087A">
        <w:rPr>
          <w:b/>
          <w:bCs/>
          <w:noProof/>
          <w:lang w:val="en-US"/>
        </w:rPr>
        <w:t>4</w:t>
      </w:r>
      <w:r w:rsidRPr="24AF282E">
        <w:rPr>
          <w:b/>
          <w:bCs/>
          <w:color w:val="2B579A"/>
        </w:rPr>
        <w:fldChar w:fldCharType="end"/>
      </w:r>
      <w:r w:rsidRPr="24AF282E">
        <w:rPr>
          <w:b/>
          <w:bCs/>
          <w:lang w:val="en-US"/>
        </w:rPr>
        <w:t xml:space="preserve">: </w:t>
      </w:r>
      <w:r>
        <w:rPr>
          <w:b/>
          <w:bCs/>
          <w:lang w:val="en-US"/>
        </w:rPr>
        <w:t>For the IIoT indoor factory use cases, reuse the evaluation methodology for InF-SL an</w:t>
      </w:r>
      <w:r w:rsidR="000A02B6">
        <w:rPr>
          <w:b/>
          <w:bCs/>
          <w:lang w:val="en-US"/>
        </w:rPr>
        <w:t>d</w:t>
      </w:r>
      <w:r>
        <w:rPr>
          <w:b/>
          <w:bCs/>
          <w:lang w:val="en-US"/>
        </w:rPr>
        <w:t xml:space="preserve"> InF-DL of TR 38.901</w:t>
      </w:r>
      <w:r w:rsidR="000A02B6">
        <w:rPr>
          <w:b/>
          <w:bCs/>
          <w:lang w:val="en-US"/>
        </w:rPr>
        <w:t xml:space="preserve"> and </w:t>
      </w:r>
      <w:r w:rsidR="000A02B6" w:rsidRPr="000A02B6">
        <w:rPr>
          <w:b/>
          <w:bCs/>
          <w:lang w:val="en-US"/>
        </w:rPr>
        <w:t>in clause 6.1 of TR 38.857</w:t>
      </w:r>
      <w:r w:rsidR="000A02B6">
        <w:rPr>
          <w:b/>
          <w:bCs/>
          <w:lang w:val="en-US"/>
        </w:rPr>
        <w:t>.</w:t>
      </w:r>
    </w:p>
    <w:bookmarkEnd w:id="9"/>
    <w:bookmarkEnd w:id="10"/>
    <w:p w14:paraId="131DE9CE" w14:textId="77777777" w:rsidR="000347A0" w:rsidRPr="00DC763F" w:rsidRDefault="000347A0" w:rsidP="000347A0">
      <w:pPr>
        <w:rPr>
          <w:lang w:eastAsia="en-GB"/>
        </w:rPr>
      </w:pPr>
    </w:p>
    <w:p w14:paraId="3BDAD3F5" w14:textId="31843C64" w:rsidR="002E38AE" w:rsidRDefault="002E38AE" w:rsidP="002E38AE">
      <w:pPr>
        <w:pStyle w:val="Heading2"/>
      </w:pPr>
      <w:r>
        <w:t>Performance Metrics</w:t>
      </w:r>
    </w:p>
    <w:p w14:paraId="390D9162" w14:textId="1032A1BC" w:rsidR="00DC763F" w:rsidRDefault="00DC763F" w:rsidP="00DC763F">
      <w:pPr>
        <w:rPr>
          <w:lang w:eastAsia="en-GB"/>
        </w:rPr>
      </w:pPr>
      <w:r>
        <w:rPr>
          <w:lang w:eastAsia="en-GB"/>
        </w:rPr>
        <w:t xml:space="preserve">Performance metrics for positioning are discussed in TR 38.855 </w:t>
      </w:r>
      <w:r>
        <w:rPr>
          <w:lang w:eastAsia="en-GB"/>
        </w:rPr>
        <w:fldChar w:fldCharType="begin"/>
      </w:r>
      <w:r>
        <w:rPr>
          <w:lang w:eastAsia="en-GB"/>
        </w:rPr>
        <w:instrText xml:space="preserve"> REF _Ref102161422 \r \h </w:instrText>
      </w:r>
      <w:r>
        <w:rPr>
          <w:lang w:eastAsia="en-GB"/>
        </w:rPr>
      </w:r>
      <w:r>
        <w:rPr>
          <w:lang w:eastAsia="en-GB"/>
        </w:rPr>
        <w:fldChar w:fldCharType="separate"/>
      </w:r>
      <w:r w:rsidR="0054087A">
        <w:rPr>
          <w:lang w:eastAsia="en-GB"/>
        </w:rPr>
        <w:t>[8]</w:t>
      </w:r>
      <w:r>
        <w:rPr>
          <w:lang w:eastAsia="en-GB"/>
        </w:rPr>
        <w:fldChar w:fldCharType="end"/>
      </w:r>
      <w:r>
        <w:rPr>
          <w:lang w:eastAsia="en-GB"/>
        </w:rPr>
        <w:t xml:space="preserve"> and TR 38.857 </w:t>
      </w:r>
      <w:r>
        <w:rPr>
          <w:lang w:eastAsia="en-GB"/>
        </w:rPr>
        <w:fldChar w:fldCharType="begin"/>
      </w:r>
      <w:r>
        <w:rPr>
          <w:lang w:eastAsia="en-GB"/>
        </w:rPr>
        <w:instrText xml:space="preserve"> REF _Ref102161433 \r \h </w:instrText>
      </w:r>
      <w:r>
        <w:rPr>
          <w:lang w:eastAsia="en-GB"/>
        </w:rPr>
      </w:r>
      <w:r>
        <w:rPr>
          <w:lang w:eastAsia="en-GB"/>
        </w:rPr>
        <w:fldChar w:fldCharType="separate"/>
      </w:r>
      <w:r w:rsidR="0054087A">
        <w:rPr>
          <w:lang w:eastAsia="en-GB"/>
        </w:rPr>
        <w:t>[9]</w:t>
      </w:r>
      <w:r>
        <w:rPr>
          <w:lang w:eastAsia="en-GB"/>
        </w:rPr>
        <w:fldChar w:fldCharType="end"/>
      </w:r>
      <w:r>
        <w:rPr>
          <w:lang w:eastAsia="en-GB"/>
        </w:rPr>
        <w:t xml:space="preserve">. </w:t>
      </w:r>
      <w:r w:rsidR="00D82323">
        <w:rPr>
          <w:lang w:eastAsia="en-GB"/>
        </w:rPr>
        <w:t>Metrics such as horizontal and vertical position accuracy are relevant for sidelink positioning. For V2X use cases, horizontal position accuracy can be separately considered for lateral and longitudinal position accuracy. Vertical accuracy is particularly relevant for public safety, where floor level accuracy is required.</w:t>
      </w:r>
    </w:p>
    <w:p w14:paraId="0009CE7E" w14:textId="7CFB045C" w:rsidR="00D82323" w:rsidRPr="00DC763F" w:rsidRDefault="00D82323" w:rsidP="00DC763F">
      <w:pPr>
        <w:rPr>
          <w:lang w:eastAsia="en-GB"/>
        </w:rPr>
      </w:pPr>
      <w:r>
        <w:rPr>
          <w:lang w:eastAsia="en-GB"/>
        </w:rPr>
        <w:t>For ranging, distance accuracy and direction accuracy have to be considered.</w:t>
      </w:r>
    </w:p>
    <w:p w14:paraId="39C70A0E" w14:textId="45940F0F" w:rsidR="003B0387" w:rsidRDefault="00CF3364" w:rsidP="003B0387">
      <w:pPr>
        <w:rPr>
          <w:b/>
          <w:bCs/>
          <w:lang w:val="en-US"/>
        </w:rPr>
      </w:pPr>
      <w:bookmarkStart w:id="11" w:name="Proposal665"/>
      <w:bookmarkStart w:id="12" w:name="Proposal2172"/>
      <w:r w:rsidRPr="24AF282E">
        <w:rPr>
          <w:b/>
          <w:bCs/>
          <w:lang w:val="en-US"/>
        </w:rPr>
        <w:t xml:space="preserve">Proposal </w:t>
      </w:r>
      <w:r w:rsidRPr="24AF282E">
        <w:rPr>
          <w:b/>
          <w:bCs/>
          <w:color w:val="2B579A"/>
        </w:rPr>
        <w:fldChar w:fldCharType="begin"/>
      </w:r>
      <w:r w:rsidRPr="24AF282E">
        <w:rPr>
          <w:b/>
          <w:bCs/>
          <w:lang w:val="en-US"/>
        </w:rPr>
        <w:instrText xml:space="preserve"> SEQ Proposal \* Arabic </w:instrText>
      </w:r>
      <w:r w:rsidRPr="24AF282E">
        <w:rPr>
          <w:b/>
          <w:bCs/>
          <w:color w:val="2B579A"/>
        </w:rPr>
        <w:fldChar w:fldCharType="separate"/>
      </w:r>
      <w:r w:rsidR="0054087A">
        <w:rPr>
          <w:b/>
          <w:bCs/>
          <w:noProof/>
          <w:lang w:val="en-US"/>
        </w:rPr>
        <w:t>5</w:t>
      </w:r>
      <w:r w:rsidRPr="24AF282E">
        <w:rPr>
          <w:b/>
          <w:bCs/>
          <w:color w:val="2B579A"/>
        </w:rPr>
        <w:fldChar w:fldCharType="end"/>
      </w:r>
      <w:r w:rsidRPr="24AF282E">
        <w:rPr>
          <w:b/>
          <w:bCs/>
          <w:lang w:val="en-US"/>
        </w:rPr>
        <w:t xml:space="preserve">: </w:t>
      </w:r>
      <w:r w:rsidR="003D1F7D">
        <w:rPr>
          <w:b/>
          <w:bCs/>
          <w:lang w:val="en-US"/>
        </w:rPr>
        <w:t>Use performance metrics of horizontal and vertical position accuracy for absolute positioning and of distance accuracy and direction accuracy for ranging.</w:t>
      </w:r>
    </w:p>
    <w:bookmarkEnd w:id="11"/>
    <w:bookmarkEnd w:id="12"/>
    <w:p w14:paraId="2FDE95C0" w14:textId="77777777" w:rsidR="003D1F7D" w:rsidRPr="003B0387" w:rsidRDefault="003D1F7D" w:rsidP="003B0387">
      <w:pPr>
        <w:rPr>
          <w:lang w:eastAsia="en-GB"/>
        </w:rPr>
      </w:pPr>
    </w:p>
    <w:p w14:paraId="524C0829" w14:textId="1397F15E" w:rsidR="00C05BCE" w:rsidRDefault="000D2D9E" w:rsidP="00C05BCE">
      <w:pPr>
        <w:pStyle w:val="Heading1"/>
        <w:spacing w:line="240" w:lineRule="auto"/>
        <w:ind w:left="357" w:hanging="357"/>
        <w:jc w:val="left"/>
        <w:rPr>
          <w:lang w:val="en-US" w:eastAsia="zh-CN"/>
        </w:rPr>
      </w:pPr>
      <w:r w:rsidRPr="00305576">
        <w:rPr>
          <w:lang w:val="en-US" w:eastAsia="zh-CN"/>
        </w:rPr>
        <w:t>Conclusions</w:t>
      </w:r>
    </w:p>
    <w:p w14:paraId="11CF180B" w14:textId="5E32096B" w:rsidR="005D3709" w:rsidRDefault="008A208F" w:rsidP="005D3709">
      <w:pPr>
        <w:rPr>
          <w:lang w:val="en-US" w:eastAsia="zh-CN"/>
        </w:rPr>
      </w:pPr>
      <w:bookmarkStart w:id="13" w:name="ConclusionsPObsInSeq"/>
      <w:r>
        <w:rPr>
          <w:lang w:val="en-US" w:eastAsia="zh-CN"/>
        </w:rPr>
        <w:t xml:space="preserve">In this contribution we discussed </w:t>
      </w:r>
      <w:r w:rsidRPr="008A208F">
        <w:rPr>
          <w:lang w:val="en-US" w:eastAsia="zh-CN"/>
        </w:rPr>
        <w:t>evaluation methodology for SL positioning</w:t>
      </w:r>
      <w:r>
        <w:rPr>
          <w:lang w:val="en-US" w:eastAsia="zh-CN"/>
        </w:rPr>
        <w:t xml:space="preserve"> and made the following proposals:</w:t>
      </w:r>
    </w:p>
    <w:bookmarkEnd w:id="13"/>
    <w:p w14:paraId="2F6D7D42" w14:textId="77777777" w:rsidR="0054087A" w:rsidRDefault="008A208F" w:rsidP="00E85D01">
      <w:pPr>
        <w:rPr>
          <w:b/>
          <w:bCs/>
          <w:lang w:val="en-US"/>
        </w:rPr>
      </w:pPr>
      <w:r>
        <w:rPr>
          <w:lang w:val="en-US" w:eastAsia="zh-CN"/>
        </w:rPr>
        <w:fldChar w:fldCharType="begin"/>
      </w:r>
      <w:r>
        <w:rPr>
          <w:lang w:val="en-US" w:eastAsia="zh-CN"/>
        </w:rPr>
        <w:instrText xml:space="preserve"> REF Proposal2168 \h </w:instrText>
      </w:r>
      <w:r>
        <w:rPr>
          <w:lang w:val="en-US" w:eastAsia="zh-CN"/>
        </w:rPr>
      </w:r>
      <w:r>
        <w:rPr>
          <w:lang w:val="en-US" w:eastAsia="zh-CN"/>
        </w:rPr>
        <w:fldChar w:fldCharType="separate"/>
      </w:r>
      <w:r w:rsidR="0054087A" w:rsidRPr="24AF282E">
        <w:rPr>
          <w:b/>
          <w:bCs/>
          <w:lang w:val="en-US"/>
        </w:rPr>
        <w:t xml:space="preserve">Proposal </w:t>
      </w:r>
      <w:r w:rsidR="0054087A">
        <w:rPr>
          <w:b/>
          <w:bCs/>
          <w:noProof/>
          <w:lang w:val="en-US"/>
        </w:rPr>
        <w:t>1</w:t>
      </w:r>
      <w:r w:rsidR="0054087A" w:rsidRPr="24AF282E">
        <w:rPr>
          <w:b/>
          <w:bCs/>
          <w:lang w:val="en-US"/>
        </w:rPr>
        <w:t xml:space="preserve">: </w:t>
      </w:r>
      <w:r w:rsidR="0054087A">
        <w:rPr>
          <w:b/>
          <w:bCs/>
          <w:lang w:val="en-US"/>
        </w:rPr>
        <w:t>For the V2X use cases, reuse the evaluation methodology of TR 37.885. Both urban and highway scenarios shall be considered. Vehicular UEs, UE-type RSUs and pedestrian UEs/VRUs shall be considered.</w:t>
      </w:r>
    </w:p>
    <w:p w14:paraId="0BCC96B9" w14:textId="77777777" w:rsidR="0054087A" w:rsidRDefault="008A208F" w:rsidP="00D82323">
      <w:pPr>
        <w:rPr>
          <w:b/>
          <w:bCs/>
          <w:lang w:val="en-US"/>
        </w:rPr>
      </w:pPr>
      <w:r>
        <w:rPr>
          <w:lang w:val="en-US" w:eastAsia="zh-CN"/>
        </w:rPr>
        <w:fldChar w:fldCharType="end"/>
      </w:r>
      <w:r>
        <w:rPr>
          <w:lang w:val="en-US" w:eastAsia="zh-CN"/>
        </w:rPr>
        <w:fldChar w:fldCharType="begin"/>
      </w:r>
      <w:r>
        <w:rPr>
          <w:lang w:val="en-US" w:eastAsia="zh-CN"/>
        </w:rPr>
        <w:instrText xml:space="preserve"> REF Proposal2169 \h </w:instrText>
      </w:r>
      <w:r>
        <w:rPr>
          <w:lang w:val="en-US" w:eastAsia="zh-CN"/>
        </w:rPr>
      </w:r>
      <w:r>
        <w:rPr>
          <w:lang w:val="en-US" w:eastAsia="zh-CN"/>
        </w:rPr>
        <w:fldChar w:fldCharType="separate"/>
      </w:r>
      <w:r w:rsidR="0054087A" w:rsidRPr="24AF282E">
        <w:rPr>
          <w:b/>
          <w:bCs/>
          <w:lang w:val="en-US"/>
        </w:rPr>
        <w:t xml:space="preserve">Proposal </w:t>
      </w:r>
      <w:r w:rsidR="0054087A">
        <w:rPr>
          <w:b/>
          <w:bCs/>
          <w:noProof/>
          <w:lang w:val="en-US"/>
        </w:rPr>
        <w:t>2</w:t>
      </w:r>
      <w:r w:rsidR="0054087A" w:rsidRPr="24AF282E">
        <w:rPr>
          <w:b/>
          <w:bCs/>
          <w:lang w:val="en-US"/>
        </w:rPr>
        <w:t xml:space="preserve">: </w:t>
      </w:r>
      <w:r w:rsidR="0054087A">
        <w:rPr>
          <w:b/>
          <w:bCs/>
          <w:lang w:val="en-US"/>
        </w:rPr>
        <w:t>For the V2X use cases, consider simulation bandwidths of 10, 20 and 40 MHz in FR1 ITS spectrum (band n47).</w:t>
      </w:r>
    </w:p>
    <w:p w14:paraId="5F77B587" w14:textId="77777777" w:rsidR="0054087A" w:rsidRDefault="008A208F" w:rsidP="00D82323">
      <w:pPr>
        <w:rPr>
          <w:b/>
          <w:bCs/>
          <w:lang w:val="en-US"/>
        </w:rPr>
      </w:pPr>
      <w:r>
        <w:rPr>
          <w:lang w:val="en-US" w:eastAsia="zh-CN"/>
        </w:rPr>
        <w:fldChar w:fldCharType="end"/>
      </w:r>
      <w:r>
        <w:rPr>
          <w:lang w:val="en-US" w:eastAsia="zh-CN"/>
        </w:rPr>
        <w:fldChar w:fldCharType="begin"/>
      </w:r>
      <w:r>
        <w:rPr>
          <w:lang w:val="en-US" w:eastAsia="zh-CN"/>
        </w:rPr>
        <w:instrText xml:space="preserve"> REF Proposal2170 \h </w:instrText>
      </w:r>
      <w:r>
        <w:rPr>
          <w:lang w:val="en-US" w:eastAsia="zh-CN"/>
        </w:rPr>
      </w:r>
      <w:r>
        <w:rPr>
          <w:lang w:val="en-US" w:eastAsia="zh-CN"/>
        </w:rPr>
        <w:fldChar w:fldCharType="separate"/>
      </w:r>
      <w:r w:rsidR="0054087A" w:rsidRPr="24AF282E">
        <w:rPr>
          <w:b/>
          <w:bCs/>
          <w:lang w:val="en-US"/>
        </w:rPr>
        <w:t xml:space="preserve">Proposal </w:t>
      </w:r>
      <w:r w:rsidR="0054087A">
        <w:rPr>
          <w:b/>
          <w:bCs/>
          <w:noProof/>
          <w:lang w:val="en-US"/>
        </w:rPr>
        <w:t>3</w:t>
      </w:r>
      <w:r w:rsidR="0054087A" w:rsidRPr="24AF282E">
        <w:rPr>
          <w:b/>
          <w:bCs/>
          <w:lang w:val="en-US"/>
        </w:rPr>
        <w:t xml:space="preserve">: </w:t>
      </w:r>
      <w:r w:rsidR="0054087A">
        <w:rPr>
          <w:b/>
          <w:bCs/>
          <w:lang w:val="en-US"/>
        </w:rPr>
        <w:t xml:space="preserve">For the public safety use cases, reuse the evaluation methodology of TR 36.843. </w:t>
      </w:r>
    </w:p>
    <w:p w14:paraId="4714080F" w14:textId="77777777" w:rsidR="0054087A" w:rsidRDefault="008A208F" w:rsidP="000347A0">
      <w:pPr>
        <w:rPr>
          <w:b/>
          <w:bCs/>
          <w:lang w:val="en-US"/>
        </w:rPr>
      </w:pPr>
      <w:r>
        <w:rPr>
          <w:lang w:val="en-US" w:eastAsia="zh-CN"/>
        </w:rPr>
        <w:fldChar w:fldCharType="end"/>
      </w:r>
      <w:r>
        <w:rPr>
          <w:lang w:val="en-US" w:eastAsia="zh-CN"/>
        </w:rPr>
        <w:fldChar w:fldCharType="begin"/>
      </w:r>
      <w:r>
        <w:rPr>
          <w:lang w:val="en-US" w:eastAsia="zh-CN"/>
        </w:rPr>
        <w:instrText xml:space="preserve"> REF Proposal2171 \h </w:instrText>
      </w:r>
      <w:r>
        <w:rPr>
          <w:lang w:val="en-US" w:eastAsia="zh-CN"/>
        </w:rPr>
      </w:r>
      <w:r>
        <w:rPr>
          <w:lang w:val="en-US" w:eastAsia="zh-CN"/>
        </w:rPr>
        <w:fldChar w:fldCharType="separate"/>
      </w:r>
      <w:r w:rsidR="0054087A" w:rsidRPr="24AF282E">
        <w:rPr>
          <w:b/>
          <w:bCs/>
          <w:lang w:val="en-US"/>
        </w:rPr>
        <w:t xml:space="preserve">Proposal </w:t>
      </w:r>
      <w:r w:rsidR="0054087A">
        <w:rPr>
          <w:b/>
          <w:bCs/>
          <w:noProof/>
          <w:lang w:val="en-US"/>
        </w:rPr>
        <w:t>4</w:t>
      </w:r>
      <w:r w:rsidR="0054087A" w:rsidRPr="24AF282E">
        <w:rPr>
          <w:b/>
          <w:bCs/>
          <w:lang w:val="en-US"/>
        </w:rPr>
        <w:t xml:space="preserve">: </w:t>
      </w:r>
      <w:r w:rsidR="0054087A">
        <w:rPr>
          <w:b/>
          <w:bCs/>
          <w:lang w:val="en-US"/>
        </w:rPr>
        <w:t xml:space="preserve">For the IIoT indoor factory use cases, reuse the evaluation methodology for InF-SL and InF-DL of TR 38.901 and </w:t>
      </w:r>
      <w:r w:rsidR="0054087A" w:rsidRPr="000A02B6">
        <w:rPr>
          <w:b/>
          <w:bCs/>
          <w:lang w:val="en-US"/>
        </w:rPr>
        <w:t>in clause 6.1 of TR 38.857</w:t>
      </w:r>
      <w:r w:rsidR="0054087A">
        <w:rPr>
          <w:b/>
          <w:bCs/>
          <w:lang w:val="en-US"/>
        </w:rPr>
        <w:t>.</w:t>
      </w:r>
    </w:p>
    <w:p w14:paraId="06129447" w14:textId="77777777" w:rsidR="0054087A" w:rsidRDefault="008A208F" w:rsidP="003B0387">
      <w:pPr>
        <w:rPr>
          <w:b/>
          <w:bCs/>
          <w:lang w:val="en-US"/>
        </w:rPr>
      </w:pPr>
      <w:r>
        <w:rPr>
          <w:lang w:val="en-US" w:eastAsia="zh-CN"/>
        </w:rPr>
        <w:fldChar w:fldCharType="end"/>
      </w:r>
      <w:r>
        <w:rPr>
          <w:lang w:val="en-US" w:eastAsia="zh-CN"/>
        </w:rPr>
        <w:fldChar w:fldCharType="begin"/>
      </w:r>
      <w:r>
        <w:rPr>
          <w:lang w:val="en-US" w:eastAsia="zh-CN"/>
        </w:rPr>
        <w:instrText xml:space="preserve"> REF Proposal2172 \h </w:instrText>
      </w:r>
      <w:r>
        <w:rPr>
          <w:lang w:val="en-US" w:eastAsia="zh-CN"/>
        </w:rPr>
      </w:r>
      <w:r>
        <w:rPr>
          <w:lang w:val="en-US" w:eastAsia="zh-CN"/>
        </w:rPr>
        <w:fldChar w:fldCharType="separate"/>
      </w:r>
      <w:r w:rsidR="0054087A" w:rsidRPr="24AF282E">
        <w:rPr>
          <w:b/>
          <w:bCs/>
          <w:lang w:val="en-US"/>
        </w:rPr>
        <w:t xml:space="preserve">Proposal </w:t>
      </w:r>
      <w:r w:rsidR="0054087A">
        <w:rPr>
          <w:b/>
          <w:bCs/>
          <w:noProof/>
          <w:lang w:val="en-US"/>
        </w:rPr>
        <w:t>5</w:t>
      </w:r>
      <w:r w:rsidR="0054087A" w:rsidRPr="24AF282E">
        <w:rPr>
          <w:b/>
          <w:bCs/>
          <w:lang w:val="en-US"/>
        </w:rPr>
        <w:t xml:space="preserve">: </w:t>
      </w:r>
      <w:r w:rsidR="0054087A">
        <w:rPr>
          <w:b/>
          <w:bCs/>
          <w:lang w:val="en-US"/>
        </w:rPr>
        <w:t>Use performance metrics of horizontal and vertical position accuracy for absolute positioning and of distance accuracy and direction accuracy for ranging.</w:t>
      </w:r>
    </w:p>
    <w:p w14:paraId="40A041B6" w14:textId="18D8F10F" w:rsidR="008A208F" w:rsidRPr="005D3709" w:rsidRDefault="008A208F" w:rsidP="005D3709">
      <w:pPr>
        <w:rPr>
          <w:lang w:val="en-US" w:eastAsia="zh-CN"/>
        </w:rPr>
      </w:pPr>
      <w:r>
        <w:rPr>
          <w:lang w:val="en-US" w:eastAsia="zh-CN"/>
        </w:rPr>
        <w:fldChar w:fldCharType="end"/>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10B0B0AF" w:rsidR="0031188F" w:rsidRDefault="00321F5A" w:rsidP="009C2E10">
      <w:pPr>
        <w:pStyle w:val="ListParagraph"/>
        <w:numPr>
          <w:ilvl w:val="0"/>
          <w:numId w:val="2"/>
        </w:numPr>
        <w:spacing w:after="160"/>
        <w:rPr>
          <w:rFonts w:asciiTheme="minorHAnsi" w:eastAsiaTheme="minorHAnsi" w:hAnsiTheme="minorHAnsi"/>
          <w:lang w:val="en-US"/>
        </w:rPr>
      </w:pPr>
      <w:bookmarkStart w:id="14" w:name="_Ref100321863"/>
      <w:bookmarkStart w:id="15" w:name="_Hlk100323170"/>
      <w:r w:rsidRPr="00321F5A">
        <w:rPr>
          <w:rFonts w:asciiTheme="minorHAnsi" w:eastAsiaTheme="minorHAnsi" w:hAnsiTheme="minorHAnsi"/>
          <w:lang w:val="en-US"/>
        </w:rPr>
        <w:t>RP-213588</w:t>
      </w:r>
      <w:r w:rsidR="0031188F" w:rsidRPr="00305576">
        <w:rPr>
          <w:rFonts w:asciiTheme="minorHAnsi" w:eastAsiaTheme="minorHAnsi" w:hAnsiTheme="minorHAnsi"/>
          <w:lang w:val="en-US"/>
        </w:rPr>
        <w:t>, “</w:t>
      </w:r>
      <w:r w:rsidRPr="00321F5A">
        <w:rPr>
          <w:rFonts w:asciiTheme="minorHAnsi" w:eastAsiaTheme="minorHAnsi" w:hAnsiTheme="minorHAnsi"/>
          <w:lang w:val="en-US"/>
        </w:rPr>
        <w:t>Study on expanded and improved NR positioning</w:t>
      </w:r>
      <w:r w:rsidR="0031188F" w:rsidRPr="00305576">
        <w:rPr>
          <w:rFonts w:asciiTheme="minorHAnsi" w:eastAsiaTheme="minorHAnsi" w:hAnsiTheme="minorHAnsi"/>
          <w:lang w:val="en-US"/>
        </w:rPr>
        <w:t>”</w:t>
      </w:r>
      <w:bookmarkEnd w:id="14"/>
    </w:p>
    <w:p w14:paraId="6576E48A" w14:textId="3CC79622" w:rsidR="004B77D9" w:rsidRPr="002E38AE" w:rsidRDefault="004B77D9" w:rsidP="004B77D9">
      <w:pPr>
        <w:pStyle w:val="ListParagraph"/>
        <w:numPr>
          <w:ilvl w:val="0"/>
          <w:numId w:val="2"/>
        </w:numPr>
        <w:spacing w:after="160"/>
        <w:rPr>
          <w:rFonts w:asciiTheme="minorHAnsi" w:eastAsiaTheme="minorHAnsi" w:hAnsiTheme="minorHAnsi"/>
          <w:lang w:val="en-US"/>
        </w:rPr>
      </w:pPr>
      <w:bookmarkStart w:id="16" w:name="_Ref102159082"/>
      <w:r w:rsidRPr="004B77D9">
        <w:rPr>
          <w:rFonts w:asciiTheme="minorHAnsi" w:eastAsiaTheme="minorHAnsi" w:hAnsiTheme="minorHAnsi"/>
          <w:lang w:val="en-US"/>
        </w:rPr>
        <w:t>3GPP TR 37.885: "Study on evaluation methodology of new Vehicle-to-Everything (V2X) use</w:t>
      </w:r>
      <w:r>
        <w:rPr>
          <w:rFonts w:asciiTheme="minorHAnsi" w:eastAsiaTheme="minorHAnsi" w:hAnsiTheme="minorHAnsi"/>
          <w:lang w:val="en-US"/>
        </w:rPr>
        <w:t xml:space="preserve"> </w:t>
      </w:r>
      <w:r w:rsidRPr="004B77D9">
        <w:rPr>
          <w:rFonts w:eastAsiaTheme="minorHAnsi"/>
          <w:lang w:val="en-US"/>
        </w:rPr>
        <w:t>cases for LTE and NR"</w:t>
      </w:r>
      <w:bookmarkEnd w:id="16"/>
    </w:p>
    <w:p w14:paraId="16054F3C" w14:textId="6FC1EE7F" w:rsidR="002E38AE" w:rsidRPr="004B77D9" w:rsidRDefault="002E38AE" w:rsidP="002E38AE">
      <w:pPr>
        <w:pStyle w:val="ListParagraph"/>
        <w:numPr>
          <w:ilvl w:val="0"/>
          <w:numId w:val="2"/>
        </w:numPr>
        <w:spacing w:after="160"/>
        <w:rPr>
          <w:rFonts w:asciiTheme="minorHAnsi" w:eastAsiaTheme="minorHAnsi" w:hAnsiTheme="minorHAnsi"/>
          <w:lang w:val="en-US"/>
        </w:rPr>
      </w:pPr>
      <w:bookmarkStart w:id="17" w:name="_Ref102159546"/>
      <w:r w:rsidRPr="004B77D9">
        <w:rPr>
          <w:rFonts w:asciiTheme="minorHAnsi" w:eastAsiaTheme="minorHAnsi" w:hAnsiTheme="minorHAnsi"/>
          <w:lang w:val="en-US"/>
        </w:rPr>
        <w:t>3GPP TR 3</w:t>
      </w:r>
      <w:r>
        <w:rPr>
          <w:rFonts w:asciiTheme="minorHAnsi" w:eastAsiaTheme="minorHAnsi" w:hAnsiTheme="minorHAnsi"/>
          <w:lang w:val="en-US"/>
        </w:rPr>
        <w:t>6</w:t>
      </w:r>
      <w:r w:rsidRPr="004B77D9">
        <w:rPr>
          <w:rFonts w:asciiTheme="minorHAnsi" w:eastAsiaTheme="minorHAnsi" w:hAnsiTheme="minorHAnsi"/>
          <w:lang w:val="en-US"/>
        </w:rPr>
        <w:t>.885: "</w:t>
      </w:r>
      <w:r w:rsidRPr="002E38AE">
        <w:rPr>
          <w:rFonts w:asciiTheme="minorHAnsi" w:eastAsiaTheme="minorHAnsi" w:hAnsiTheme="minorHAnsi"/>
          <w:lang w:val="en-US"/>
        </w:rPr>
        <w:t>Study on LTE-based V2X Services</w:t>
      </w:r>
      <w:r w:rsidRPr="004B77D9">
        <w:rPr>
          <w:rFonts w:eastAsiaTheme="minorHAnsi"/>
          <w:lang w:val="en-US"/>
        </w:rPr>
        <w:t>"</w:t>
      </w:r>
      <w:bookmarkEnd w:id="17"/>
    </w:p>
    <w:p w14:paraId="4FD75C7C" w14:textId="5292B2D5" w:rsidR="002E38AE" w:rsidRPr="004B77D9" w:rsidRDefault="00E85D01" w:rsidP="004B77D9">
      <w:pPr>
        <w:pStyle w:val="ListParagraph"/>
        <w:numPr>
          <w:ilvl w:val="0"/>
          <w:numId w:val="2"/>
        </w:numPr>
        <w:spacing w:after="160"/>
        <w:rPr>
          <w:rFonts w:asciiTheme="minorHAnsi" w:eastAsiaTheme="minorHAnsi" w:hAnsiTheme="minorHAnsi"/>
          <w:lang w:val="en-US"/>
        </w:rPr>
      </w:pPr>
      <w:bookmarkStart w:id="18" w:name="_Ref102159743"/>
      <w:r>
        <w:rPr>
          <w:rFonts w:asciiTheme="minorHAnsi" w:eastAsiaTheme="minorHAnsi" w:hAnsiTheme="minorHAnsi"/>
          <w:lang w:val="en-US"/>
        </w:rPr>
        <w:t xml:space="preserve">3GPP </w:t>
      </w:r>
      <w:r w:rsidRPr="00E85D01">
        <w:rPr>
          <w:rFonts w:asciiTheme="minorHAnsi" w:eastAsiaTheme="minorHAnsi" w:hAnsiTheme="minorHAnsi"/>
          <w:lang w:val="en-US"/>
        </w:rPr>
        <w:t>TR 36.843</w:t>
      </w:r>
      <w:r>
        <w:rPr>
          <w:rFonts w:asciiTheme="minorHAnsi" w:eastAsiaTheme="minorHAnsi" w:hAnsiTheme="minorHAnsi"/>
          <w:lang w:val="en-US"/>
        </w:rPr>
        <w:t>: “</w:t>
      </w:r>
      <w:r w:rsidRPr="00E85D01">
        <w:rPr>
          <w:rFonts w:asciiTheme="minorHAnsi" w:eastAsiaTheme="minorHAnsi" w:hAnsiTheme="minorHAnsi"/>
          <w:lang w:val="en-US"/>
        </w:rPr>
        <w:t>Study on LTE Device to Device Proximity Services;</w:t>
      </w:r>
      <w:r>
        <w:rPr>
          <w:rFonts w:asciiTheme="minorHAnsi" w:eastAsiaTheme="minorHAnsi" w:hAnsiTheme="minorHAnsi"/>
          <w:lang w:val="en-US"/>
        </w:rPr>
        <w:t xml:space="preserve"> Radio Aspects”</w:t>
      </w:r>
      <w:bookmarkEnd w:id="18"/>
    </w:p>
    <w:p w14:paraId="08CF4E05" w14:textId="55BC020F" w:rsidR="004B77D9" w:rsidRDefault="004B77D9" w:rsidP="004B77D9">
      <w:pPr>
        <w:pStyle w:val="ListParagraph"/>
        <w:numPr>
          <w:ilvl w:val="0"/>
          <w:numId w:val="2"/>
        </w:numPr>
        <w:spacing w:after="160"/>
        <w:rPr>
          <w:rFonts w:eastAsiaTheme="minorHAnsi"/>
          <w:lang w:val="en-US"/>
        </w:rPr>
      </w:pPr>
      <w:r>
        <w:rPr>
          <w:rFonts w:eastAsiaTheme="minorHAnsi"/>
          <w:lang w:val="en-US"/>
        </w:rPr>
        <w:lastRenderedPageBreak/>
        <w:t>3GPP TR 38.845: “</w:t>
      </w:r>
      <w:r w:rsidRPr="004B77D9">
        <w:rPr>
          <w:rFonts w:eastAsiaTheme="minorHAnsi"/>
          <w:lang w:val="en-US"/>
        </w:rPr>
        <w:t>Study on scenarios and requirements of in-coverage, partial</w:t>
      </w:r>
      <w:r>
        <w:rPr>
          <w:rFonts w:eastAsiaTheme="minorHAnsi"/>
          <w:lang w:val="en-US"/>
        </w:rPr>
        <w:t xml:space="preserve"> </w:t>
      </w:r>
      <w:r w:rsidRPr="004B77D9">
        <w:rPr>
          <w:rFonts w:eastAsiaTheme="minorHAnsi"/>
          <w:lang w:val="en-US"/>
        </w:rPr>
        <w:t>coverage, and out-of-coverage NR positioning use cases</w:t>
      </w:r>
      <w:r>
        <w:rPr>
          <w:rFonts w:eastAsiaTheme="minorHAnsi"/>
          <w:lang w:val="en-US"/>
        </w:rPr>
        <w:t>”</w:t>
      </w:r>
    </w:p>
    <w:p w14:paraId="28A7CD39" w14:textId="001B103D" w:rsidR="00F93927" w:rsidRDefault="00F93927" w:rsidP="004B77D9">
      <w:pPr>
        <w:pStyle w:val="ListParagraph"/>
        <w:numPr>
          <w:ilvl w:val="0"/>
          <w:numId w:val="2"/>
        </w:numPr>
        <w:spacing w:after="160"/>
        <w:rPr>
          <w:rFonts w:eastAsiaTheme="minorHAnsi"/>
          <w:lang w:val="en-US"/>
        </w:rPr>
      </w:pPr>
      <w:bookmarkStart w:id="19" w:name="_Ref102161548"/>
      <w:r w:rsidRPr="00F93927">
        <w:rPr>
          <w:rFonts w:eastAsiaTheme="minorHAnsi"/>
          <w:lang w:val="en-US"/>
        </w:rPr>
        <w:t>3GPP TR 38.901</w:t>
      </w:r>
      <w:r>
        <w:rPr>
          <w:rFonts w:eastAsiaTheme="minorHAnsi"/>
          <w:lang w:val="en-US"/>
        </w:rPr>
        <w:t>: “</w:t>
      </w:r>
      <w:r w:rsidRPr="00F93927">
        <w:rPr>
          <w:rFonts w:eastAsiaTheme="minorHAnsi"/>
          <w:lang w:val="en-US"/>
        </w:rPr>
        <w:t>Study on channel model for frequencies from 0.5 to 100 GHz</w:t>
      </w:r>
      <w:r>
        <w:rPr>
          <w:rFonts w:eastAsiaTheme="minorHAnsi"/>
          <w:lang w:val="en-US"/>
        </w:rPr>
        <w:t>”</w:t>
      </w:r>
      <w:bookmarkEnd w:id="19"/>
    </w:p>
    <w:p w14:paraId="294AA16B" w14:textId="7CD21FC4" w:rsidR="00041B96" w:rsidRDefault="00041B96" w:rsidP="004B77D9">
      <w:pPr>
        <w:pStyle w:val="ListParagraph"/>
        <w:numPr>
          <w:ilvl w:val="0"/>
          <w:numId w:val="2"/>
        </w:numPr>
        <w:spacing w:after="160"/>
        <w:rPr>
          <w:rFonts w:eastAsiaTheme="minorHAnsi"/>
          <w:lang w:val="en-US"/>
        </w:rPr>
      </w:pPr>
      <w:r>
        <w:rPr>
          <w:rFonts w:eastAsiaTheme="minorHAnsi"/>
          <w:lang w:val="en-US"/>
        </w:rPr>
        <w:t>3GPP TS 22.261: “</w:t>
      </w:r>
      <w:r w:rsidRPr="00041B96">
        <w:rPr>
          <w:rFonts w:eastAsiaTheme="minorHAnsi"/>
          <w:lang w:val="en-US"/>
        </w:rPr>
        <w:t>Service requirements for the 5G system;</w:t>
      </w:r>
      <w:r>
        <w:rPr>
          <w:rFonts w:eastAsiaTheme="minorHAnsi"/>
          <w:lang w:val="en-US"/>
        </w:rPr>
        <w:t xml:space="preserve"> Stage 1”</w:t>
      </w:r>
    </w:p>
    <w:p w14:paraId="2419ABD9" w14:textId="129906C1" w:rsidR="00DC763F" w:rsidRDefault="00DC763F" w:rsidP="004B77D9">
      <w:pPr>
        <w:pStyle w:val="ListParagraph"/>
        <w:numPr>
          <w:ilvl w:val="0"/>
          <w:numId w:val="2"/>
        </w:numPr>
        <w:spacing w:after="160"/>
        <w:rPr>
          <w:rFonts w:eastAsiaTheme="minorHAnsi"/>
          <w:lang w:val="en-US"/>
        </w:rPr>
      </w:pPr>
      <w:bookmarkStart w:id="20" w:name="_Ref102161422"/>
      <w:r>
        <w:rPr>
          <w:rFonts w:eastAsiaTheme="minorHAnsi"/>
          <w:lang w:val="en-US"/>
        </w:rPr>
        <w:t xml:space="preserve">3GPP </w:t>
      </w:r>
      <w:r w:rsidRPr="00DC763F">
        <w:rPr>
          <w:rFonts w:eastAsiaTheme="minorHAnsi"/>
          <w:lang w:val="en-US"/>
        </w:rPr>
        <w:t>TR 38.855</w:t>
      </w:r>
      <w:r>
        <w:rPr>
          <w:rFonts w:eastAsiaTheme="minorHAnsi"/>
          <w:lang w:val="en-US"/>
        </w:rPr>
        <w:t>: “</w:t>
      </w:r>
      <w:r w:rsidRPr="00DC763F">
        <w:rPr>
          <w:rFonts w:eastAsiaTheme="minorHAnsi"/>
          <w:lang w:val="en-US"/>
        </w:rPr>
        <w:t>Study on NR positioning support</w:t>
      </w:r>
      <w:r>
        <w:rPr>
          <w:rFonts w:eastAsiaTheme="minorHAnsi"/>
          <w:lang w:val="en-US"/>
        </w:rPr>
        <w:t>”</w:t>
      </w:r>
      <w:bookmarkEnd w:id="20"/>
    </w:p>
    <w:p w14:paraId="086A7F5F" w14:textId="634F745A" w:rsidR="00DC763F" w:rsidRPr="00DC763F" w:rsidRDefault="00DC763F" w:rsidP="00DC763F">
      <w:pPr>
        <w:pStyle w:val="ListParagraph"/>
        <w:numPr>
          <w:ilvl w:val="0"/>
          <w:numId w:val="2"/>
        </w:numPr>
        <w:spacing w:after="160"/>
        <w:rPr>
          <w:rFonts w:eastAsiaTheme="minorHAnsi"/>
          <w:lang w:val="en-US"/>
        </w:rPr>
      </w:pPr>
      <w:bookmarkStart w:id="21" w:name="_Ref102161433"/>
      <w:r>
        <w:rPr>
          <w:rFonts w:eastAsiaTheme="minorHAnsi"/>
          <w:lang w:val="en-US"/>
        </w:rPr>
        <w:t xml:space="preserve">3GPP </w:t>
      </w:r>
      <w:r w:rsidRPr="00DC763F">
        <w:rPr>
          <w:rFonts w:eastAsiaTheme="minorHAnsi"/>
          <w:lang w:val="en-US"/>
        </w:rPr>
        <w:t>TR 38.85</w:t>
      </w:r>
      <w:r>
        <w:rPr>
          <w:rFonts w:eastAsiaTheme="minorHAnsi"/>
          <w:lang w:val="en-US"/>
        </w:rPr>
        <w:t>7: “</w:t>
      </w:r>
      <w:r w:rsidRPr="00DC763F">
        <w:rPr>
          <w:rFonts w:eastAsiaTheme="minorHAnsi"/>
          <w:lang w:val="en-US"/>
        </w:rPr>
        <w:t>Study on NR Positioning Enhancements</w:t>
      </w:r>
      <w:r>
        <w:rPr>
          <w:rFonts w:eastAsiaTheme="minorHAnsi"/>
          <w:lang w:val="en-US"/>
        </w:rPr>
        <w:t>”</w:t>
      </w:r>
      <w:bookmarkEnd w:id="21"/>
    </w:p>
    <w:bookmarkEnd w:id="15"/>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753B" w14:textId="77777777" w:rsidR="00A25092" w:rsidRDefault="00A25092">
      <w:r>
        <w:separator/>
      </w:r>
    </w:p>
  </w:endnote>
  <w:endnote w:type="continuationSeparator" w:id="0">
    <w:p w14:paraId="6C503E12" w14:textId="77777777" w:rsidR="00A25092" w:rsidRDefault="00A25092">
      <w:r>
        <w:continuationSeparator/>
      </w:r>
    </w:p>
  </w:endnote>
  <w:endnote w:type="continuationNotice" w:id="1">
    <w:p w14:paraId="4C69414A" w14:textId="77777777" w:rsidR="00A25092" w:rsidRDefault="00A25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74102" w14:textId="77777777" w:rsidR="00A25092" w:rsidRDefault="00A25092">
      <w:r>
        <w:separator/>
      </w:r>
    </w:p>
  </w:footnote>
  <w:footnote w:type="continuationSeparator" w:id="0">
    <w:p w14:paraId="5EDFF582" w14:textId="77777777" w:rsidR="00A25092" w:rsidRDefault="00A25092">
      <w:r>
        <w:continuationSeparator/>
      </w:r>
    </w:p>
  </w:footnote>
  <w:footnote w:type="continuationNotice" w:id="1">
    <w:p w14:paraId="65FBDB20" w14:textId="77777777" w:rsidR="00A25092" w:rsidRDefault="00A250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9"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2"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3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53"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num>
  <w:num w:numId="4">
    <w:abstractNumId w:val="15"/>
  </w:num>
  <w:num w:numId="5">
    <w:abstractNumId w:val="51"/>
  </w:num>
  <w:num w:numId="6">
    <w:abstractNumId w:val="24"/>
  </w:num>
  <w:num w:numId="7">
    <w:abstractNumId w:val="2"/>
  </w:num>
  <w:num w:numId="8">
    <w:abstractNumId w:val="33"/>
  </w:num>
  <w:num w:numId="9">
    <w:abstractNumId w:val="52"/>
  </w:num>
  <w:num w:numId="10">
    <w:abstractNumId w:val="44"/>
  </w:num>
  <w:num w:numId="11">
    <w:abstractNumId w:val="29"/>
  </w:num>
  <w:num w:numId="12">
    <w:abstractNumId w:val="60"/>
  </w:num>
  <w:num w:numId="13">
    <w:abstractNumId w:val="9"/>
  </w:num>
  <w:num w:numId="14">
    <w:abstractNumId w:val="62"/>
  </w:num>
  <w:num w:numId="15">
    <w:abstractNumId w:val="63"/>
  </w:num>
  <w:num w:numId="16">
    <w:abstractNumId w:val="46"/>
  </w:num>
  <w:num w:numId="17">
    <w:abstractNumId w:val="12"/>
  </w:num>
  <w:num w:numId="18">
    <w:abstractNumId w:val="32"/>
  </w:num>
  <w:num w:numId="19">
    <w:abstractNumId w:val="59"/>
  </w:num>
  <w:num w:numId="20">
    <w:abstractNumId w:val="39"/>
  </w:num>
  <w:num w:numId="21">
    <w:abstractNumId w:val="6"/>
  </w:num>
  <w:num w:numId="22">
    <w:abstractNumId w:val="57"/>
  </w:num>
  <w:num w:numId="23">
    <w:abstractNumId w:val="25"/>
  </w:num>
  <w:num w:numId="24">
    <w:abstractNumId w:val="30"/>
  </w:num>
  <w:num w:numId="25">
    <w:abstractNumId w:val="1"/>
  </w:num>
  <w:num w:numId="26">
    <w:abstractNumId w:val="20"/>
  </w:num>
  <w:num w:numId="27">
    <w:abstractNumId w:val="8"/>
  </w:num>
  <w:num w:numId="28">
    <w:abstractNumId w:val="45"/>
  </w:num>
  <w:num w:numId="29">
    <w:abstractNumId w:val="55"/>
  </w:num>
  <w:num w:numId="30">
    <w:abstractNumId w:val="61"/>
  </w:num>
  <w:num w:numId="31">
    <w:abstractNumId w:val="22"/>
  </w:num>
  <w:num w:numId="32">
    <w:abstractNumId w:val="31"/>
  </w:num>
  <w:num w:numId="33">
    <w:abstractNumId w:val="42"/>
  </w:num>
  <w:num w:numId="34">
    <w:abstractNumId w:val="35"/>
  </w:num>
  <w:num w:numId="35">
    <w:abstractNumId w:val="53"/>
  </w:num>
  <w:num w:numId="36">
    <w:abstractNumId w:val="17"/>
  </w:num>
  <w:num w:numId="37">
    <w:abstractNumId w:val="43"/>
  </w:num>
  <w:num w:numId="38">
    <w:abstractNumId w:val="48"/>
  </w:num>
  <w:num w:numId="39">
    <w:abstractNumId w:val="3"/>
  </w:num>
  <w:num w:numId="40">
    <w:abstractNumId w:val="6"/>
  </w:num>
  <w:num w:numId="41">
    <w:abstractNumId w:val="6"/>
  </w:num>
  <w:num w:numId="42">
    <w:abstractNumId w:val="10"/>
  </w:num>
  <w:num w:numId="43">
    <w:abstractNumId w:val="3"/>
  </w:num>
  <w:num w:numId="44">
    <w:abstractNumId w:val="47"/>
  </w:num>
  <w:num w:numId="45">
    <w:abstractNumId w:val="13"/>
  </w:num>
  <w:num w:numId="46">
    <w:abstractNumId w:val="7"/>
  </w:num>
  <w:num w:numId="47">
    <w:abstractNumId w:val="6"/>
  </w:num>
  <w:num w:numId="48">
    <w:abstractNumId w:val="6"/>
  </w:num>
  <w:num w:numId="49">
    <w:abstractNumId w:val="19"/>
  </w:num>
  <w:num w:numId="50">
    <w:abstractNumId w:val="23"/>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36"/>
  </w:num>
  <w:num w:numId="64">
    <w:abstractNumId w:val="6"/>
  </w:num>
  <w:num w:numId="65">
    <w:abstractNumId w:val="6"/>
  </w:num>
  <w:num w:numId="66">
    <w:abstractNumId w:val="11"/>
  </w:num>
  <w:num w:numId="67">
    <w:abstractNumId w:val="28"/>
  </w:num>
  <w:num w:numId="68">
    <w:abstractNumId w:val="26"/>
  </w:num>
  <w:num w:numId="69">
    <w:abstractNumId w:val="37"/>
  </w:num>
  <w:num w:numId="70">
    <w:abstractNumId w:val="27"/>
  </w:num>
  <w:num w:numId="71">
    <w:abstractNumId w:val="56"/>
  </w:num>
  <w:num w:numId="72">
    <w:abstractNumId w:val="6"/>
  </w:num>
  <w:num w:numId="73">
    <w:abstractNumId w:val="6"/>
  </w:num>
  <w:num w:numId="74">
    <w:abstractNumId w:val="38"/>
  </w:num>
  <w:num w:numId="75">
    <w:abstractNumId w:val="40"/>
  </w:num>
  <w:num w:numId="76">
    <w:abstractNumId w:val="5"/>
  </w:num>
  <w:num w:numId="77">
    <w:abstractNumId w:val="19"/>
  </w:num>
  <w:num w:numId="78">
    <w:abstractNumId w:val="54"/>
  </w:num>
  <w:num w:numId="79">
    <w:abstractNumId w:val="56"/>
  </w:num>
  <w:num w:numId="80">
    <w:abstractNumId w:val="4"/>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8"/>
  </w:num>
  <w:num w:numId="83">
    <w:abstractNumId w:val="14"/>
  </w:num>
  <w:num w:numId="84">
    <w:abstractNumId w:val="16"/>
  </w:num>
  <w:num w:numId="85">
    <w:abstractNumId w:val="19"/>
  </w:num>
  <w:num w:numId="86">
    <w:abstractNumId w:val="50"/>
  </w:num>
  <w:num w:numId="87">
    <w:abstractNumId w:val="49"/>
  </w:num>
  <w:num w:numId="88">
    <w:abstractNumId w:val="3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80"/>
    <w:rsid w:val="0000698A"/>
    <w:rsid w:val="00006B43"/>
    <w:rsid w:val="00006BCB"/>
    <w:rsid w:val="00006C0B"/>
    <w:rsid w:val="00006C7A"/>
    <w:rsid w:val="00006CFB"/>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7A0"/>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B96"/>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9DB"/>
    <w:rsid w:val="00043A66"/>
    <w:rsid w:val="00043A9A"/>
    <w:rsid w:val="00043FA7"/>
    <w:rsid w:val="0004403C"/>
    <w:rsid w:val="00044225"/>
    <w:rsid w:val="00044359"/>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B6"/>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8E9"/>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74"/>
    <w:rsid w:val="000D75CC"/>
    <w:rsid w:val="000D76BE"/>
    <w:rsid w:val="000D7783"/>
    <w:rsid w:val="000D7B26"/>
    <w:rsid w:val="000D7C7C"/>
    <w:rsid w:val="000D7EEE"/>
    <w:rsid w:val="000E00BF"/>
    <w:rsid w:val="000E011D"/>
    <w:rsid w:val="000E059C"/>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FA1"/>
    <w:rsid w:val="00102147"/>
    <w:rsid w:val="0010231D"/>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E2E"/>
    <w:rsid w:val="00110F4E"/>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1A8"/>
    <w:rsid w:val="001A71EB"/>
    <w:rsid w:val="001A7232"/>
    <w:rsid w:val="001A72EE"/>
    <w:rsid w:val="001A78C9"/>
    <w:rsid w:val="001A7912"/>
    <w:rsid w:val="001A7924"/>
    <w:rsid w:val="001A7965"/>
    <w:rsid w:val="001A7ACB"/>
    <w:rsid w:val="001A7AFE"/>
    <w:rsid w:val="001A7B96"/>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A7F"/>
    <w:rsid w:val="001D5B4A"/>
    <w:rsid w:val="001D5C33"/>
    <w:rsid w:val="001D6016"/>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BA8"/>
    <w:rsid w:val="00222C62"/>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16"/>
    <w:rsid w:val="0025169E"/>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F"/>
    <w:rsid w:val="0027568B"/>
    <w:rsid w:val="002756D5"/>
    <w:rsid w:val="0027586A"/>
    <w:rsid w:val="00275E43"/>
    <w:rsid w:val="00276001"/>
    <w:rsid w:val="0027645A"/>
    <w:rsid w:val="002764FB"/>
    <w:rsid w:val="00276C3D"/>
    <w:rsid w:val="00276C78"/>
    <w:rsid w:val="00277518"/>
    <w:rsid w:val="002775F2"/>
    <w:rsid w:val="002775FE"/>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75"/>
    <w:rsid w:val="002E62A0"/>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5D"/>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8EA"/>
    <w:rsid w:val="002F3CAF"/>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94"/>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5A"/>
    <w:rsid w:val="00321F84"/>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62"/>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485"/>
    <w:rsid w:val="00364A63"/>
    <w:rsid w:val="00364AE2"/>
    <w:rsid w:val="0036517F"/>
    <w:rsid w:val="00365351"/>
    <w:rsid w:val="0036561B"/>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6ED"/>
    <w:rsid w:val="0038084F"/>
    <w:rsid w:val="00380892"/>
    <w:rsid w:val="00380EA6"/>
    <w:rsid w:val="003812A8"/>
    <w:rsid w:val="00381685"/>
    <w:rsid w:val="003818CD"/>
    <w:rsid w:val="003819C8"/>
    <w:rsid w:val="00381FB8"/>
    <w:rsid w:val="003821E7"/>
    <w:rsid w:val="00382409"/>
    <w:rsid w:val="0038247F"/>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E3"/>
    <w:rsid w:val="003A7F73"/>
    <w:rsid w:val="003A7FF3"/>
    <w:rsid w:val="003B0299"/>
    <w:rsid w:val="003B0387"/>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1F7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52EB"/>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2C"/>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291"/>
    <w:rsid w:val="0043270B"/>
    <w:rsid w:val="00432780"/>
    <w:rsid w:val="00432A52"/>
    <w:rsid w:val="00432CFC"/>
    <w:rsid w:val="00432DB9"/>
    <w:rsid w:val="00432E64"/>
    <w:rsid w:val="00432F8F"/>
    <w:rsid w:val="00432F9E"/>
    <w:rsid w:val="00433065"/>
    <w:rsid w:val="00433106"/>
    <w:rsid w:val="00433563"/>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57"/>
    <w:rsid w:val="004548E5"/>
    <w:rsid w:val="004549CD"/>
    <w:rsid w:val="00454F08"/>
    <w:rsid w:val="00455105"/>
    <w:rsid w:val="0045514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7D9"/>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B13"/>
    <w:rsid w:val="00500C94"/>
    <w:rsid w:val="005012BB"/>
    <w:rsid w:val="0050132F"/>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2E63"/>
    <w:rsid w:val="00513283"/>
    <w:rsid w:val="0051354B"/>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167"/>
    <w:rsid w:val="005232A7"/>
    <w:rsid w:val="00523366"/>
    <w:rsid w:val="00523660"/>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2DD"/>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B0"/>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87A"/>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81D"/>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CBB"/>
    <w:rsid w:val="00666DA7"/>
    <w:rsid w:val="00666F36"/>
    <w:rsid w:val="00666F61"/>
    <w:rsid w:val="00666F9C"/>
    <w:rsid w:val="0066718D"/>
    <w:rsid w:val="00667207"/>
    <w:rsid w:val="006672FC"/>
    <w:rsid w:val="006674DD"/>
    <w:rsid w:val="00667525"/>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F72"/>
    <w:rsid w:val="006D4FB0"/>
    <w:rsid w:val="006D4FE7"/>
    <w:rsid w:val="006D513B"/>
    <w:rsid w:val="006D52B8"/>
    <w:rsid w:val="006D5855"/>
    <w:rsid w:val="006D59BF"/>
    <w:rsid w:val="006D5A27"/>
    <w:rsid w:val="006D5AE7"/>
    <w:rsid w:val="006D5B12"/>
    <w:rsid w:val="006D5BA9"/>
    <w:rsid w:val="006D5EC2"/>
    <w:rsid w:val="006D5ED1"/>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1D9F"/>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FB"/>
    <w:rsid w:val="0070144F"/>
    <w:rsid w:val="007014E4"/>
    <w:rsid w:val="00701584"/>
    <w:rsid w:val="007017EA"/>
    <w:rsid w:val="0070181F"/>
    <w:rsid w:val="0070193E"/>
    <w:rsid w:val="00701B27"/>
    <w:rsid w:val="00701FEC"/>
    <w:rsid w:val="00701FF8"/>
    <w:rsid w:val="00702738"/>
    <w:rsid w:val="007028E8"/>
    <w:rsid w:val="00702BE3"/>
    <w:rsid w:val="00702BFC"/>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6172"/>
    <w:rsid w:val="007561DC"/>
    <w:rsid w:val="007564B4"/>
    <w:rsid w:val="007565E2"/>
    <w:rsid w:val="007568E7"/>
    <w:rsid w:val="00756B9C"/>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0E78"/>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ACA"/>
    <w:rsid w:val="007B4BE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28A"/>
    <w:rsid w:val="00805619"/>
    <w:rsid w:val="00805708"/>
    <w:rsid w:val="00805767"/>
    <w:rsid w:val="00805981"/>
    <w:rsid w:val="00805A48"/>
    <w:rsid w:val="00805CB3"/>
    <w:rsid w:val="008063CC"/>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08F"/>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22D"/>
    <w:rsid w:val="0092232A"/>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211"/>
    <w:rsid w:val="0092746B"/>
    <w:rsid w:val="00927670"/>
    <w:rsid w:val="00927752"/>
    <w:rsid w:val="00927977"/>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76"/>
    <w:rsid w:val="00956FF4"/>
    <w:rsid w:val="00957060"/>
    <w:rsid w:val="009571A4"/>
    <w:rsid w:val="009573C9"/>
    <w:rsid w:val="00957487"/>
    <w:rsid w:val="0095762E"/>
    <w:rsid w:val="0095799C"/>
    <w:rsid w:val="00957D9C"/>
    <w:rsid w:val="00957E0B"/>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6C"/>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C49"/>
    <w:rsid w:val="009B4FA0"/>
    <w:rsid w:val="009B5058"/>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A0D"/>
    <w:rsid w:val="00A01C4E"/>
    <w:rsid w:val="00A01F17"/>
    <w:rsid w:val="00A01F3F"/>
    <w:rsid w:val="00A021CA"/>
    <w:rsid w:val="00A02205"/>
    <w:rsid w:val="00A024A2"/>
    <w:rsid w:val="00A0264D"/>
    <w:rsid w:val="00A027CC"/>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092"/>
    <w:rsid w:val="00A2572E"/>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19B"/>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6DA"/>
    <w:rsid w:val="00A5781D"/>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758"/>
    <w:rsid w:val="00A728D4"/>
    <w:rsid w:val="00A72916"/>
    <w:rsid w:val="00A72A52"/>
    <w:rsid w:val="00A72FEE"/>
    <w:rsid w:val="00A730F4"/>
    <w:rsid w:val="00A73602"/>
    <w:rsid w:val="00A73873"/>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290"/>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1197"/>
    <w:rsid w:val="00AF1414"/>
    <w:rsid w:val="00AF1988"/>
    <w:rsid w:val="00AF1DE1"/>
    <w:rsid w:val="00AF20C9"/>
    <w:rsid w:val="00AF22BA"/>
    <w:rsid w:val="00AF250E"/>
    <w:rsid w:val="00AF2526"/>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E57"/>
    <w:rsid w:val="00C10FD3"/>
    <w:rsid w:val="00C1114F"/>
    <w:rsid w:val="00C11183"/>
    <w:rsid w:val="00C11197"/>
    <w:rsid w:val="00C11A96"/>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A6"/>
    <w:rsid w:val="00C462F8"/>
    <w:rsid w:val="00C4632A"/>
    <w:rsid w:val="00C466A8"/>
    <w:rsid w:val="00C46703"/>
    <w:rsid w:val="00C46B53"/>
    <w:rsid w:val="00C46CF2"/>
    <w:rsid w:val="00C46D8E"/>
    <w:rsid w:val="00C46E0C"/>
    <w:rsid w:val="00C46EFF"/>
    <w:rsid w:val="00C46F5E"/>
    <w:rsid w:val="00C470AA"/>
    <w:rsid w:val="00C470B6"/>
    <w:rsid w:val="00C4786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DA1"/>
    <w:rsid w:val="00C71F91"/>
    <w:rsid w:val="00C72130"/>
    <w:rsid w:val="00C72176"/>
    <w:rsid w:val="00C723AF"/>
    <w:rsid w:val="00C7243C"/>
    <w:rsid w:val="00C7249A"/>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547"/>
    <w:rsid w:val="00C80614"/>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AEB"/>
    <w:rsid w:val="00C83E94"/>
    <w:rsid w:val="00C84317"/>
    <w:rsid w:val="00C8446B"/>
    <w:rsid w:val="00C845CE"/>
    <w:rsid w:val="00C85192"/>
    <w:rsid w:val="00C8534D"/>
    <w:rsid w:val="00C8538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71E"/>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64"/>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460"/>
    <w:rsid w:val="00D52735"/>
    <w:rsid w:val="00D5294C"/>
    <w:rsid w:val="00D52ACC"/>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C36"/>
    <w:rsid w:val="00D61C54"/>
    <w:rsid w:val="00D62243"/>
    <w:rsid w:val="00D6239A"/>
    <w:rsid w:val="00D6268B"/>
    <w:rsid w:val="00D62736"/>
    <w:rsid w:val="00D6278F"/>
    <w:rsid w:val="00D62840"/>
    <w:rsid w:val="00D628CA"/>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32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82A"/>
    <w:rsid w:val="00DC69B1"/>
    <w:rsid w:val="00DC6A94"/>
    <w:rsid w:val="00DC6D9B"/>
    <w:rsid w:val="00DC7073"/>
    <w:rsid w:val="00DC7500"/>
    <w:rsid w:val="00DC763F"/>
    <w:rsid w:val="00DC765F"/>
    <w:rsid w:val="00DC7677"/>
    <w:rsid w:val="00DC7722"/>
    <w:rsid w:val="00DC7890"/>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5D01"/>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13D"/>
    <w:rsid w:val="00E951BA"/>
    <w:rsid w:val="00E952E8"/>
    <w:rsid w:val="00E95490"/>
    <w:rsid w:val="00E9550B"/>
    <w:rsid w:val="00E955A8"/>
    <w:rsid w:val="00E95754"/>
    <w:rsid w:val="00E95B52"/>
    <w:rsid w:val="00E95D01"/>
    <w:rsid w:val="00E95E14"/>
    <w:rsid w:val="00E9627E"/>
    <w:rsid w:val="00E96497"/>
    <w:rsid w:val="00E9694A"/>
    <w:rsid w:val="00E969BF"/>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CFC"/>
    <w:rsid w:val="00ED0DE8"/>
    <w:rsid w:val="00ED0EB9"/>
    <w:rsid w:val="00ED0FBE"/>
    <w:rsid w:val="00ED1196"/>
    <w:rsid w:val="00ED12D5"/>
    <w:rsid w:val="00ED1447"/>
    <w:rsid w:val="00ED14AF"/>
    <w:rsid w:val="00ED1871"/>
    <w:rsid w:val="00ED1977"/>
    <w:rsid w:val="00ED19B6"/>
    <w:rsid w:val="00ED1A39"/>
    <w:rsid w:val="00ED2155"/>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98"/>
    <w:rsid w:val="00ED58F2"/>
    <w:rsid w:val="00ED58FE"/>
    <w:rsid w:val="00ED5947"/>
    <w:rsid w:val="00ED5AE7"/>
    <w:rsid w:val="00ED5B50"/>
    <w:rsid w:val="00ED5C2C"/>
    <w:rsid w:val="00ED5EAE"/>
    <w:rsid w:val="00ED64D0"/>
    <w:rsid w:val="00ED6522"/>
    <w:rsid w:val="00ED69CC"/>
    <w:rsid w:val="00ED7363"/>
    <w:rsid w:val="00ED7884"/>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D51"/>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D79"/>
    <w:rsid w:val="00F25EB4"/>
    <w:rsid w:val="00F2617C"/>
    <w:rsid w:val="00F26290"/>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744"/>
    <w:rsid w:val="00F40776"/>
    <w:rsid w:val="00F40901"/>
    <w:rsid w:val="00F4091D"/>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2E3"/>
    <w:rsid w:val="00F62377"/>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2A"/>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AB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927"/>
    <w:rsid w:val="00F93A3D"/>
    <w:rsid w:val="00F93CA0"/>
    <w:rsid w:val="00F93D13"/>
    <w:rsid w:val="00F93E6A"/>
    <w:rsid w:val="00F93EE6"/>
    <w:rsid w:val="00F94003"/>
    <w:rsid w:val="00F942E2"/>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4BE"/>
    <w:rsid w:val="00FA0509"/>
    <w:rsid w:val="00FA0BB4"/>
    <w:rsid w:val="00FA0BC1"/>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4AF282E"/>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8A8E5D7"/>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87A"/>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5408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87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54087A"/>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54087A"/>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54087A"/>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54087A"/>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35736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2.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3.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4.xml><?xml version="1.0" encoding="utf-8"?>
<ds:datastoreItem xmlns:ds="http://schemas.openxmlformats.org/officeDocument/2006/customXml" ds:itemID="{389CBA52-5666-426D-B33D-9711CB1C2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2022-04-29T23:25:00Z</dcterms:created>
  <dcterms:modified xsi:type="dcterms:W3CDTF">2022-04-29T23:41:00Z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5cbb7937-2545-4c4c-9188-fb5e5b2654f8</vt:lpwstr>
  </property>
  <property fmtid="{D5CDD505-2E9C-101B-9397-08002B2CF9AE}" pid="4" name="TdocTitle">
    <vt:lpwstr>Evaluation of SL positioning</vt:lpwstr>
  </property>
  <property fmtid="{D5CDD505-2E9C-101B-9397-08002B2CF9AE}" pid="5" name="TdocFor">
    <vt:lpwstr>Discussion and Decision</vt:lpwstr>
  </property>
  <property fmtid="{D5CDD505-2E9C-101B-9397-08002B2CF9AE}" pid="6" name="TdocId">
    <vt:lpwstr>R1-2203128</vt:lpwstr>
  </property>
  <property fmtid="{D5CDD505-2E9C-101B-9397-08002B2CF9AE}" pid="7" name="TdocSource">
    <vt:lpwstr>Nokia, Nokia Shanghai Bell</vt:lpwstr>
  </property>
  <property fmtid="{D5CDD505-2E9C-101B-9397-08002B2CF9AE}" pid="8" name="TdocAgendaItem">
    <vt:lpwstr>9.5.1.2</vt:lpwstr>
  </property>
  <property fmtid="{D5CDD505-2E9C-101B-9397-08002B2CF9AE}" pid="9" name="MeetingPlaceDates">
    <vt:lpwstr>e-Meeting, May 9th - 20th, 2022</vt:lpwstr>
  </property>
  <property fmtid="{D5CDD505-2E9C-101B-9397-08002B2CF9AE}" pid="10" name="MeetingName">
    <vt:lpwstr>3GPP TSG RAN WG1 #109-e</vt:lpwstr>
  </property>
</Properties>
</file>