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2071D69C"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7D57A"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740F97">
        <w:rPr>
          <w:rFonts w:ascii="Arial" w:hAnsi="Arial" w:cs="Arial"/>
          <w:b/>
          <w:kern w:val="2"/>
          <w:lang w:eastAsia="zh-CN"/>
        </w:rPr>
        <w:t>0</w:t>
      </w:r>
      <w:r w:rsidR="00326BBD">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w:t>
      </w:r>
      <w:r w:rsidR="00B66489">
        <w:rPr>
          <w:rFonts w:ascii="Arial" w:hAnsi="Arial" w:cs="Arial"/>
          <w:b/>
          <w:kern w:val="2"/>
          <w:lang w:eastAsia="zh-CN"/>
        </w:rPr>
        <w:t>3057</w:t>
      </w:r>
    </w:p>
    <w:bookmarkEnd w:id="1"/>
    <w:p w14:paraId="62D92C43" w14:textId="033B9E98"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326BBD" w:rsidRPr="00326BBD">
        <w:rPr>
          <w:rFonts w:ascii="Arial" w:hAnsi="Arial" w:cs="Arial"/>
          <w:b/>
          <w:kern w:val="2"/>
          <w:lang w:eastAsia="zh-CN"/>
        </w:rPr>
        <w:t>May 9th – 20th, 2022</w:t>
      </w:r>
    </w:p>
    <w:p w14:paraId="6D855A2C" w14:textId="1FC52450"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E0ECD">
        <w:rPr>
          <w:rFonts w:ascii="Arial" w:hAnsi="Arial" w:cs="Arial"/>
          <w:b/>
          <w:bCs/>
          <w:caps/>
          <w:szCs w:val="24"/>
        </w:rPr>
        <w:t>Futurewei</w:t>
      </w:r>
    </w:p>
    <w:p w14:paraId="592199C5" w14:textId="623F72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94C2E" w:rsidRPr="00E94C2E">
        <w:rPr>
          <w:rFonts w:ascii="Arial" w:hAnsi="Arial" w:cs="Arial"/>
          <w:b/>
          <w:lang w:eastAsia="zh-CN"/>
        </w:rPr>
        <w:t>Considerations on scenarios and target requirements for sidelink positioning</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D2E60CA" w:rsidR="009C0564" w:rsidRDefault="009C0564" w:rsidP="005F3399">
      <w:pPr>
        <w:pStyle w:val="Heading1"/>
        <w:tabs>
          <w:tab w:val="clear" w:pos="2592"/>
          <w:tab w:val="num" w:pos="540"/>
        </w:tabs>
        <w:ind w:left="540" w:hanging="540"/>
        <w:rPr>
          <w:rFonts w:cs="Arial"/>
        </w:rPr>
      </w:pPr>
      <w:bookmarkStart w:id="2" w:name="_Ref124589705"/>
      <w:bookmarkStart w:id="3" w:name="_Ref129681862"/>
      <w:r w:rsidRPr="00D74B92">
        <w:rPr>
          <w:rFonts w:cs="Arial"/>
        </w:rPr>
        <w:t>Introduction</w:t>
      </w:r>
      <w:bookmarkEnd w:id="2"/>
      <w:bookmarkEnd w:id="3"/>
    </w:p>
    <w:p w14:paraId="77441E04" w14:textId="1FCA1264" w:rsidR="005A2D59" w:rsidRDefault="005A2D59" w:rsidP="005A2D59">
      <w:r>
        <w:t xml:space="preserve">In RAN#94e the </w:t>
      </w:r>
      <w:r w:rsidR="00A7694D">
        <w:t>S</w:t>
      </w:r>
      <w:r>
        <w:t xml:space="preserve">ID for “Study and improved NR positioning” was approved [RP-213588]. The first objective of the </w:t>
      </w:r>
      <w:r w:rsidR="00A7694D">
        <w:t>SI</w:t>
      </w:r>
      <w:r>
        <w:t xml:space="preserve"> is</w:t>
      </w:r>
      <w:r w:rsidR="0019475D">
        <w:t xml:space="preserve"> to</w:t>
      </w:r>
      <w:r>
        <w:t>:</w:t>
      </w:r>
    </w:p>
    <w:p w14:paraId="10F6BBA1" w14:textId="363C80D3" w:rsidR="005A2D59" w:rsidRPr="005A2D59" w:rsidRDefault="005A2D59" w:rsidP="005A2D59">
      <w:pPr>
        <w:rPr>
          <w:bCs/>
          <w:i/>
          <w:iCs/>
          <w:lang w:val="en-GB"/>
        </w:rPr>
      </w:pPr>
      <w:r>
        <w:rPr>
          <w:bCs/>
          <w:lang w:val="en-GB"/>
        </w:rPr>
        <w:t>“</w:t>
      </w:r>
      <w:r w:rsidRPr="005A2D59">
        <w:rPr>
          <w:bCs/>
          <w:i/>
          <w:iCs/>
          <w:lang w:val="en-GB"/>
        </w:rPr>
        <w:t xml:space="preserve">Study solutions for sidelink positioning considering the following: [RAN1, RAN2] </w:t>
      </w:r>
    </w:p>
    <w:p w14:paraId="6488D578" w14:textId="77777777" w:rsidR="005A2D59" w:rsidRPr="005A2D59" w:rsidRDefault="005A2D59" w:rsidP="005A2D59">
      <w:pPr>
        <w:numPr>
          <w:ilvl w:val="0"/>
          <w:numId w:val="17"/>
        </w:numPr>
        <w:rPr>
          <w:bCs/>
          <w:i/>
          <w:iCs/>
          <w:lang w:val="en-GB"/>
        </w:rPr>
      </w:pPr>
      <w:r w:rsidRPr="005A2D59">
        <w:rPr>
          <w:bCs/>
          <w:i/>
          <w:iCs/>
          <w:lang w:val="en-GB"/>
        </w:rPr>
        <w:t xml:space="preserve">Scenario/requirements </w:t>
      </w:r>
    </w:p>
    <w:p w14:paraId="70724F75" w14:textId="77777777" w:rsidR="005A2D59" w:rsidRPr="005A2D59" w:rsidRDefault="005A2D59" w:rsidP="005A2D59">
      <w:pPr>
        <w:numPr>
          <w:ilvl w:val="1"/>
          <w:numId w:val="17"/>
        </w:numPr>
        <w:rPr>
          <w:bCs/>
          <w:i/>
          <w:iCs/>
          <w:lang w:val="en-GB"/>
        </w:rPr>
      </w:pPr>
      <w:r w:rsidRPr="005A2D59">
        <w:rPr>
          <w:bCs/>
          <w:i/>
          <w:iCs/>
          <w:lang w:val="en-GB"/>
        </w:rPr>
        <w:t>Coverage scenarios to cover: in-coverage, partial-coverage and out-of-coverage</w:t>
      </w:r>
    </w:p>
    <w:p w14:paraId="6C5F26CD" w14:textId="77777777" w:rsidR="005A2D59" w:rsidRPr="005A2D59" w:rsidRDefault="005A2D59" w:rsidP="005A2D59">
      <w:pPr>
        <w:numPr>
          <w:ilvl w:val="1"/>
          <w:numId w:val="17"/>
        </w:numPr>
        <w:rPr>
          <w:bCs/>
          <w:i/>
          <w:iCs/>
          <w:lang w:val="en-GB"/>
        </w:rPr>
      </w:pPr>
      <w:r w:rsidRPr="005A2D59">
        <w:rPr>
          <w:bCs/>
          <w:i/>
          <w:iCs/>
          <w:lang w:val="en-GB"/>
        </w:rPr>
        <w:t>Requirements: Based on requirements identified in TR38.845 and TS22.261 and TS22.104</w:t>
      </w:r>
    </w:p>
    <w:p w14:paraId="19606483" w14:textId="77777777" w:rsidR="005A2D59" w:rsidRPr="005A2D59" w:rsidRDefault="005A2D59" w:rsidP="005A2D59">
      <w:pPr>
        <w:numPr>
          <w:ilvl w:val="1"/>
          <w:numId w:val="17"/>
        </w:numPr>
        <w:rPr>
          <w:bCs/>
          <w:i/>
          <w:iCs/>
          <w:lang w:val="en-GB"/>
        </w:rPr>
      </w:pPr>
      <w:r w:rsidRPr="005A2D59">
        <w:rPr>
          <w:bCs/>
          <w:i/>
          <w:iCs/>
          <w:lang w:val="en-GB"/>
        </w:rPr>
        <w:t>Use cases: V2X (TR38.845), public safety (TR38.845), commercial (TS22.261), IIOT (TS22.104)</w:t>
      </w:r>
    </w:p>
    <w:p w14:paraId="21FCA792" w14:textId="77777777" w:rsidR="005A2D59" w:rsidRPr="005A2D59" w:rsidRDefault="005A2D59" w:rsidP="005A2D59">
      <w:pPr>
        <w:numPr>
          <w:ilvl w:val="1"/>
          <w:numId w:val="17"/>
        </w:numPr>
        <w:rPr>
          <w:bCs/>
          <w:i/>
          <w:iCs/>
          <w:lang w:val="en-GB"/>
        </w:rPr>
      </w:pPr>
      <w:r w:rsidRPr="005A2D59">
        <w:rPr>
          <w:bCs/>
          <w:i/>
          <w:iCs/>
          <w:lang w:val="en-GB"/>
        </w:rPr>
        <w:t>Spectrum: ITS, licensed</w:t>
      </w:r>
    </w:p>
    <w:p w14:paraId="74B5456E" w14:textId="77777777" w:rsidR="005A2D59" w:rsidRPr="005A2D59" w:rsidRDefault="005A2D59" w:rsidP="005A2D59">
      <w:pPr>
        <w:numPr>
          <w:ilvl w:val="0"/>
          <w:numId w:val="17"/>
        </w:numPr>
        <w:rPr>
          <w:bCs/>
          <w:i/>
          <w:iCs/>
          <w:lang w:val="en-GB"/>
        </w:rPr>
      </w:pPr>
      <w:r w:rsidRPr="005A2D59">
        <w:rPr>
          <w:bCs/>
          <w:i/>
          <w:iCs/>
          <w:lang w:val="en-GB"/>
        </w:rPr>
        <w:t>Identify specific target performance requirements to be considered for the evaluation based on existing 3GPP work and inputs from industry forums [RAN1]</w:t>
      </w:r>
    </w:p>
    <w:p w14:paraId="69359268" w14:textId="62352F54" w:rsidR="005A2D59" w:rsidRPr="005A2D59" w:rsidRDefault="005A2D59" w:rsidP="005A2D59">
      <w:pPr>
        <w:numPr>
          <w:ilvl w:val="0"/>
          <w:numId w:val="17"/>
        </w:numPr>
        <w:rPr>
          <w:bCs/>
          <w:i/>
          <w:iCs/>
          <w:lang w:val="en-GB"/>
        </w:rPr>
      </w:pPr>
      <w:r w:rsidRPr="005A2D59">
        <w:rPr>
          <w:bCs/>
          <w:i/>
          <w:iCs/>
          <w:lang w:val="en-GB"/>
        </w:rPr>
        <w:t xml:space="preserve">Define evaluation methodology with which to evaluate SL positioning for the use cases and coverage scenarios, reusing existing methodologies from sidelink communication and from positioning as much as possible [RAN1]. </w:t>
      </w:r>
    </w:p>
    <w:p w14:paraId="473E8CF4" w14:textId="77777777" w:rsidR="005A2D59" w:rsidRPr="005A2D59" w:rsidRDefault="005A2D59" w:rsidP="005A2D59">
      <w:pPr>
        <w:numPr>
          <w:ilvl w:val="0"/>
          <w:numId w:val="17"/>
        </w:numPr>
        <w:rPr>
          <w:bCs/>
          <w:i/>
          <w:iCs/>
          <w:lang w:val="en-GB"/>
        </w:rPr>
      </w:pPr>
      <w:r w:rsidRPr="005A2D59">
        <w:rPr>
          <w:bCs/>
          <w:i/>
          <w:iCs/>
          <w:lang w:val="en-GB"/>
        </w:rPr>
        <w:t>Study and evaluate performance and feasibility of potential solutions for SL positioning, considering relative positioning, ranging and absolute positioning: [RAN1, RAN2]</w:t>
      </w:r>
    </w:p>
    <w:p w14:paraId="45B23911" w14:textId="77777777" w:rsidR="005A2D59" w:rsidRPr="005A2D59" w:rsidRDefault="005A2D59" w:rsidP="005A2D59">
      <w:pPr>
        <w:numPr>
          <w:ilvl w:val="1"/>
          <w:numId w:val="17"/>
        </w:numPr>
        <w:rPr>
          <w:bCs/>
          <w:i/>
          <w:iCs/>
          <w:lang w:val="en-GB"/>
        </w:rPr>
      </w:pPr>
      <w:r w:rsidRPr="005A2D59">
        <w:rPr>
          <w:bCs/>
          <w:i/>
          <w:iCs/>
          <w:lang w:val="en-GB"/>
        </w:rPr>
        <w:t>Evaluate bandwidth requirement needed to meet the identified accuracy requirements [RAN1]</w:t>
      </w:r>
    </w:p>
    <w:p w14:paraId="61442581" w14:textId="50337C52" w:rsidR="005A2D59" w:rsidRPr="005A2D59" w:rsidRDefault="005A2D59" w:rsidP="005A2D59">
      <w:pPr>
        <w:numPr>
          <w:ilvl w:val="1"/>
          <w:numId w:val="17"/>
        </w:numPr>
        <w:rPr>
          <w:bCs/>
          <w:i/>
          <w:iCs/>
          <w:lang w:val="en-GB"/>
        </w:rPr>
      </w:pPr>
      <w:r w:rsidRPr="005A2D59">
        <w:rPr>
          <w:bCs/>
          <w:i/>
          <w:iCs/>
          <w:lang w:val="en-GB"/>
        </w:rPr>
        <w:t>Study of positioning methods (e.g.</w:t>
      </w:r>
      <w:r w:rsidR="00A125DF">
        <w:rPr>
          <w:bCs/>
          <w:i/>
          <w:iCs/>
          <w:lang w:val="en-GB"/>
        </w:rPr>
        <w:t>,</w:t>
      </w:r>
      <w:r w:rsidRPr="005A2D59">
        <w:rPr>
          <w:bCs/>
          <w:i/>
          <w:iCs/>
          <w:lang w:val="en-GB"/>
        </w:rPr>
        <w:t xml:space="preserve"> TDOA, RTT, AOA/D, etc) including combination of SL positioning measurements with other RAT dependent positioning measurements (e.g. Uu based measurements) [RAN1]</w:t>
      </w:r>
    </w:p>
    <w:p w14:paraId="0E5FA806" w14:textId="77777777" w:rsidR="005A2D59" w:rsidRPr="005A2D59" w:rsidRDefault="005A2D59" w:rsidP="005A2D59">
      <w:pPr>
        <w:numPr>
          <w:ilvl w:val="1"/>
          <w:numId w:val="17"/>
        </w:numPr>
        <w:rPr>
          <w:bCs/>
          <w:i/>
          <w:iCs/>
          <w:lang w:val="en-GB"/>
        </w:rPr>
      </w:pPr>
      <w:r w:rsidRPr="005A2D59">
        <w:rPr>
          <w:bCs/>
          <w:i/>
          <w:iCs/>
          <w:lang w:val="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6BD9FB6" w14:textId="538C80BC" w:rsidR="005A2D59" w:rsidRPr="005A2D59" w:rsidRDefault="005A2D59" w:rsidP="005A2D59">
      <w:pPr>
        <w:numPr>
          <w:ilvl w:val="1"/>
          <w:numId w:val="17"/>
        </w:numPr>
        <w:rPr>
          <w:bCs/>
          <w:i/>
          <w:iCs/>
          <w:lang w:val="en-GB"/>
        </w:rPr>
      </w:pPr>
      <w:r w:rsidRPr="005A2D59">
        <w:rPr>
          <w:bCs/>
          <w:i/>
          <w:iCs/>
          <w:lang w:val="en-GB"/>
        </w:rPr>
        <w:t>Study of positioning architecture and signalling procedures (e.g.</w:t>
      </w:r>
      <w:r w:rsidR="00A125DF">
        <w:rPr>
          <w:bCs/>
          <w:i/>
          <w:iCs/>
          <w:lang w:val="en-GB"/>
        </w:rPr>
        <w:t>,</w:t>
      </w:r>
      <w:r w:rsidRPr="005A2D59">
        <w:rPr>
          <w:bCs/>
          <w:i/>
          <w:iCs/>
          <w:lang w:val="en-GB"/>
        </w:rPr>
        <w:t xml:space="preserve"> configuration, measurement reporting, etc) to enable sidelink positioning covering both UE based and </w:t>
      </w:r>
      <w:r w:rsidR="00A125DF" w:rsidRPr="005A2D59">
        <w:rPr>
          <w:bCs/>
          <w:i/>
          <w:iCs/>
          <w:lang w:val="en-GB"/>
        </w:rPr>
        <w:t>network-based</w:t>
      </w:r>
      <w:r w:rsidRPr="005A2D59">
        <w:rPr>
          <w:bCs/>
          <w:i/>
          <w:iCs/>
          <w:lang w:val="en-GB"/>
        </w:rPr>
        <w:t xml:space="preserve"> positioning [RAN2, including coordination and alignment with RAN3 and SA2 as required]</w:t>
      </w:r>
    </w:p>
    <w:p w14:paraId="33A4BF11" w14:textId="4CCA7857" w:rsidR="005A2D59" w:rsidRPr="005A2D59" w:rsidRDefault="005A2D59" w:rsidP="005A2D59">
      <w:pPr>
        <w:rPr>
          <w:bCs/>
          <w:lang w:val="en-GB"/>
        </w:rPr>
      </w:pPr>
      <w:r w:rsidRPr="005A2D59">
        <w:rPr>
          <w:bCs/>
          <w:i/>
          <w:iCs/>
          <w:lang w:val="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r w:rsidRPr="005A2D59">
        <w:rPr>
          <w:bCs/>
          <w:lang w:val="en-GB"/>
        </w:rPr>
        <w:t>.</w:t>
      </w:r>
      <w:r w:rsidR="000465C7">
        <w:rPr>
          <w:bCs/>
          <w:lang w:val="en-GB"/>
        </w:rPr>
        <w:t>”</w:t>
      </w:r>
    </w:p>
    <w:p w14:paraId="35722DB6" w14:textId="656A3B92" w:rsidR="000762E4" w:rsidRPr="000E0ECD" w:rsidRDefault="000762E4" w:rsidP="000E0ECD"/>
    <w:p w14:paraId="5D5504AC" w14:textId="4C61FD40" w:rsidR="00CA329D" w:rsidRDefault="000465C7" w:rsidP="005F3399">
      <w:pPr>
        <w:pStyle w:val="Heading1"/>
        <w:tabs>
          <w:tab w:val="clear" w:pos="2592"/>
          <w:tab w:val="num" w:pos="540"/>
        </w:tabs>
        <w:ind w:left="540" w:hanging="540"/>
      </w:pPr>
      <w:bookmarkStart w:id="4" w:name="_Hlk100073409"/>
      <w:r>
        <w:lastRenderedPageBreak/>
        <w:t xml:space="preserve">SL </w:t>
      </w:r>
      <w:r w:rsidR="00A07D3B">
        <w:t>Positioning Scenarios</w:t>
      </w:r>
      <w:r w:rsidR="005F3399">
        <w:t xml:space="preserve"> </w:t>
      </w:r>
    </w:p>
    <w:bookmarkEnd w:id="4"/>
    <w:p w14:paraId="592D34D3" w14:textId="46342C53" w:rsidR="00AF2776" w:rsidRDefault="00AF2776" w:rsidP="003112A1">
      <w:r>
        <w:t xml:space="preserve">According to the improved NR positioning </w:t>
      </w:r>
      <w:r w:rsidR="00A7694D">
        <w:t>S</w:t>
      </w:r>
      <w:r>
        <w:t>ID [1]</w:t>
      </w:r>
      <w:r w:rsidR="000E0ECD">
        <w:t>,</w:t>
      </w:r>
      <w:r>
        <w:t xml:space="preserve"> </w:t>
      </w:r>
      <w:r w:rsidR="00A7694D">
        <w:t xml:space="preserve">RAN1 should study </w:t>
      </w:r>
      <w:r w:rsidR="00034D85">
        <w:t xml:space="preserve">sidelink (SL) </w:t>
      </w:r>
      <w:r w:rsidR="00A7694D">
        <w:t xml:space="preserve">positioning solutions for various scenarios and requirements. </w:t>
      </w:r>
    </w:p>
    <w:p w14:paraId="62C58BB3" w14:textId="2101A5F2" w:rsidR="007C255F" w:rsidRDefault="007C255F" w:rsidP="007C255F">
      <w:r>
        <w:t>In this contribution</w:t>
      </w:r>
      <w:r w:rsidR="0019475D">
        <w:t>, for positioning purposes,</w:t>
      </w:r>
      <w:r>
        <w:t xml:space="preserve"> we define </w:t>
      </w:r>
      <w:r w:rsidR="0019475D">
        <w:t>the</w:t>
      </w:r>
      <w:r>
        <w:t xml:space="preserve"> target UE </w:t>
      </w:r>
      <w:r w:rsidR="002E59AB">
        <w:t>as the</w:t>
      </w:r>
      <w:r>
        <w:t xml:space="preserve"> UE that requires position determination, and </w:t>
      </w:r>
      <w:r w:rsidR="0019475D">
        <w:t xml:space="preserve">the </w:t>
      </w:r>
      <w:r>
        <w:t>anchor node</w:t>
      </w:r>
      <w:r w:rsidR="0019475D">
        <w:t>s</w:t>
      </w:r>
      <w:r>
        <w:t xml:space="preserve"> those</w:t>
      </w:r>
      <w:r w:rsidR="0019475D">
        <w:t xml:space="preserve"> devices such as</w:t>
      </w:r>
      <w:r>
        <w:t xml:space="preserve"> UEs, RSU, or gNB that are used as reference</w:t>
      </w:r>
      <w:r w:rsidR="0019475D">
        <w:t>s</w:t>
      </w:r>
      <w:r>
        <w:t xml:space="preserve"> for position determination. The anchor nodes may be used to determine the relative</w:t>
      </w:r>
      <w:r w:rsidR="0019475D">
        <w:t xml:space="preserve"> or absolute</w:t>
      </w:r>
      <w:r>
        <w:t xml:space="preserve"> position of the target node.</w:t>
      </w:r>
      <w:r w:rsidR="001C7F4A">
        <w:t xml:space="preserve"> In the scenarios analyzed we consider at least </w:t>
      </w:r>
      <w:r w:rsidR="005C0732">
        <w:t xml:space="preserve">the </w:t>
      </w:r>
      <w:r w:rsidR="001C7F4A">
        <w:t>PC5 interface that is present and used for positioning purposes.</w:t>
      </w:r>
    </w:p>
    <w:p w14:paraId="45D08A3C" w14:textId="783148DC" w:rsidR="00AF2776" w:rsidRPr="00151368" w:rsidRDefault="001C7F4A" w:rsidP="003112A1">
      <w:pPr>
        <w:rPr>
          <w:b/>
          <w:bCs/>
        </w:rPr>
      </w:pPr>
      <w:r>
        <w:rPr>
          <w:b/>
          <w:bCs/>
        </w:rPr>
        <w:t>Observation</w:t>
      </w:r>
      <w:r w:rsidR="00440799">
        <w:rPr>
          <w:b/>
          <w:bCs/>
        </w:rPr>
        <w:t xml:space="preserve"> 1</w:t>
      </w:r>
      <w:r w:rsidR="00151368" w:rsidRPr="00151368">
        <w:rPr>
          <w:b/>
          <w:bCs/>
        </w:rPr>
        <w:t xml:space="preserve">: </w:t>
      </w:r>
      <w:r>
        <w:rPr>
          <w:b/>
          <w:bCs/>
        </w:rPr>
        <w:t>A</w:t>
      </w:r>
      <w:r w:rsidR="00B20016" w:rsidRPr="00151368">
        <w:rPr>
          <w:b/>
          <w:bCs/>
        </w:rPr>
        <w:t xml:space="preserve"> </w:t>
      </w:r>
      <w:r w:rsidR="00181D83" w:rsidRPr="00151368">
        <w:rPr>
          <w:b/>
          <w:bCs/>
        </w:rPr>
        <w:t xml:space="preserve">SL positioning </w:t>
      </w:r>
      <w:r w:rsidR="0019475D">
        <w:rPr>
          <w:b/>
          <w:bCs/>
        </w:rPr>
        <w:t xml:space="preserve">scenario </w:t>
      </w:r>
      <w:r w:rsidR="00034D85" w:rsidRPr="00151368">
        <w:rPr>
          <w:b/>
          <w:bCs/>
        </w:rPr>
        <w:t xml:space="preserve">as </w:t>
      </w:r>
      <w:r w:rsidR="00181D83" w:rsidRPr="00151368">
        <w:rPr>
          <w:b/>
          <w:bCs/>
        </w:rPr>
        <w:t xml:space="preserve">the positioning </w:t>
      </w:r>
      <w:r w:rsidR="0019475D">
        <w:rPr>
          <w:b/>
          <w:bCs/>
        </w:rPr>
        <w:t>scenario</w:t>
      </w:r>
      <w:r w:rsidR="00B20016" w:rsidRPr="00151368">
        <w:rPr>
          <w:b/>
          <w:bCs/>
        </w:rPr>
        <w:t xml:space="preserve"> </w:t>
      </w:r>
      <w:r w:rsidR="00181D83" w:rsidRPr="00151368">
        <w:rPr>
          <w:b/>
          <w:bCs/>
        </w:rPr>
        <w:t xml:space="preserve">where at least one </w:t>
      </w:r>
      <w:r w:rsidR="00B20016" w:rsidRPr="00151368">
        <w:rPr>
          <w:b/>
          <w:bCs/>
        </w:rPr>
        <w:t>sidelink wireless</w:t>
      </w:r>
      <w:r w:rsidR="00181D83" w:rsidRPr="00151368">
        <w:rPr>
          <w:b/>
          <w:bCs/>
        </w:rPr>
        <w:t xml:space="preserve"> link</w:t>
      </w:r>
      <w:r w:rsidR="00034D85" w:rsidRPr="00151368">
        <w:rPr>
          <w:b/>
          <w:bCs/>
        </w:rPr>
        <w:t xml:space="preserve"> </w:t>
      </w:r>
      <w:r w:rsidR="005C0732">
        <w:rPr>
          <w:b/>
          <w:bCs/>
        </w:rPr>
        <w:t xml:space="preserve">is </w:t>
      </w:r>
      <w:r w:rsidR="00B20016" w:rsidRPr="00151368">
        <w:rPr>
          <w:b/>
          <w:bCs/>
        </w:rPr>
        <w:t>used to</w:t>
      </w:r>
      <w:r w:rsidR="00181D83" w:rsidRPr="00151368">
        <w:rPr>
          <w:b/>
          <w:bCs/>
        </w:rPr>
        <w:t xml:space="preserve"> carr</w:t>
      </w:r>
      <w:r w:rsidR="00B20016" w:rsidRPr="00151368">
        <w:rPr>
          <w:b/>
          <w:bCs/>
        </w:rPr>
        <w:t>y</w:t>
      </w:r>
      <w:r w:rsidR="00181D83" w:rsidRPr="00151368">
        <w:rPr>
          <w:b/>
          <w:bCs/>
        </w:rPr>
        <w:t xml:space="preserve"> signals </w:t>
      </w:r>
      <w:r w:rsidR="00B20016" w:rsidRPr="00151368">
        <w:rPr>
          <w:b/>
          <w:bCs/>
        </w:rPr>
        <w:t>for</w:t>
      </w:r>
      <w:r w:rsidR="00181D83" w:rsidRPr="00151368">
        <w:rPr>
          <w:b/>
          <w:bCs/>
        </w:rPr>
        <w:t xml:space="preserve"> </w:t>
      </w:r>
      <w:r w:rsidR="00B20016" w:rsidRPr="00151368">
        <w:rPr>
          <w:b/>
          <w:bCs/>
        </w:rPr>
        <w:t>position determination</w:t>
      </w:r>
      <w:r w:rsidR="007C255F">
        <w:rPr>
          <w:b/>
          <w:bCs/>
        </w:rPr>
        <w:t xml:space="preserve"> of a target UE</w:t>
      </w:r>
      <w:r w:rsidR="00B20016" w:rsidRPr="00151368">
        <w:rPr>
          <w:b/>
          <w:bCs/>
        </w:rPr>
        <w:t>.</w:t>
      </w:r>
    </w:p>
    <w:p w14:paraId="09EB8693" w14:textId="437D1F41" w:rsidR="00B82614" w:rsidRDefault="00B82614" w:rsidP="00B82614">
      <w:r>
        <w:t xml:space="preserve">The solutions to be studied in this SID should be able to address multiple use </w:t>
      </w:r>
      <w:r w:rsidRPr="00B82614">
        <w:t xml:space="preserve">cases such as V2X (TR38.845, TS 22.186), public safety (TR38.845), commercial (TS22.261), </w:t>
      </w:r>
      <w:r w:rsidR="00775D7C">
        <w:t xml:space="preserve">and </w:t>
      </w:r>
      <w:r w:rsidRPr="00B82614">
        <w:t>IIOT (TS22.104).</w:t>
      </w:r>
    </w:p>
    <w:p w14:paraId="32853E7D" w14:textId="57480875" w:rsidR="00B82614" w:rsidRDefault="00B82614" w:rsidP="00B82614">
      <w:r>
        <w:t xml:space="preserve">Moreover, based on the coverage, the </w:t>
      </w:r>
      <w:r w:rsidR="00AA6BF4">
        <w:t xml:space="preserve">V2X </w:t>
      </w:r>
      <w:r>
        <w:t xml:space="preserve">positioning solutions should </w:t>
      </w:r>
      <w:r w:rsidR="00775D7C">
        <w:t xml:space="preserve">encompass </w:t>
      </w:r>
      <w:r w:rsidR="00C24384">
        <w:t>scenarios</w:t>
      </w:r>
      <w:r>
        <w:t xml:space="preserve"> when the target SL UE is in coverage of gNB and/or </w:t>
      </w:r>
      <w:r w:rsidR="00C50D4B">
        <w:t>Road Side Units (</w:t>
      </w:r>
      <w:r w:rsidR="00C24384">
        <w:t>RSUs</w:t>
      </w:r>
      <w:r w:rsidR="00C50D4B">
        <w:t>)</w:t>
      </w:r>
      <w:r w:rsidR="00C24384">
        <w:t>, scenarios</w:t>
      </w:r>
      <w:r>
        <w:t xml:space="preserve"> when target UE and/or anchor nodes</w:t>
      </w:r>
      <w:r w:rsidR="00C24384">
        <w:t xml:space="preserve"> (such SyncRef UEs) are in partial coverage and respectively scenarios when target UE and anchor nodes are out of coverage.</w:t>
      </w:r>
    </w:p>
    <w:p w14:paraId="7F8D4524" w14:textId="7624FC56" w:rsidR="00C24384" w:rsidRDefault="00C24384" w:rsidP="00C24384">
      <w:r>
        <w:t xml:space="preserve">It was determined, in the previous study [TR 38.845], that </w:t>
      </w:r>
      <w:r w:rsidR="0040134E">
        <w:t xml:space="preserve">most of positioning scenarios exhibit </w:t>
      </w:r>
      <w:r>
        <w:t>non-line of sight propagation (NLOS)</w:t>
      </w:r>
      <w:r w:rsidR="0040134E">
        <w:t xml:space="preserve"> conditions, which </w:t>
      </w:r>
      <w:r>
        <w:t xml:space="preserve">contribute substantially to the degradation of the accuracy </w:t>
      </w:r>
      <w:r w:rsidR="005772A6">
        <w:t>of</w:t>
      </w:r>
      <w:r>
        <w:t xml:space="preserve"> position determination. Thus</w:t>
      </w:r>
      <w:r w:rsidR="00A852C8">
        <w:t>,</w:t>
      </w:r>
      <w:r>
        <w:t xml:space="preserve"> the positioning solutions </w:t>
      </w:r>
      <w:r w:rsidR="00A852C8">
        <w:t>should be able to operate in scenarios with NLOS propagation between the target and the anchor nodes.</w:t>
      </w:r>
    </w:p>
    <w:p w14:paraId="4A2D99DD" w14:textId="3EDC4769" w:rsidR="00B82614" w:rsidRDefault="00C24384" w:rsidP="003112A1">
      <w:r>
        <w:t xml:space="preserve">In this contribution we will take a closer look at the scenarios and the associated requirements for </w:t>
      </w:r>
      <w:r w:rsidR="005772A6">
        <w:t xml:space="preserve">sidelink </w:t>
      </w:r>
      <w:r>
        <w:t>positioning.</w:t>
      </w:r>
    </w:p>
    <w:p w14:paraId="6EE6F497" w14:textId="161E5AA1" w:rsidR="00335C55" w:rsidRPr="009F24D5" w:rsidRDefault="00C24384" w:rsidP="009F24D5">
      <w:r w:rsidRPr="009F24D5">
        <w:t xml:space="preserve"> </w:t>
      </w:r>
    </w:p>
    <w:p w14:paraId="731A9D6A" w14:textId="1C2AB03A" w:rsidR="003D5F5D" w:rsidRDefault="003D5F5D" w:rsidP="000479B4">
      <w:pPr>
        <w:pStyle w:val="Heading1"/>
        <w:tabs>
          <w:tab w:val="clear" w:pos="2592"/>
        </w:tabs>
        <w:ind w:left="540" w:hanging="540"/>
      </w:pPr>
      <w:r>
        <w:t>V2X scenarios</w:t>
      </w:r>
    </w:p>
    <w:p w14:paraId="6C884D2F" w14:textId="77777777" w:rsidR="0020771E" w:rsidRDefault="00212875" w:rsidP="003112A1">
      <w:r>
        <w:t>The 3GPP system (TS22.261</w:t>
      </w:r>
      <w:r w:rsidR="001A04A5">
        <w:t>, TS 22.186</w:t>
      </w:r>
      <w:r>
        <w:t>) is expected to support various enhanced V2X scenarios such as</w:t>
      </w:r>
      <w:r w:rsidR="0020771E">
        <w:t>:</w:t>
      </w:r>
    </w:p>
    <w:p w14:paraId="4B3578BF" w14:textId="2CD9B3EE" w:rsidR="0020771E" w:rsidRDefault="0020771E" w:rsidP="0020771E">
      <w:pPr>
        <w:pStyle w:val="ListParagraph"/>
        <w:numPr>
          <w:ilvl w:val="0"/>
          <w:numId w:val="24"/>
        </w:numPr>
      </w:pPr>
      <w:r>
        <w:t>V</w:t>
      </w:r>
      <w:r w:rsidR="00212875">
        <w:t xml:space="preserve">ehicles </w:t>
      </w:r>
      <w:r>
        <w:t>P</w:t>
      </w:r>
      <w:r w:rsidR="00212875">
        <w:t xml:space="preserve">latooning, </w:t>
      </w:r>
    </w:p>
    <w:p w14:paraId="2E42A02B" w14:textId="35D7E771" w:rsidR="0020771E" w:rsidRDefault="0020771E" w:rsidP="0020771E">
      <w:pPr>
        <w:pStyle w:val="ListParagraph"/>
        <w:numPr>
          <w:ilvl w:val="0"/>
          <w:numId w:val="24"/>
        </w:numPr>
      </w:pPr>
      <w:r>
        <w:t>A</w:t>
      </w:r>
      <w:r w:rsidR="00212875">
        <w:t xml:space="preserve">dvanced </w:t>
      </w:r>
      <w:r>
        <w:t>D</w:t>
      </w:r>
      <w:r w:rsidR="00212875">
        <w:t xml:space="preserve">riving (semi-automated, fully automated driving), </w:t>
      </w:r>
    </w:p>
    <w:p w14:paraId="64477471" w14:textId="52DA59A7" w:rsidR="0020771E" w:rsidRDefault="0020771E" w:rsidP="0020771E">
      <w:pPr>
        <w:pStyle w:val="ListParagraph"/>
        <w:numPr>
          <w:ilvl w:val="0"/>
          <w:numId w:val="24"/>
        </w:numPr>
      </w:pPr>
      <w:r>
        <w:t>Extended Sensors (</w:t>
      </w:r>
      <w:r>
        <w:rPr>
          <w:lang w:val="nl-NL" w:eastAsia="zh-CN"/>
        </w:rPr>
        <w:t>exchange of raw or processed data gathered through local sensors or live video data among vehicles, RSUs, devices of pedestrians and V2X application servers)</w:t>
      </w:r>
    </w:p>
    <w:p w14:paraId="2E9317FC" w14:textId="08338C5A" w:rsidR="0020771E" w:rsidRDefault="0020771E" w:rsidP="0020771E">
      <w:pPr>
        <w:pStyle w:val="ListParagraph"/>
        <w:numPr>
          <w:ilvl w:val="0"/>
          <w:numId w:val="24"/>
        </w:numPr>
      </w:pPr>
      <w:r>
        <w:t>R</w:t>
      </w:r>
      <w:r w:rsidR="005772A6">
        <w:t xml:space="preserve">emote </w:t>
      </w:r>
      <w:r>
        <w:t>D</w:t>
      </w:r>
      <w:r w:rsidR="005772A6">
        <w:t xml:space="preserve">riving </w:t>
      </w:r>
    </w:p>
    <w:p w14:paraId="672CF77B" w14:textId="4960C716" w:rsidR="0020771E" w:rsidRDefault="0020771E" w:rsidP="0020771E">
      <w:pPr>
        <w:pStyle w:val="ListParagraph"/>
        <w:numPr>
          <w:ilvl w:val="0"/>
          <w:numId w:val="24"/>
        </w:numPr>
      </w:pPr>
      <w:r>
        <w:t>Vehicle Quality Service Support (</w:t>
      </w:r>
      <w:r>
        <w:rPr>
          <w:lang w:eastAsia="ko-KR"/>
        </w:rPr>
        <w:t>timely notifications of expected or estimated change of quality of service before actual change occurs)</w:t>
      </w:r>
    </w:p>
    <w:p w14:paraId="20A46625" w14:textId="03F161C6" w:rsidR="005772A6" w:rsidRDefault="003F05E6" w:rsidP="005772A6">
      <w:r>
        <w:t xml:space="preserve">It is expected </w:t>
      </w:r>
      <w:r w:rsidR="005772A6">
        <w:t xml:space="preserve">that </w:t>
      </w:r>
      <w:r w:rsidR="005754A3">
        <w:t xml:space="preserve">some scenarios, such as outdoor dense urban, the </w:t>
      </w:r>
      <w:r w:rsidR="00A852C8">
        <w:t xml:space="preserve">NLOS </w:t>
      </w:r>
      <w:r w:rsidR="005754A3">
        <w:t xml:space="preserve">propagation and </w:t>
      </w:r>
      <w:r w:rsidR="00545D94">
        <w:t>limited GNSS</w:t>
      </w:r>
      <w:r w:rsidR="005754A3">
        <w:t xml:space="preserve"> access will pose more difficulties for location determination. On the other hand, other </w:t>
      </w:r>
      <w:r w:rsidR="00545D94">
        <w:t xml:space="preserve">outdoor </w:t>
      </w:r>
      <w:r w:rsidR="005754A3">
        <w:t xml:space="preserve">scenarios such as </w:t>
      </w:r>
      <w:r w:rsidR="00545D94">
        <w:t xml:space="preserve">the </w:t>
      </w:r>
      <w:r w:rsidR="005754A3">
        <w:t xml:space="preserve">highways </w:t>
      </w:r>
      <w:r w:rsidR="00545D94">
        <w:t>will pose different type of challenges determined by the high vehicle speeds</w:t>
      </w:r>
      <w:r w:rsidR="00A852C8">
        <w:t xml:space="preserve"> (Doppler phase shift)</w:t>
      </w:r>
      <w:r w:rsidR="00545D94">
        <w:t>.</w:t>
      </w:r>
      <w:r w:rsidR="005772A6" w:rsidRPr="005772A6">
        <w:t xml:space="preserve"> </w:t>
      </w:r>
    </w:p>
    <w:p w14:paraId="419CC07A" w14:textId="374F7AE0" w:rsidR="007766CC" w:rsidRDefault="007766CC" w:rsidP="007766CC">
      <w:pPr>
        <w:pStyle w:val="Heading2"/>
      </w:pPr>
      <w:r>
        <w:t>Coverage</w:t>
      </w:r>
    </w:p>
    <w:p w14:paraId="3102668B" w14:textId="70414A0A" w:rsidR="000359D1" w:rsidRDefault="00C0030A" w:rsidP="000359D1">
      <w:r>
        <w:t xml:space="preserve">Figure 1 shows various scenarios to be supported by the V2X positioning solutions.  The target UE may be </w:t>
      </w:r>
      <w:r w:rsidRPr="003F708B">
        <w:rPr>
          <w:b/>
          <w:bCs/>
        </w:rPr>
        <w:t>in coverage</w:t>
      </w:r>
      <w:r>
        <w:t xml:space="preserve"> of gNB (Uu link) or in </w:t>
      </w:r>
      <w:r w:rsidR="00C50D4B">
        <w:t xml:space="preserve">the </w:t>
      </w:r>
      <w:r>
        <w:t xml:space="preserve">coverage of </w:t>
      </w:r>
      <w:r w:rsidR="003E4161">
        <w:t>Roadside</w:t>
      </w:r>
      <w:r>
        <w:t xml:space="preserve"> Unit</w:t>
      </w:r>
      <w:r w:rsidR="00C50D4B">
        <w:t>s</w:t>
      </w:r>
      <w:r>
        <w:t xml:space="preserve"> (RSU with PC5 link). </w:t>
      </w:r>
      <w:r w:rsidR="003E4161">
        <w:t xml:space="preserve">When the target UE is in </w:t>
      </w:r>
      <w:r w:rsidR="003E4161" w:rsidRPr="003F708B">
        <w:rPr>
          <w:b/>
          <w:bCs/>
        </w:rPr>
        <w:t>partial coverage</w:t>
      </w:r>
      <w:r w:rsidR="003E4161">
        <w:t xml:space="preserve"> there is no direct link to gNB or RSU, however the network is reachable through a SL relay.</w:t>
      </w:r>
      <w:r w:rsidR="003E4161" w:rsidRPr="003E4161">
        <w:t xml:space="preserve"> </w:t>
      </w:r>
      <w:r w:rsidR="003E4161">
        <w:t xml:space="preserve">It expected that </w:t>
      </w:r>
      <w:r w:rsidR="00C50D4B">
        <w:t xml:space="preserve">a </w:t>
      </w:r>
      <w:r w:rsidR="003E4161">
        <w:t xml:space="preserve">Location Management Function (LMF) </w:t>
      </w:r>
      <w:r w:rsidR="00C50D4B">
        <w:t xml:space="preserve">will </w:t>
      </w:r>
      <w:r w:rsidR="003E4161">
        <w:t xml:space="preserve">orchestrate the positioning configurations of the reference signals and their measurements for the in coverage and partial coverage situations.  </w:t>
      </w:r>
    </w:p>
    <w:p w14:paraId="13422D0A" w14:textId="4A414FBC" w:rsidR="000359D1" w:rsidRPr="00F36D06" w:rsidRDefault="000359D1" w:rsidP="000359D1">
      <w:pPr>
        <w:rPr>
          <w:rFonts w:eastAsia="Malgun Gothic"/>
          <w:lang w:eastAsia="ko-KR"/>
        </w:rPr>
      </w:pPr>
      <w:r>
        <w:lastRenderedPageBreak/>
        <w:t xml:space="preserve">As Figure 1 suggests, it is expected that </w:t>
      </w:r>
      <w:r w:rsidRPr="00F36D06">
        <w:rPr>
          <w:rFonts w:eastAsia="Malgun Gothic"/>
          <w:lang w:eastAsia="ko-KR"/>
        </w:rPr>
        <w:t xml:space="preserve">Uu interface (uplink and downlink), PC5 interface (sidelink), and their combinations </w:t>
      </w:r>
      <w:r>
        <w:rPr>
          <w:rFonts w:eastAsia="Malgun Gothic"/>
          <w:lang w:eastAsia="ko-KR"/>
        </w:rPr>
        <w:t>may be</w:t>
      </w:r>
      <w:r w:rsidRPr="00F36D06">
        <w:rPr>
          <w:rFonts w:eastAsia="Malgun Gothic"/>
          <w:lang w:eastAsia="ko-KR"/>
        </w:rPr>
        <w:t xml:space="preserve"> considered a</w:t>
      </w:r>
      <w:r w:rsidRPr="00F36D06">
        <w:rPr>
          <w:rFonts w:eastAsia="Malgun Gothic" w:hint="eastAsia"/>
          <w:lang w:eastAsia="ko-KR"/>
        </w:rPr>
        <w:t>s the radio link for positioning.</w:t>
      </w:r>
      <w:r w:rsidR="0040134E">
        <w:rPr>
          <w:rFonts w:eastAsia="Malgun Gothic"/>
          <w:lang w:eastAsia="ko-KR"/>
        </w:rPr>
        <w:t xml:space="preserve"> In the Figure 1 S-PRS denote</w:t>
      </w:r>
      <w:r w:rsidR="00921C3C">
        <w:rPr>
          <w:rFonts w:eastAsia="Malgun Gothic"/>
          <w:lang w:eastAsia="ko-KR"/>
        </w:rPr>
        <w:t>s</w:t>
      </w:r>
      <w:r w:rsidR="0040134E">
        <w:rPr>
          <w:rFonts w:eastAsia="Malgun Gothic"/>
          <w:lang w:eastAsia="ko-KR"/>
        </w:rPr>
        <w:t xml:space="preserve"> the SL Positioning RS, </w:t>
      </w:r>
      <w:r w:rsidR="00921C3C">
        <w:rPr>
          <w:rFonts w:eastAsia="Malgun Gothic"/>
          <w:lang w:eastAsia="ko-KR"/>
        </w:rPr>
        <w:t>necessary</w:t>
      </w:r>
      <w:r w:rsidR="0040134E">
        <w:rPr>
          <w:rFonts w:eastAsia="Malgun Gothic"/>
          <w:lang w:eastAsia="ko-KR"/>
        </w:rPr>
        <w:t xml:space="preserve"> for positioning purposes</w:t>
      </w:r>
      <w:r w:rsidR="00921C3C">
        <w:rPr>
          <w:rFonts w:eastAsia="Malgun Gothic"/>
          <w:lang w:eastAsia="ko-KR"/>
        </w:rPr>
        <w:t xml:space="preserve"> and carried over PC5.</w:t>
      </w:r>
    </w:p>
    <w:p w14:paraId="6CC690C0" w14:textId="512C5F8E" w:rsidR="000359D1" w:rsidRPr="00F36D06" w:rsidRDefault="000359D1" w:rsidP="000359D1">
      <w:pPr>
        <w:rPr>
          <w:rFonts w:eastAsia="Malgun Gothic"/>
          <w:lang w:eastAsia="ko-KR"/>
        </w:rPr>
      </w:pPr>
      <w:r w:rsidRPr="00F36D06">
        <w:rPr>
          <w:rFonts w:eastAsia="Malgun Gothic"/>
          <w:lang w:eastAsia="ko-KR"/>
        </w:rPr>
        <w:t xml:space="preserve">Uu interface is available </w:t>
      </w:r>
      <w:r>
        <w:rPr>
          <w:rFonts w:eastAsia="Malgun Gothic"/>
          <w:lang w:eastAsia="ko-KR"/>
        </w:rPr>
        <w:t>for UEs under</w:t>
      </w:r>
      <w:r w:rsidRPr="00F36D06">
        <w:rPr>
          <w:rFonts w:eastAsia="Malgun Gothic"/>
          <w:lang w:eastAsia="ko-KR"/>
        </w:rPr>
        <w:t xml:space="preserve"> in-coverage scenario, and for UE</w:t>
      </w:r>
      <w:r>
        <w:rPr>
          <w:rFonts w:eastAsia="Malgun Gothic" w:hint="eastAsia"/>
          <w:lang w:eastAsia="ko-KR"/>
        </w:rPr>
        <w:t>s</w:t>
      </w:r>
      <w:r w:rsidRPr="00F36D06">
        <w:rPr>
          <w:rFonts w:eastAsia="Malgun Gothic"/>
          <w:lang w:eastAsia="ko-KR"/>
        </w:rPr>
        <w:t xml:space="preserve"> </w:t>
      </w:r>
      <w:r>
        <w:rPr>
          <w:rFonts w:eastAsia="Malgun Gothic"/>
          <w:lang w:eastAsia="ko-KR"/>
        </w:rPr>
        <w:t>under</w:t>
      </w:r>
      <w:r w:rsidRPr="00F36D06">
        <w:rPr>
          <w:rFonts w:eastAsia="Malgun Gothic"/>
          <w:lang w:eastAsia="ko-KR"/>
        </w:rPr>
        <w:t xml:space="preserve"> network coverage in partial coverage scenario, while PC5 interface is available </w:t>
      </w:r>
      <w:r>
        <w:rPr>
          <w:rFonts w:eastAsia="Malgun Gothic"/>
          <w:lang w:eastAsia="ko-KR"/>
        </w:rPr>
        <w:t>for UEs under</w:t>
      </w:r>
      <w:r w:rsidRPr="00F36D06">
        <w:rPr>
          <w:rFonts w:eastAsia="Malgun Gothic"/>
          <w:lang w:eastAsia="ko-KR"/>
        </w:rPr>
        <w:t xml:space="preserve"> in-coverage, partial coverage, out-of-coverage scenarios.</w:t>
      </w:r>
    </w:p>
    <w:p w14:paraId="57C36A97" w14:textId="13C25C71" w:rsidR="003E4161" w:rsidRDefault="003E4161" w:rsidP="005772A6">
      <w:r>
        <w:t xml:space="preserve">For the </w:t>
      </w:r>
      <w:r w:rsidRPr="003F708B">
        <w:rPr>
          <w:b/>
          <w:bCs/>
        </w:rPr>
        <w:t>out of coverage</w:t>
      </w:r>
      <w:r>
        <w:t xml:space="preserve"> situations</w:t>
      </w:r>
      <w:r w:rsidR="001526A2">
        <w:t>,</w:t>
      </w:r>
      <w:r>
        <w:t xml:space="preserve"> both target UE and anchor UEs </w:t>
      </w:r>
      <w:r w:rsidR="00145BDE">
        <w:t xml:space="preserve">do </w:t>
      </w:r>
      <w:r>
        <w:t xml:space="preserve">not </w:t>
      </w:r>
      <w:r w:rsidR="00145BDE">
        <w:t xml:space="preserve">have </w:t>
      </w:r>
      <w:r>
        <w:t xml:space="preserve">a direct link to the network (gNB, or RSU). For these scenarios, RAN1 needs to study and define how the management of </w:t>
      </w:r>
      <w:r w:rsidR="001526A2">
        <w:t xml:space="preserve">SL positioning is implemented. </w:t>
      </w:r>
    </w:p>
    <w:p w14:paraId="0B002369" w14:textId="1F5B29D8" w:rsidR="00AA6BF4" w:rsidRDefault="00AA6BF4" w:rsidP="005772A6"/>
    <w:p w14:paraId="74413A87" w14:textId="77777777" w:rsidR="00C0030A" w:rsidRDefault="00C0030A" w:rsidP="00C0030A">
      <w:pPr>
        <w:keepNext/>
        <w:jc w:val="center"/>
      </w:pPr>
      <w:r>
        <w:rPr>
          <w:noProof/>
        </w:rPr>
        <w:drawing>
          <wp:inline distT="0" distB="0" distL="0" distR="0" wp14:anchorId="7BF1D01C" wp14:editId="520346D6">
            <wp:extent cx="5723184" cy="349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0548" cy="3497629"/>
                    </a:xfrm>
                    <a:prstGeom prst="rect">
                      <a:avLst/>
                    </a:prstGeom>
                    <a:noFill/>
                  </pic:spPr>
                </pic:pic>
              </a:graphicData>
            </a:graphic>
          </wp:inline>
        </w:drawing>
      </w:r>
    </w:p>
    <w:p w14:paraId="07610DE0" w14:textId="76B16994" w:rsidR="00AA6BF4" w:rsidRDefault="00C0030A" w:rsidP="00C0030A">
      <w:pPr>
        <w:pStyle w:val="Caption"/>
      </w:pPr>
      <w:r>
        <w:t xml:space="preserve">Figure </w:t>
      </w:r>
      <w:fldSimple w:instr=" SEQ Figure \* ARABIC ">
        <w:r w:rsidR="00092145">
          <w:rPr>
            <w:noProof/>
          </w:rPr>
          <w:t>1</w:t>
        </w:r>
      </w:fldSimple>
      <w:r w:rsidR="00921C3C">
        <w:rPr>
          <w:noProof/>
        </w:rPr>
        <w:t>, Examples of V2X scenarios in coverage, partial coverage and out of covverage</w:t>
      </w:r>
    </w:p>
    <w:p w14:paraId="4EFE6894" w14:textId="10FED3BB" w:rsidR="000E6865" w:rsidRDefault="000E6865" w:rsidP="000E6865"/>
    <w:p w14:paraId="1A051AF6" w14:textId="299D70D3" w:rsidR="007766CC" w:rsidRDefault="007766CC" w:rsidP="007766CC">
      <w:pPr>
        <w:pStyle w:val="Heading2"/>
      </w:pPr>
      <w:r>
        <w:t>Position Calculation Entity</w:t>
      </w:r>
    </w:p>
    <w:p w14:paraId="218C33EB" w14:textId="0705DB58" w:rsidR="00252A05" w:rsidRDefault="000E6865" w:rsidP="00252A05">
      <w:r>
        <w:t>5GAA [</w:t>
      </w:r>
      <w:r w:rsidR="005709DE">
        <w:t>6,7,8</w:t>
      </w:r>
      <w:r>
        <w:t xml:space="preserve">] and 3GPP [TR 38.845] identify </w:t>
      </w:r>
      <w:r w:rsidR="001D6809">
        <w:t>two</w:t>
      </w:r>
      <w:r>
        <w:t xml:space="preserve"> configuration cases based on the calculation entity. </w:t>
      </w:r>
      <w:r w:rsidR="002D3D7C">
        <w:t xml:space="preserve">The </w:t>
      </w:r>
      <w:r w:rsidR="000359D1" w:rsidRPr="003F708B">
        <w:rPr>
          <w:b/>
          <w:bCs/>
        </w:rPr>
        <w:t>UE based solutions</w:t>
      </w:r>
      <w:r w:rsidR="000359D1">
        <w:t>, whe</w:t>
      </w:r>
      <w:r w:rsidR="002D3D7C">
        <w:t>re</w:t>
      </w:r>
      <w:r w:rsidR="000359D1">
        <w:t xml:space="preserve"> the target UE collects the measurements and estimates its location, and</w:t>
      </w:r>
      <w:r w:rsidR="002D3D7C">
        <w:t xml:space="preserve"> the</w:t>
      </w:r>
      <w:r w:rsidR="000359D1">
        <w:t xml:space="preserve"> </w:t>
      </w:r>
      <w:r w:rsidR="000359D1" w:rsidRPr="003F708B">
        <w:rPr>
          <w:b/>
          <w:bCs/>
        </w:rPr>
        <w:t>UE assisted solutions</w:t>
      </w:r>
      <w:r w:rsidR="000359D1">
        <w:t>, whe</w:t>
      </w:r>
      <w:r w:rsidR="002D3D7C">
        <w:t>re</w:t>
      </w:r>
      <w:r w:rsidR="000359D1">
        <w:t xml:space="preserve"> the target UE collects some or all measurements and send them to the network where </w:t>
      </w:r>
      <w:r w:rsidR="006C4AC2">
        <w:t xml:space="preserve">LMF estimates the location. </w:t>
      </w:r>
      <w:r>
        <w:t xml:space="preserve">We note that </w:t>
      </w:r>
      <w:r>
        <w:rPr>
          <w:rFonts w:eastAsia="Malgun Gothic"/>
        </w:rPr>
        <w:t xml:space="preserve">the type of </w:t>
      </w:r>
      <w:r w:rsidRPr="00573C97">
        <w:rPr>
          <w:rFonts w:eastAsia="Malgun Gothic"/>
        </w:rPr>
        <w:t>the position calculation entity does not limit which interface(s) can be used for the radio link(s)</w:t>
      </w:r>
      <w:r>
        <w:rPr>
          <w:rFonts w:eastAsia="Malgun Gothic"/>
        </w:rPr>
        <w:t>.</w:t>
      </w:r>
      <w:r w:rsidR="004861A5">
        <w:rPr>
          <w:rFonts w:eastAsia="Malgun Gothic"/>
        </w:rPr>
        <w:t xml:space="preserve"> The UE based solutions may not require the connectivity to a</w:t>
      </w:r>
      <w:r w:rsidR="00145BDE">
        <w:rPr>
          <w:rFonts w:eastAsia="Malgun Gothic"/>
        </w:rPr>
        <w:t>n</w:t>
      </w:r>
      <w:r w:rsidR="004861A5">
        <w:rPr>
          <w:rFonts w:eastAsia="Malgun Gothic"/>
        </w:rPr>
        <w:t xml:space="preserve"> LMF entity.</w:t>
      </w:r>
    </w:p>
    <w:p w14:paraId="49504F56" w14:textId="28F44E6C" w:rsidR="000359D1" w:rsidRDefault="007766CC" w:rsidP="007766CC">
      <w:pPr>
        <w:pStyle w:val="Heading2"/>
      </w:pPr>
      <w:r>
        <w:t>Spectrum</w:t>
      </w:r>
    </w:p>
    <w:p w14:paraId="247BF59D" w14:textId="712308CF" w:rsidR="00CC1AD1" w:rsidRDefault="00CC1AD1" w:rsidP="00A33458">
      <w:r>
        <w:t>The Intelligent Transportation System (ITS) applications will deploy the V2X communications in dedicated spectrum.</w:t>
      </w:r>
    </w:p>
    <w:p w14:paraId="13740408" w14:textId="131EED22" w:rsidR="00447662" w:rsidRDefault="00A33458" w:rsidP="003F708B">
      <w:pPr>
        <w:pStyle w:val="ListParagraph"/>
        <w:numPr>
          <w:ilvl w:val="0"/>
          <w:numId w:val="29"/>
        </w:numPr>
      </w:pPr>
      <w:r>
        <w:t xml:space="preserve">In November 2020, the FCC adopted a Report &amp; Order (R&amp;O) in docket number 19-138 [7] revising its rules for the 5850-5925 MHz band, which had been dedicated exclusively for DSRC. The R&amp;O concluded that the </w:t>
      </w:r>
      <w:r w:rsidRPr="003F708B">
        <w:rPr>
          <w:b/>
          <w:bCs/>
        </w:rPr>
        <w:t>United States</w:t>
      </w:r>
      <w:r>
        <w:t xml:space="preserve"> should move forward with C-V2X in the 5895-5925 MHz portion of the band.</w:t>
      </w:r>
    </w:p>
    <w:p w14:paraId="42F2A8DF" w14:textId="77D1FCE5" w:rsidR="00A33458" w:rsidRDefault="00A33458" w:rsidP="003F708B">
      <w:pPr>
        <w:pStyle w:val="ListParagraph"/>
        <w:numPr>
          <w:ilvl w:val="0"/>
          <w:numId w:val="29"/>
        </w:numPr>
      </w:pPr>
      <w:r>
        <w:lastRenderedPageBreak/>
        <w:t xml:space="preserve">In October 2018, in </w:t>
      </w:r>
      <w:r w:rsidRPr="003F708B">
        <w:rPr>
          <w:b/>
          <w:bCs/>
        </w:rPr>
        <w:t>China</w:t>
      </w:r>
      <w:r>
        <w:t xml:space="preserve">, the MIIT </w:t>
      </w:r>
      <w:r w:rsidR="00257144">
        <w:t>decided</w:t>
      </w:r>
      <w:r>
        <w:t xml:space="preserve"> to make 5905-5925 MHz available for use by LTE-V2X (PC5) in China on a technology specific basis, with the lower 10 MHz block for V2V communications, and the upper 10 MHz block for V2I/I2V communications.</w:t>
      </w:r>
    </w:p>
    <w:p w14:paraId="4DDFCAF6" w14:textId="0D842131" w:rsidR="00257144" w:rsidRDefault="00257144" w:rsidP="003F708B">
      <w:pPr>
        <w:pStyle w:val="ListParagraph"/>
        <w:numPr>
          <w:ilvl w:val="0"/>
          <w:numId w:val="29"/>
        </w:numPr>
      </w:pPr>
      <w:r>
        <w:t xml:space="preserve">In </w:t>
      </w:r>
      <w:r w:rsidRPr="003F708B">
        <w:rPr>
          <w:b/>
          <w:bCs/>
        </w:rPr>
        <w:t>Europe</w:t>
      </w:r>
      <w:r>
        <w:t xml:space="preserve"> 5855-5875 MHz is designated for non-safety road-ITS, whereas 5875-5935 MHz is designated for safety related ITS.</w:t>
      </w:r>
    </w:p>
    <w:p w14:paraId="6D37DCCF" w14:textId="58006D46" w:rsidR="00CC1AD1" w:rsidRPr="004861A5" w:rsidRDefault="000E2F8A" w:rsidP="004D6DD0">
      <w:r>
        <w:rPr>
          <w:lang w:val="nl-NL" w:eastAsia="zh-CN"/>
        </w:rPr>
        <w:t xml:space="preserve">Different V2X scenarios require the transport of V2X messages with different performance requirements for the 3GPP system. Depending </w:t>
      </w:r>
      <w:r w:rsidR="007C556E">
        <w:rPr>
          <w:lang w:val="nl-NL" w:eastAsia="zh-CN"/>
        </w:rPr>
        <w:t>on</w:t>
      </w:r>
      <w:r>
        <w:rPr>
          <w:lang w:val="nl-NL" w:eastAsia="zh-CN"/>
        </w:rPr>
        <w:t xml:space="preserve"> the requirements some of the services V2X may be deployed in the </w:t>
      </w:r>
      <w:r w:rsidRPr="003F708B">
        <w:rPr>
          <w:b/>
          <w:bCs/>
          <w:lang w:val="nl-NL" w:eastAsia="zh-CN"/>
        </w:rPr>
        <w:t>ITS speactru</w:t>
      </w:r>
      <w:r w:rsidR="001D6809" w:rsidRPr="003F708B">
        <w:rPr>
          <w:b/>
          <w:bCs/>
          <w:lang w:val="nl-NL" w:eastAsia="zh-CN"/>
        </w:rPr>
        <w:t>m</w:t>
      </w:r>
      <w:r>
        <w:rPr>
          <w:lang w:val="nl-NL" w:eastAsia="zh-CN"/>
        </w:rPr>
        <w:t xml:space="preserve"> while others can be deployed in the </w:t>
      </w:r>
      <w:r w:rsidRPr="003F708B">
        <w:rPr>
          <w:b/>
          <w:bCs/>
          <w:lang w:val="nl-NL" w:eastAsia="zh-CN"/>
        </w:rPr>
        <w:t>licensed spectrum</w:t>
      </w:r>
      <w:r>
        <w:rPr>
          <w:lang w:val="nl-NL" w:eastAsia="zh-CN"/>
        </w:rPr>
        <w:t xml:space="preserve">. For instance, the services that require </w:t>
      </w:r>
      <w:r w:rsidR="001D6809">
        <w:rPr>
          <w:lang w:val="nl-NL" w:eastAsia="zh-CN"/>
        </w:rPr>
        <w:t>basic safety may be in ITS spectrum and advanced services using for example unicast communication may use licensed spectrum.</w:t>
      </w:r>
      <w:r>
        <w:rPr>
          <w:lang w:val="nl-NL" w:eastAsia="zh-CN"/>
        </w:rPr>
        <w:t xml:space="preserve"> </w:t>
      </w:r>
      <w:r w:rsidR="001D6809">
        <w:t>The positioning accuracy is expected to be related to the amount of available spectrum.</w:t>
      </w:r>
      <w:r w:rsidR="004861A5">
        <w:t xml:space="preserve"> </w:t>
      </w:r>
    </w:p>
    <w:p w14:paraId="6A70BB16" w14:textId="70D13EC2" w:rsidR="00447662" w:rsidRDefault="00E37519" w:rsidP="00252A05">
      <w:r>
        <w:t xml:space="preserve">In TR 38.855 the BW considered for positioning takes values of 5, 50 and 100 MHz (FR1), and 100, 400 MHz (FR2). </w:t>
      </w:r>
      <w:r w:rsidR="00B37F85">
        <w:t>These values may cover both the ITS and the licensed applications of the V2X positioning.</w:t>
      </w:r>
      <w:r w:rsidR="00F67701">
        <w:t xml:space="preserve"> </w:t>
      </w:r>
      <w:r w:rsidR="001D6809">
        <w:t>A</w:t>
      </w:r>
      <w:r w:rsidR="00F67701">
        <w:t xml:space="preserve"> SL UE may </w:t>
      </w:r>
      <w:r w:rsidR="001D6809">
        <w:t xml:space="preserve">be able to </w:t>
      </w:r>
      <w:r w:rsidR="00F67701">
        <w:t>use for SL positioning references with different signaling and bandwidth sizes.</w:t>
      </w:r>
    </w:p>
    <w:p w14:paraId="55697146" w14:textId="29DA05D9" w:rsidR="00974B1F" w:rsidRDefault="00775112" w:rsidP="00974B1F">
      <w:pPr>
        <w:rPr>
          <w:b/>
          <w:bCs/>
        </w:rPr>
      </w:pPr>
      <w:r>
        <w:rPr>
          <w:b/>
          <w:bCs/>
        </w:rPr>
        <w:t>Proposal</w:t>
      </w:r>
      <w:r w:rsidR="00B970B3">
        <w:rPr>
          <w:b/>
          <w:bCs/>
        </w:rPr>
        <w:t xml:space="preserve"> 1</w:t>
      </w:r>
      <w:r w:rsidR="00E37519" w:rsidRPr="0041688E">
        <w:rPr>
          <w:b/>
          <w:bCs/>
        </w:rPr>
        <w:t xml:space="preserve">: </w:t>
      </w:r>
      <w:r w:rsidR="0041688E" w:rsidRPr="0041688E">
        <w:rPr>
          <w:b/>
          <w:bCs/>
        </w:rPr>
        <w:t>T</w:t>
      </w:r>
      <w:r w:rsidR="00974B1F" w:rsidRPr="0041688E">
        <w:rPr>
          <w:b/>
          <w:bCs/>
        </w:rPr>
        <w:t xml:space="preserve">he SL positioning </w:t>
      </w:r>
      <w:r>
        <w:rPr>
          <w:b/>
          <w:bCs/>
        </w:rPr>
        <w:t xml:space="preserve">solutions should </w:t>
      </w:r>
      <w:r w:rsidR="00F67701">
        <w:rPr>
          <w:b/>
          <w:bCs/>
        </w:rPr>
        <w:t>be able to cover and combine</w:t>
      </w:r>
      <w:r>
        <w:rPr>
          <w:b/>
          <w:bCs/>
        </w:rPr>
        <w:t xml:space="preserve"> a wide range</w:t>
      </w:r>
      <w:r w:rsidR="00974B1F" w:rsidRPr="0041688E">
        <w:rPr>
          <w:b/>
          <w:bCs/>
        </w:rPr>
        <w:t xml:space="preserve"> </w:t>
      </w:r>
      <w:r w:rsidR="00F67701">
        <w:rPr>
          <w:b/>
          <w:bCs/>
        </w:rPr>
        <w:t xml:space="preserve">of </w:t>
      </w:r>
      <w:r w:rsidR="00B970B3">
        <w:rPr>
          <w:b/>
          <w:bCs/>
        </w:rPr>
        <w:t xml:space="preserve">signaling </w:t>
      </w:r>
      <w:r w:rsidR="00974B1F" w:rsidRPr="0041688E">
        <w:rPr>
          <w:b/>
          <w:bCs/>
        </w:rPr>
        <w:t xml:space="preserve">BW </w:t>
      </w:r>
      <w:r w:rsidR="00B37F85" w:rsidRPr="0041688E">
        <w:rPr>
          <w:b/>
          <w:bCs/>
        </w:rPr>
        <w:t>size</w:t>
      </w:r>
      <w:r w:rsidR="00974B1F" w:rsidRPr="0041688E">
        <w:rPr>
          <w:b/>
          <w:bCs/>
        </w:rPr>
        <w:t xml:space="preserve">s </w:t>
      </w:r>
      <w:r>
        <w:rPr>
          <w:b/>
          <w:bCs/>
        </w:rPr>
        <w:t>from</w:t>
      </w:r>
      <w:r w:rsidR="00282F3C" w:rsidRPr="0041688E">
        <w:rPr>
          <w:b/>
          <w:bCs/>
        </w:rPr>
        <w:t xml:space="preserve"> 5</w:t>
      </w:r>
      <w:r w:rsidR="00974B1F" w:rsidRPr="0041688E">
        <w:rPr>
          <w:b/>
          <w:bCs/>
        </w:rPr>
        <w:t xml:space="preserve">, 10, and </w:t>
      </w:r>
      <w:r w:rsidR="00B37F85" w:rsidRPr="0041688E">
        <w:rPr>
          <w:b/>
          <w:bCs/>
        </w:rPr>
        <w:t>2</w:t>
      </w:r>
      <w:r w:rsidR="00974B1F" w:rsidRPr="0041688E">
        <w:rPr>
          <w:b/>
          <w:bCs/>
        </w:rPr>
        <w:t xml:space="preserve">0 MHz (ITS), 5, 50, and 100 MHz (FR1), </w:t>
      </w:r>
      <w:r w:rsidR="00F67701">
        <w:rPr>
          <w:b/>
          <w:bCs/>
        </w:rPr>
        <w:t>to</w:t>
      </w:r>
      <w:r w:rsidR="00974B1F" w:rsidRPr="0041688E">
        <w:rPr>
          <w:b/>
          <w:bCs/>
        </w:rPr>
        <w:t xml:space="preserve"> 100, 400 MHz (FR2).</w:t>
      </w:r>
      <w:r w:rsidR="00974B1F" w:rsidRPr="00974B1F">
        <w:rPr>
          <w:b/>
          <w:bCs/>
        </w:rPr>
        <w:t xml:space="preserve"> </w:t>
      </w:r>
    </w:p>
    <w:p w14:paraId="12EEB32C" w14:textId="530C8242" w:rsidR="00BB269D" w:rsidRDefault="00BB269D" w:rsidP="00974B1F">
      <w:pPr>
        <w:rPr>
          <w:b/>
          <w:bCs/>
        </w:rPr>
      </w:pPr>
    </w:p>
    <w:p w14:paraId="21EDFE1D" w14:textId="7F83BD1F" w:rsidR="00E36B64" w:rsidRDefault="00E36B64" w:rsidP="00E36B64">
      <w:pPr>
        <w:pStyle w:val="Heading2"/>
      </w:pPr>
      <w:r>
        <w:t>Absolute and Relative Positioning</w:t>
      </w:r>
    </w:p>
    <w:p w14:paraId="52AB2BC9" w14:textId="091A4E7E" w:rsidR="00E36B64" w:rsidRDefault="00F64C76" w:rsidP="00974B1F">
      <w:r w:rsidRPr="00F64C76">
        <w:t>Depending on the</w:t>
      </w:r>
      <w:r>
        <w:t xml:space="preserve"> scenario and the available anchor position the SL positioning method may provide the absolute position or the relative position:</w:t>
      </w:r>
    </w:p>
    <w:p w14:paraId="442E47FB" w14:textId="53806F2B" w:rsidR="00F64C76" w:rsidRDefault="00F64C76" w:rsidP="00F64C76">
      <w:pPr>
        <w:pStyle w:val="ListParagraph"/>
        <w:numPr>
          <w:ilvl w:val="0"/>
          <w:numId w:val="28"/>
        </w:numPr>
      </w:pPr>
      <w:r w:rsidRPr="00664C84">
        <w:rPr>
          <w:b/>
          <w:bCs/>
        </w:rPr>
        <w:t>Absolute position</w:t>
      </w:r>
      <w:r>
        <w:t>: the longitude and latitude of the SL UE target device are calculated. An anchor with known location (gNB, RSU or another vehicle) is required to calculate absolute position</w:t>
      </w:r>
    </w:p>
    <w:p w14:paraId="01359A58" w14:textId="5C9BBCD4" w:rsidR="00F64C76" w:rsidRPr="00F64C76" w:rsidRDefault="00F64C76" w:rsidP="00F64C76">
      <w:pPr>
        <w:pStyle w:val="ListParagraph"/>
        <w:numPr>
          <w:ilvl w:val="0"/>
          <w:numId w:val="28"/>
        </w:numPr>
      </w:pPr>
      <w:r w:rsidRPr="00664C84">
        <w:rPr>
          <w:b/>
          <w:bCs/>
        </w:rPr>
        <w:t>Relative position</w:t>
      </w:r>
      <w:r>
        <w:t>: the relative position such as the distance or the relative angle between the target UE and anchor nodes is calculated. This is also known as “sidelink ranging”, and it can be useful for collision warning for instance.</w:t>
      </w:r>
    </w:p>
    <w:p w14:paraId="1EDB26CD" w14:textId="287218F2" w:rsidR="007C7A83" w:rsidRPr="000E0ECD" w:rsidRDefault="007C7A83" w:rsidP="000E0ECD">
      <w:r w:rsidRPr="000E0ECD">
        <w:t>TS 22.104 defines the necessity of relative position determination for out-of-coverages situations.</w:t>
      </w:r>
    </w:p>
    <w:p w14:paraId="5DC29013" w14:textId="586C3C45" w:rsidR="007C7A83" w:rsidRPr="007C7A83" w:rsidRDefault="007C7A83" w:rsidP="007C7A83">
      <w:pPr>
        <w:pStyle w:val="ListParagraph"/>
        <w:numPr>
          <w:ilvl w:val="0"/>
          <w:numId w:val="28"/>
        </w:numPr>
        <w:rPr>
          <w:b/>
          <w:bCs/>
        </w:rPr>
      </w:pPr>
      <w:r w:rsidRPr="000E0ECD">
        <w:rPr>
          <w:rFonts w:cstheme="minorHAnsi"/>
          <w:i/>
          <w:iCs/>
        </w:rPr>
        <w:t>“</w:t>
      </w:r>
      <w:r w:rsidRPr="007C7A83">
        <w:rPr>
          <w:i/>
          <w:iCs/>
        </w:rPr>
        <w:t>The 5G system shall provide positioning information for a UE that is out of coverage of the network, with accuracy of &lt; [1 m] relative to other UEs that are in proximity and in coverage of the network</w:t>
      </w:r>
    </w:p>
    <w:p w14:paraId="537E3A90" w14:textId="4E498947" w:rsidR="00E36B64" w:rsidRDefault="0041688E" w:rsidP="00974B1F">
      <w:pPr>
        <w:rPr>
          <w:b/>
          <w:bCs/>
        </w:rPr>
      </w:pPr>
      <w:r>
        <w:rPr>
          <w:b/>
          <w:bCs/>
        </w:rPr>
        <w:t xml:space="preserve">Observation </w:t>
      </w:r>
      <w:r w:rsidR="00B970B3">
        <w:rPr>
          <w:b/>
          <w:bCs/>
        </w:rPr>
        <w:t>2</w:t>
      </w:r>
      <w:r w:rsidR="00664C84">
        <w:rPr>
          <w:b/>
          <w:bCs/>
        </w:rPr>
        <w:t xml:space="preserve">: The </w:t>
      </w:r>
      <w:r>
        <w:rPr>
          <w:b/>
          <w:bCs/>
        </w:rPr>
        <w:t>SL positioning</w:t>
      </w:r>
      <w:r w:rsidR="00664C84">
        <w:rPr>
          <w:b/>
          <w:bCs/>
        </w:rPr>
        <w:t xml:space="preserve"> scenarios </w:t>
      </w:r>
      <w:r w:rsidR="00775112">
        <w:rPr>
          <w:b/>
          <w:bCs/>
        </w:rPr>
        <w:t>will require</w:t>
      </w:r>
      <w:r w:rsidR="00664C84">
        <w:rPr>
          <w:b/>
          <w:bCs/>
        </w:rPr>
        <w:t xml:space="preserve"> solutions for absolute and relative position determination.</w:t>
      </w:r>
    </w:p>
    <w:p w14:paraId="190C9BE0" w14:textId="77777777" w:rsidR="00E36B64" w:rsidRPr="00974B1F" w:rsidRDefault="00E36B64" w:rsidP="00974B1F">
      <w:pPr>
        <w:rPr>
          <w:b/>
          <w:bCs/>
        </w:rPr>
      </w:pPr>
    </w:p>
    <w:p w14:paraId="5A704ECF" w14:textId="32851C14" w:rsidR="00252A05" w:rsidRDefault="00B37F85" w:rsidP="00B37F85">
      <w:pPr>
        <w:pStyle w:val="Heading2"/>
      </w:pPr>
      <w:r>
        <w:t>V2X positioning requirements</w:t>
      </w:r>
    </w:p>
    <w:p w14:paraId="1B5C3482" w14:textId="77777777" w:rsidR="00BB655A" w:rsidRDefault="00041307" w:rsidP="005772A6">
      <w:r>
        <w:t>5GAA [6] identifies three types of services over C-V2X: traffic safety, traffic efficiency and information services.</w:t>
      </w:r>
      <w:r w:rsidR="00BB655A">
        <w:t xml:space="preserve"> Different positioning requirements are defined in each service scenario. While [6] offers an extensive list of use cases and requirements [Table 5.1-1], in general the services may </w:t>
      </w:r>
      <w:r w:rsidR="00D147A4">
        <w:t>be</w:t>
      </w:r>
      <w:r w:rsidR="005772A6">
        <w:t xml:space="preserve"> classified in three categories</w:t>
      </w:r>
      <w:r w:rsidR="00BB655A">
        <w:t>.</w:t>
      </w:r>
    </w:p>
    <w:p w14:paraId="26FC5FC5" w14:textId="4B6F513F" w:rsidR="00527638" w:rsidRDefault="00527638" w:rsidP="005772A6">
      <w:r>
        <w:t>Examples of</w:t>
      </w:r>
      <w:r w:rsidR="00BB269D">
        <w:t xml:space="preserve"> C-V2X</w:t>
      </w:r>
      <w:r>
        <w:t xml:space="preserve"> scenarios </w:t>
      </w:r>
      <w:r w:rsidR="00BB269D">
        <w:t>that require</w:t>
      </w:r>
      <w:r w:rsidR="00BB655A">
        <w:t xml:space="preserve"> </w:t>
      </w:r>
      <w:r w:rsidR="005772A6">
        <w:t>tens of meters level accuracy</w:t>
      </w:r>
      <w:r>
        <w:t>:</w:t>
      </w:r>
    </w:p>
    <w:p w14:paraId="1C527510" w14:textId="38606E5F" w:rsidR="00527638" w:rsidRDefault="00527638" w:rsidP="00527638">
      <w:pPr>
        <w:pStyle w:val="ListParagraph"/>
        <w:numPr>
          <w:ilvl w:val="0"/>
          <w:numId w:val="25"/>
        </w:numPr>
      </w:pPr>
      <w:r>
        <w:t xml:space="preserve">Traffic jam warning: 20m (one sigma) </w:t>
      </w:r>
    </w:p>
    <w:p w14:paraId="2725382C" w14:textId="6281C5B8" w:rsidR="00527638" w:rsidRDefault="00527638" w:rsidP="00527638">
      <w:pPr>
        <w:pStyle w:val="ListParagraph"/>
        <w:numPr>
          <w:ilvl w:val="0"/>
          <w:numId w:val="25"/>
        </w:numPr>
      </w:pPr>
      <w:r>
        <w:t>Software update: 30m (one sigma)</w:t>
      </w:r>
    </w:p>
    <w:p w14:paraId="278B034E" w14:textId="212C018B" w:rsidR="00527638" w:rsidRDefault="00527638" w:rsidP="00527638">
      <w:pPr>
        <w:pStyle w:val="ListParagraph"/>
        <w:numPr>
          <w:ilvl w:val="0"/>
          <w:numId w:val="25"/>
        </w:numPr>
      </w:pPr>
      <w:r>
        <w:t>HD content delivery: 30 to 50m (one sigma)</w:t>
      </w:r>
    </w:p>
    <w:p w14:paraId="36FC6D28" w14:textId="088CC79D" w:rsidR="00527638" w:rsidRDefault="00527638" w:rsidP="00527638">
      <w:r>
        <w:t xml:space="preserve">Examples of </w:t>
      </w:r>
      <w:r w:rsidR="00BB269D">
        <w:t xml:space="preserve">C-V2X </w:t>
      </w:r>
      <w:r>
        <w:t>scenarios that require meter level accuracy:</w:t>
      </w:r>
    </w:p>
    <w:p w14:paraId="64FAB7FF" w14:textId="28B9595E" w:rsidR="00527638" w:rsidRDefault="00527638" w:rsidP="00527638">
      <w:pPr>
        <w:pStyle w:val="ListParagraph"/>
        <w:numPr>
          <w:ilvl w:val="0"/>
          <w:numId w:val="26"/>
        </w:numPr>
      </w:pPr>
      <w:r>
        <w:t>Intersection Movement Assist</w:t>
      </w:r>
      <w:r w:rsidR="00BB269D">
        <w:t>:</w:t>
      </w:r>
      <w:r>
        <w:t>1.5m (three sigma)</w:t>
      </w:r>
    </w:p>
    <w:p w14:paraId="369231ED" w14:textId="69A6468F" w:rsidR="00BB269D" w:rsidRDefault="00BB269D" w:rsidP="00527638">
      <w:pPr>
        <w:pStyle w:val="ListParagraph"/>
        <w:numPr>
          <w:ilvl w:val="0"/>
          <w:numId w:val="26"/>
        </w:numPr>
      </w:pPr>
      <w:r>
        <w:lastRenderedPageBreak/>
        <w:t>Lane changing warning :1.5m (one sigma)</w:t>
      </w:r>
    </w:p>
    <w:p w14:paraId="2AEDCCDE" w14:textId="3A59BA50" w:rsidR="00BB269D" w:rsidRDefault="00BB269D" w:rsidP="00527638">
      <w:pPr>
        <w:pStyle w:val="ListParagraph"/>
        <w:numPr>
          <w:ilvl w:val="0"/>
          <w:numId w:val="26"/>
        </w:numPr>
      </w:pPr>
      <w:r>
        <w:t>Vulnerable road user – awareness: 1m (three sigma)</w:t>
      </w:r>
    </w:p>
    <w:p w14:paraId="1F4D5F50" w14:textId="4310C089" w:rsidR="00BB269D" w:rsidRDefault="00BB269D" w:rsidP="00527638">
      <w:pPr>
        <w:pStyle w:val="ListParagraph"/>
        <w:numPr>
          <w:ilvl w:val="0"/>
          <w:numId w:val="26"/>
        </w:numPr>
      </w:pPr>
      <w:r>
        <w:t>Vehicle platooning in steady state: 1.5m (three sigma)</w:t>
      </w:r>
    </w:p>
    <w:p w14:paraId="74B72A99" w14:textId="0C6AEE2E" w:rsidR="00BB269D" w:rsidRDefault="00BB269D" w:rsidP="00527638">
      <w:pPr>
        <w:pStyle w:val="ListParagraph"/>
        <w:numPr>
          <w:ilvl w:val="0"/>
          <w:numId w:val="26"/>
        </w:numPr>
      </w:pPr>
      <w:r>
        <w:t>Cooperative lane merge: 1.5m (three sigma)</w:t>
      </w:r>
    </w:p>
    <w:p w14:paraId="7D401381" w14:textId="7D7C8C38" w:rsidR="00BB269D" w:rsidRDefault="00BB269D" w:rsidP="00BB269D">
      <w:r>
        <w:t>Examples of C-V2X scenarios that require sub-meter level accuracy:</w:t>
      </w:r>
    </w:p>
    <w:p w14:paraId="2E1C42F2" w14:textId="7CD725CC" w:rsidR="00BB269D" w:rsidRDefault="00396DE3" w:rsidP="00396DE3">
      <w:pPr>
        <w:pStyle w:val="ListParagraph"/>
        <w:numPr>
          <w:ilvl w:val="0"/>
          <w:numId w:val="27"/>
        </w:numPr>
      </w:pPr>
      <w:r>
        <w:t>Infrastructure-based tele-operated driving: 0.1m (three sigma)</w:t>
      </w:r>
    </w:p>
    <w:p w14:paraId="64D2063B" w14:textId="1262D79C" w:rsidR="00396DE3" w:rsidRDefault="00396DE3" w:rsidP="00396DE3">
      <w:pPr>
        <w:pStyle w:val="ListParagraph"/>
        <w:numPr>
          <w:ilvl w:val="0"/>
          <w:numId w:val="27"/>
        </w:numPr>
      </w:pPr>
      <w:r>
        <w:t>Automated intersection crossing: 0.15m (three sigma)</w:t>
      </w:r>
    </w:p>
    <w:p w14:paraId="74F63524" w14:textId="05FF522F" w:rsidR="00396DE3" w:rsidRDefault="00396DE3" w:rsidP="00396DE3">
      <w:pPr>
        <w:pStyle w:val="ListParagraph"/>
        <w:numPr>
          <w:ilvl w:val="0"/>
          <w:numId w:val="27"/>
        </w:numPr>
      </w:pPr>
      <w:r>
        <w:t>Cooperative manoeuvres for autonomous vehicles for emergency situations: 0.2m (three sigma)</w:t>
      </w:r>
    </w:p>
    <w:p w14:paraId="2F0091B1" w14:textId="536F3680" w:rsidR="00396DE3" w:rsidRDefault="00396DE3" w:rsidP="00396DE3">
      <w:pPr>
        <w:pStyle w:val="ListParagraph"/>
        <w:numPr>
          <w:ilvl w:val="0"/>
          <w:numId w:val="27"/>
        </w:numPr>
      </w:pPr>
      <w:r>
        <w:t xml:space="preserve">Vulnerable road user – collision </w:t>
      </w:r>
      <w:r w:rsidR="005365FE">
        <w:t>warning:</w:t>
      </w:r>
      <w:r>
        <w:t xml:space="preserve"> 0.5m (three sigma)</w:t>
      </w:r>
    </w:p>
    <w:p w14:paraId="5B657141" w14:textId="26619024" w:rsidR="005772A6" w:rsidRDefault="005772A6" w:rsidP="005772A6">
      <w:r>
        <w:t>These requirements are defined for 3D/2D scenarios, for absolute and relative position determination including out-of-coverage scenarios.</w:t>
      </w:r>
    </w:p>
    <w:p w14:paraId="13A1F01E" w14:textId="07E36BB4" w:rsidR="00252A05" w:rsidRDefault="00DA609B" w:rsidP="005772A6">
      <w:r>
        <w:t xml:space="preserve">The above constraints for the accuracy levels must be satisfied for various speeds of the vehicles (Doppler shift) and various densities of the vehicles. The vehicle velocities considered by 5GAA vary </w:t>
      </w:r>
      <w:r w:rsidR="00986E80">
        <w:t xml:space="preserve">from stationary scenarios (0 km/h for Accident report) and </w:t>
      </w:r>
      <w:r>
        <w:t>very low speed</w:t>
      </w:r>
      <w:r w:rsidR="008C28B4">
        <w:t>s</w:t>
      </w:r>
      <w:r>
        <w:t xml:space="preserve"> of 10</w:t>
      </w:r>
      <w:r w:rsidR="008C28B4">
        <w:t>-20</w:t>
      </w:r>
      <w:r>
        <w:t xml:space="preserve"> </w:t>
      </w:r>
      <w:r w:rsidR="00986E80">
        <w:t>k</w:t>
      </w:r>
      <w:r>
        <w:t>m/h</w:t>
      </w:r>
      <w:r w:rsidR="00986E80">
        <w:t xml:space="preserve"> (obstructed view assist via CCTV) to medium speed</w:t>
      </w:r>
      <w:r w:rsidR="008C28B4">
        <w:t>s</w:t>
      </w:r>
      <w:r w:rsidR="00986E80">
        <w:t xml:space="preserve"> of 50-70 km/h (tele-operated driving and group start, </w:t>
      </w:r>
      <w:r w:rsidR="008C28B4">
        <w:t xml:space="preserve">vulnerable road user </w:t>
      </w:r>
      <w:r w:rsidR="00986E80">
        <w:t>urban collision warning) and to higher speeds (</w:t>
      </w:r>
      <w:r w:rsidR="008C28B4">
        <w:t>1</w:t>
      </w:r>
      <w:r w:rsidR="00BC28EF">
        <w:t>2</w:t>
      </w:r>
      <w:r w:rsidR="008C28B4">
        <w:t xml:space="preserve">0km/h </w:t>
      </w:r>
      <w:r w:rsidR="00BC28EF">
        <w:t xml:space="preserve">set-through for pass </w:t>
      </w:r>
      <w:r w:rsidR="00C85509">
        <w:t>maneuver</w:t>
      </w:r>
      <w:r w:rsidR="008C28B4">
        <w:t xml:space="preserve">, 250km/h remote automated driving cancellation, real-time situational awareness and </w:t>
      </w:r>
      <w:r w:rsidR="0044049E">
        <w:t>high-definition</w:t>
      </w:r>
      <w:r w:rsidR="008C28B4">
        <w:t xml:space="preserve"> maps, or emergency break warning).</w:t>
      </w:r>
    </w:p>
    <w:p w14:paraId="470CA730" w14:textId="55808111" w:rsidR="008C28B4" w:rsidRDefault="00CA7D15" w:rsidP="005772A6">
      <w:r w:rsidRPr="00B37DBB">
        <w:rPr>
          <w:b/>
          <w:bCs/>
        </w:rPr>
        <w:t>Proposal</w:t>
      </w:r>
      <w:r w:rsidR="00B970B3">
        <w:rPr>
          <w:b/>
          <w:bCs/>
        </w:rPr>
        <w:t xml:space="preserve"> 2</w:t>
      </w:r>
      <w:r>
        <w:rPr>
          <w:b/>
          <w:bCs/>
        </w:rPr>
        <w:t>:</w:t>
      </w:r>
      <w:r w:rsidR="008C28B4" w:rsidRPr="00B37DBB">
        <w:rPr>
          <w:b/>
          <w:bCs/>
        </w:rPr>
        <w:t xml:space="preserve"> For </w:t>
      </w:r>
      <w:r w:rsidR="0044049E">
        <w:rPr>
          <w:b/>
          <w:bCs/>
        </w:rPr>
        <w:t xml:space="preserve">SL </w:t>
      </w:r>
      <w:r w:rsidR="008C28B4" w:rsidRPr="00B37DBB">
        <w:rPr>
          <w:b/>
          <w:bCs/>
        </w:rPr>
        <w:t xml:space="preserve">V2X scenarios consider three category of </w:t>
      </w:r>
      <w:r w:rsidR="008C28B4">
        <w:rPr>
          <w:b/>
          <w:bCs/>
        </w:rPr>
        <w:t xml:space="preserve">velocity </w:t>
      </w:r>
      <w:r w:rsidR="008C28B4" w:rsidRPr="00B37DBB">
        <w:rPr>
          <w:b/>
          <w:bCs/>
        </w:rPr>
        <w:t>levels</w:t>
      </w:r>
      <w:r w:rsidR="008C28B4">
        <w:rPr>
          <w:b/>
          <w:bCs/>
        </w:rPr>
        <w:t>: low velocity (less than 20km/h), medium velocity (</w:t>
      </w:r>
      <w:r w:rsidR="00BC28EF">
        <w:rPr>
          <w:b/>
          <w:bCs/>
        </w:rPr>
        <w:t>20-100km/h)</w:t>
      </w:r>
      <w:r w:rsidR="008C28B4">
        <w:rPr>
          <w:b/>
          <w:bCs/>
        </w:rPr>
        <w:t xml:space="preserve"> and high velocity</w:t>
      </w:r>
      <w:r w:rsidR="00BC28EF">
        <w:rPr>
          <w:b/>
          <w:bCs/>
        </w:rPr>
        <w:t xml:space="preserve"> (100-250km/h)</w:t>
      </w:r>
      <w:r w:rsidR="000B051E">
        <w:rPr>
          <w:b/>
          <w:bCs/>
        </w:rPr>
        <w:t>.</w:t>
      </w:r>
    </w:p>
    <w:p w14:paraId="409ED2FA" w14:textId="3AA79BD4" w:rsidR="003F05E6" w:rsidRDefault="00600C2D" w:rsidP="003112A1">
      <w:r>
        <w:t>The vehicle density is another characteristic of the positioning scenarios. Examples of such densities are (in units/km^2): 1500 for cross-traffic left-turn assist, 12000</w:t>
      </w:r>
      <w:r w:rsidR="0044049E">
        <w:t xml:space="preserve"> for intersection movement assists or emergency breaking, and 4500 for traffic jam warning. The unit density may influence the interference</w:t>
      </w:r>
      <w:r w:rsidR="005B1AD7">
        <w:t xml:space="preserve"> and</w:t>
      </w:r>
      <w:r w:rsidR="0044049E">
        <w:t xml:space="preserve"> latency of the SL positioning. </w:t>
      </w:r>
    </w:p>
    <w:p w14:paraId="419E37C9" w14:textId="1B1AC5C7" w:rsidR="00A65396" w:rsidRPr="00775112" w:rsidRDefault="00775112" w:rsidP="00A65396">
      <w:pPr>
        <w:rPr>
          <w:b/>
          <w:bCs/>
        </w:rPr>
      </w:pPr>
      <w:bookmarkStart w:id="5" w:name="_Hlk102027413"/>
      <w:r>
        <w:rPr>
          <w:b/>
          <w:bCs/>
        </w:rPr>
        <w:t xml:space="preserve">Observation </w:t>
      </w:r>
      <w:r w:rsidR="00B970B3">
        <w:rPr>
          <w:b/>
          <w:bCs/>
        </w:rPr>
        <w:t>3</w:t>
      </w:r>
      <w:r>
        <w:rPr>
          <w:b/>
          <w:bCs/>
        </w:rPr>
        <w:t xml:space="preserve">: </w:t>
      </w:r>
      <w:r w:rsidR="005754A3" w:rsidRPr="00775112">
        <w:rPr>
          <w:b/>
          <w:bCs/>
        </w:rPr>
        <w:t>The</w:t>
      </w:r>
      <w:r w:rsidR="00A65396" w:rsidRPr="00775112">
        <w:rPr>
          <w:b/>
          <w:bCs/>
        </w:rPr>
        <w:t xml:space="preserve"> SL V2X positioning </w:t>
      </w:r>
      <w:r w:rsidR="00F67701">
        <w:rPr>
          <w:b/>
          <w:bCs/>
        </w:rPr>
        <w:t>solutions</w:t>
      </w:r>
      <w:r w:rsidR="00545D94" w:rsidRPr="00775112">
        <w:rPr>
          <w:b/>
          <w:bCs/>
        </w:rPr>
        <w:t xml:space="preserve"> should</w:t>
      </w:r>
      <w:r w:rsidR="00F67701">
        <w:rPr>
          <w:b/>
          <w:bCs/>
        </w:rPr>
        <w:t xml:space="preserve"> be able to operate</w:t>
      </w:r>
      <w:r w:rsidR="005754A3" w:rsidRPr="00775112">
        <w:rPr>
          <w:b/>
          <w:bCs/>
        </w:rPr>
        <w:t xml:space="preserve"> </w:t>
      </w:r>
      <w:r w:rsidR="00F67701">
        <w:rPr>
          <w:b/>
          <w:bCs/>
        </w:rPr>
        <w:t>in</w:t>
      </w:r>
      <w:r w:rsidR="00A852C8" w:rsidRPr="00775112">
        <w:rPr>
          <w:b/>
          <w:bCs/>
        </w:rPr>
        <w:t xml:space="preserve"> </w:t>
      </w:r>
      <w:r w:rsidR="00F67701">
        <w:rPr>
          <w:b/>
          <w:bCs/>
        </w:rPr>
        <w:t>multiple</w:t>
      </w:r>
      <w:r w:rsidR="00A65396" w:rsidRPr="00775112">
        <w:rPr>
          <w:b/>
          <w:bCs/>
        </w:rPr>
        <w:t xml:space="preserve"> service areas</w:t>
      </w:r>
      <w:r w:rsidR="00F67701">
        <w:rPr>
          <w:b/>
          <w:bCs/>
        </w:rPr>
        <w:t xml:space="preserve"> and channel propagation conditions</w:t>
      </w:r>
      <w:r w:rsidR="00D030A7">
        <w:rPr>
          <w:b/>
          <w:bCs/>
        </w:rPr>
        <w:t xml:space="preserve"> such as</w:t>
      </w:r>
      <w:r w:rsidR="00A65396" w:rsidRPr="00775112">
        <w:rPr>
          <w:b/>
          <w:bCs/>
        </w:rPr>
        <w:t>:</w:t>
      </w:r>
    </w:p>
    <w:p w14:paraId="380F095A" w14:textId="7FC0F9BC" w:rsidR="00A65396" w:rsidRPr="00775112" w:rsidRDefault="00600C2D" w:rsidP="00545D94">
      <w:pPr>
        <w:pStyle w:val="ListParagraph"/>
        <w:numPr>
          <w:ilvl w:val="0"/>
          <w:numId w:val="20"/>
        </w:numPr>
        <w:rPr>
          <w:b/>
          <w:bCs/>
        </w:rPr>
      </w:pPr>
      <w:r w:rsidRPr="00775112">
        <w:rPr>
          <w:b/>
          <w:bCs/>
        </w:rPr>
        <w:t>R</w:t>
      </w:r>
      <w:r w:rsidR="00A65396" w:rsidRPr="00775112">
        <w:rPr>
          <w:b/>
          <w:bCs/>
        </w:rPr>
        <w:t>ural (</w:t>
      </w:r>
      <w:r w:rsidRPr="00775112">
        <w:rPr>
          <w:b/>
          <w:bCs/>
        </w:rPr>
        <w:t xml:space="preserve">9000 </w:t>
      </w:r>
      <w:r w:rsidR="0044049E" w:rsidRPr="00775112">
        <w:rPr>
          <w:b/>
          <w:bCs/>
        </w:rPr>
        <w:t>units</w:t>
      </w:r>
      <w:r w:rsidRPr="00775112">
        <w:rPr>
          <w:b/>
          <w:bCs/>
        </w:rPr>
        <w:t>/km^2)</w:t>
      </w:r>
    </w:p>
    <w:p w14:paraId="37D2796E" w14:textId="3D354D26" w:rsidR="00600C2D" w:rsidRPr="00775112" w:rsidRDefault="00600C2D" w:rsidP="00545D94">
      <w:pPr>
        <w:pStyle w:val="ListParagraph"/>
        <w:numPr>
          <w:ilvl w:val="0"/>
          <w:numId w:val="20"/>
        </w:numPr>
        <w:rPr>
          <w:b/>
          <w:bCs/>
        </w:rPr>
      </w:pPr>
      <w:r w:rsidRPr="00775112">
        <w:rPr>
          <w:b/>
          <w:bCs/>
        </w:rPr>
        <w:t xml:space="preserve">Urban (12000 </w:t>
      </w:r>
      <w:r w:rsidR="0044049E" w:rsidRPr="00775112">
        <w:rPr>
          <w:b/>
          <w:bCs/>
        </w:rPr>
        <w:t>units</w:t>
      </w:r>
      <w:r w:rsidRPr="00775112">
        <w:rPr>
          <w:b/>
          <w:bCs/>
        </w:rPr>
        <w:t>/km^2)</w:t>
      </w:r>
      <w:r w:rsidR="00902EF3">
        <w:rPr>
          <w:b/>
          <w:bCs/>
        </w:rPr>
        <w:t xml:space="preserve"> both Micro and Micro</w:t>
      </w:r>
    </w:p>
    <w:p w14:paraId="1C5F81C1" w14:textId="0EC14329" w:rsidR="00600C2D" w:rsidRPr="00775112" w:rsidRDefault="00600C2D" w:rsidP="00545D94">
      <w:pPr>
        <w:pStyle w:val="ListParagraph"/>
        <w:numPr>
          <w:ilvl w:val="0"/>
          <w:numId w:val="20"/>
        </w:numPr>
        <w:rPr>
          <w:b/>
          <w:bCs/>
        </w:rPr>
      </w:pPr>
      <w:r w:rsidRPr="00775112">
        <w:rPr>
          <w:b/>
          <w:bCs/>
        </w:rPr>
        <w:t xml:space="preserve">Highway (4500 </w:t>
      </w:r>
      <w:r w:rsidR="0044049E" w:rsidRPr="00775112">
        <w:rPr>
          <w:b/>
          <w:bCs/>
        </w:rPr>
        <w:t>units</w:t>
      </w:r>
      <w:r w:rsidRPr="00775112">
        <w:rPr>
          <w:b/>
          <w:bCs/>
        </w:rPr>
        <w:t>/km^2)</w:t>
      </w:r>
    </w:p>
    <w:bookmarkEnd w:id="5"/>
    <w:p w14:paraId="5EAB46F8" w14:textId="77777777" w:rsidR="00974170" w:rsidRDefault="00974170" w:rsidP="003112A1"/>
    <w:p w14:paraId="6D2BCA82" w14:textId="4EE3093D" w:rsidR="00974170" w:rsidRDefault="0098254B" w:rsidP="0098254B">
      <w:pPr>
        <w:pStyle w:val="Heading1"/>
        <w:tabs>
          <w:tab w:val="clear" w:pos="2592"/>
          <w:tab w:val="num" w:pos="540"/>
          <w:tab w:val="left" w:pos="1620"/>
        </w:tabs>
        <w:ind w:left="540" w:hanging="540"/>
      </w:pPr>
      <w:r>
        <w:t>I</w:t>
      </w:r>
      <w:r w:rsidR="003F708B">
        <w:t>o</w:t>
      </w:r>
      <w:r>
        <w:t>T</w:t>
      </w:r>
    </w:p>
    <w:p w14:paraId="23A5E2E9" w14:textId="487EBF2B" w:rsidR="004B7652" w:rsidRDefault="00493998" w:rsidP="006505AB">
      <w:r>
        <w:t xml:space="preserve">The </w:t>
      </w:r>
      <w:r w:rsidR="004C5EE4">
        <w:t xml:space="preserve">high accuracy positioning requirements for factories are defined in TS22.104. Such applications for high accuracy positioning are for tracking of mobile devices as well as of mobile assets. The 5G system shall provide positioning information for a UE out of coverage with accuracy &lt; [1m] relative to other UEs that are in its proximity. </w:t>
      </w:r>
      <w:r w:rsidR="009853D9">
        <w:t>The scenarios and the requirements for horizontal and vertical accuracy are provided in Table 5.7.1-1 in TS 22.104</w:t>
      </w:r>
      <w:r w:rsidR="00C8077D">
        <w:t xml:space="preserve"> (Appendix A)</w:t>
      </w:r>
      <w:r w:rsidR="006505AB">
        <w:t xml:space="preserve">. </w:t>
      </w:r>
      <w:r w:rsidR="00B1300C" w:rsidRPr="00F67701">
        <w:t xml:space="preserve">The study </w:t>
      </w:r>
      <w:r w:rsidR="006505AB">
        <w:t xml:space="preserve">will </w:t>
      </w:r>
      <w:r w:rsidR="00F67701" w:rsidRPr="00F67701">
        <w:t>consider</w:t>
      </w:r>
      <w:r w:rsidR="00022AC5" w:rsidRPr="00F67701">
        <w:t xml:space="preserve"> SL positioning solutions </w:t>
      </w:r>
      <w:r w:rsidR="00966A0E" w:rsidRPr="00F67701">
        <w:t>for the</w:t>
      </w:r>
      <w:r w:rsidR="00022AC5" w:rsidRPr="00F67701">
        <w:t xml:space="preserve"> </w:t>
      </w:r>
      <w:r w:rsidR="008F2D25" w:rsidRPr="00F67701">
        <w:t xml:space="preserve">factory scenarios </w:t>
      </w:r>
      <w:r w:rsidR="00B1300C" w:rsidRPr="00F67701">
        <w:t>presented in TS 22.104.</w:t>
      </w:r>
      <w:r w:rsidR="006505AB">
        <w:t xml:space="preserve"> We note that the requirements for such scenarios vary from high accuracy of 0.5m horizontal and 0.3m vertical with very low latency (delay) of 150ms for drone control to lower accuracy and higher delay for emergency calls of 50 m </w:t>
      </w:r>
      <w:r w:rsidR="00072590">
        <w:t>horizontal,</w:t>
      </w:r>
      <w:r w:rsidR="004B7652">
        <w:t xml:space="preserve"> 3m vertical and 30 seconds latency.</w:t>
      </w:r>
    </w:p>
    <w:p w14:paraId="7E35813E" w14:textId="4B11D9C6" w:rsidR="004C2B02" w:rsidRDefault="004B7652" w:rsidP="006505AB">
      <w:pPr>
        <w:rPr>
          <w:b/>
          <w:bCs/>
        </w:rPr>
      </w:pPr>
      <w:r w:rsidRPr="004B7652">
        <w:rPr>
          <w:b/>
          <w:bCs/>
        </w:rPr>
        <w:t>Observation</w:t>
      </w:r>
      <w:r w:rsidR="00B970B3">
        <w:rPr>
          <w:b/>
          <w:bCs/>
        </w:rPr>
        <w:t xml:space="preserve"> 4</w:t>
      </w:r>
      <w:r w:rsidRPr="004B7652">
        <w:rPr>
          <w:b/>
          <w:bCs/>
        </w:rPr>
        <w:t>: I</w:t>
      </w:r>
      <w:r w:rsidR="004D6DD0">
        <w:rPr>
          <w:b/>
          <w:bCs/>
        </w:rPr>
        <w:t>o</w:t>
      </w:r>
      <w:r w:rsidRPr="004B7652">
        <w:rPr>
          <w:b/>
          <w:bCs/>
        </w:rPr>
        <w:t>T application</w:t>
      </w:r>
      <w:r w:rsidR="005452CB">
        <w:rPr>
          <w:b/>
          <w:bCs/>
        </w:rPr>
        <w:t xml:space="preserve">s </w:t>
      </w:r>
      <w:r w:rsidR="005452CB" w:rsidRPr="004B7652">
        <w:rPr>
          <w:b/>
          <w:bCs/>
        </w:rPr>
        <w:t>may be require</w:t>
      </w:r>
      <w:r w:rsidRPr="004B7652">
        <w:rPr>
          <w:b/>
          <w:bCs/>
        </w:rPr>
        <w:t xml:space="preserve"> </w:t>
      </w:r>
      <w:r w:rsidR="005452CB">
        <w:rPr>
          <w:b/>
          <w:bCs/>
        </w:rPr>
        <w:t xml:space="preserve">positioning </w:t>
      </w:r>
      <w:r w:rsidRPr="004B7652">
        <w:rPr>
          <w:b/>
          <w:bCs/>
        </w:rPr>
        <w:t>solutions that provide very</w:t>
      </w:r>
      <w:r w:rsidR="006505AB" w:rsidRPr="004B7652">
        <w:rPr>
          <w:b/>
          <w:bCs/>
        </w:rPr>
        <w:t xml:space="preserve"> </w:t>
      </w:r>
      <w:r w:rsidRPr="004B7652">
        <w:rPr>
          <w:b/>
          <w:bCs/>
        </w:rPr>
        <w:t>high accuracy of 0.5m horizontal and 0.3m vertical with very low latency of 150ms</w:t>
      </w:r>
      <w:r w:rsidR="00C100DB">
        <w:rPr>
          <w:b/>
          <w:bCs/>
        </w:rPr>
        <w:t xml:space="preserve"> in outdoor service areas.</w:t>
      </w:r>
    </w:p>
    <w:p w14:paraId="4F78E324" w14:textId="4F312220" w:rsidR="00072590" w:rsidRPr="00072590" w:rsidRDefault="00072590" w:rsidP="006505AB">
      <w:r w:rsidRPr="00072590">
        <w:t>We note that the</w:t>
      </w:r>
      <w:r>
        <w:t>se</w:t>
      </w:r>
      <w:r w:rsidRPr="00072590">
        <w:t xml:space="preserve"> requirements do not </w:t>
      </w:r>
      <w:r>
        <w:t xml:space="preserve">exclude other forms of positioning than 5G, therefore is expected that for very stringent requirements hybrid solutions will be considered (for instance usage of </w:t>
      </w:r>
      <w:r w:rsidR="004D6DD0">
        <w:t>RAT-</w:t>
      </w:r>
      <w:r w:rsidR="004D6DD0">
        <w:lastRenderedPageBreak/>
        <w:t xml:space="preserve">independent techniques such as </w:t>
      </w:r>
      <w:r>
        <w:t>radars, accelerometers, gyroscopes, etc.)</w:t>
      </w:r>
      <w:r w:rsidR="00C100DB">
        <w:t>. Moreover, scenarios like remote UAV control may benefit of LOS propagation between target and anchor nodes.</w:t>
      </w:r>
    </w:p>
    <w:p w14:paraId="684C27D6" w14:textId="77777777" w:rsidR="00C8077D" w:rsidRPr="00022AC5" w:rsidRDefault="00C8077D" w:rsidP="004C2B02">
      <w:pPr>
        <w:rPr>
          <w:b/>
          <w:bCs/>
          <w:lang w:val="en-GB"/>
        </w:rPr>
      </w:pPr>
    </w:p>
    <w:p w14:paraId="5BC42AA6" w14:textId="4F87F770" w:rsidR="000465C7" w:rsidRDefault="000479B4" w:rsidP="000479B4">
      <w:pPr>
        <w:pStyle w:val="Heading1"/>
        <w:tabs>
          <w:tab w:val="clear" w:pos="2592"/>
        </w:tabs>
        <w:ind w:left="540" w:hanging="540"/>
      </w:pPr>
      <w:r>
        <w:t>Public Safety</w:t>
      </w:r>
    </w:p>
    <w:p w14:paraId="06740789" w14:textId="77777777" w:rsidR="006A0267" w:rsidRDefault="006A0267" w:rsidP="000479B4">
      <w:pPr>
        <w:rPr>
          <w:rFonts w:eastAsia="Malgun Gothic"/>
        </w:rPr>
      </w:pPr>
      <w:r>
        <w:rPr>
          <w:rFonts w:eastAsia="Malgun Gothic" w:hint="eastAsia"/>
        </w:rPr>
        <w:t xml:space="preserve">Public safety positioning </w:t>
      </w:r>
      <w:r>
        <w:rPr>
          <w:rFonts w:eastAsia="Malgun Gothic"/>
        </w:rPr>
        <w:t>requirements</w:t>
      </w:r>
      <w:r>
        <w:rPr>
          <w:rFonts w:eastAsia="Malgun Gothic" w:hint="eastAsia"/>
        </w:rPr>
        <w:t xml:space="preserve"> are </w:t>
      </w:r>
      <w:r>
        <w:rPr>
          <w:rFonts w:eastAsia="Malgun Gothic"/>
        </w:rPr>
        <w:t xml:space="preserve">defined in </w:t>
      </w:r>
      <w:r w:rsidRPr="00A17F53">
        <w:rPr>
          <w:rFonts w:eastAsia="Malgun Gothic"/>
        </w:rPr>
        <w:t>TS 22.261</w:t>
      </w:r>
      <w:r>
        <w:rPr>
          <w:rFonts w:eastAsia="Malgun Gothic"/>
        </w:rPr>
        <w:t xml:space="preserve"> and </w:t>
      </w:r>
      <w:r w:rsidRPr="005637AF">
        <w:rPr>
          <w:rFonts w:eastAsia="Malgun Gothic"/>
        </w:rPr>
        <w:t>TS 22.280</w:t>
      </w:r>
      <w:r>
        <w:rPr>
          <w:rFonts w:eastAsia="Malgun Gothic"/>
        </w:rPr>
        <w:t xml:space="preserve">. </w:t>
      </w:r>
    </w:p>
    <w:p w14:paraId="2E2C6133" w14:textId="7933F353" w:rsidR="000479B4" w:rsidRDefault="006A0267" w:rsidP="000479B4">
      <w:pPr>
        <w:rPr>
          <w:rFonts w:eastAsia="Malgun Gothic"/>
        </w:rPr>
      </w:pPr>
      <w:r>
        <w:rPr>
          <w:rFonts w:eastAsia="Malgun Gothic"/>
        </w:rPr>
        <w:t xml:space="preserve">TS 22.261 provides positioning requirements for the mission critical organizations. </w:t>
      </w:r>
    </w:p>
    <w:p w14:paraId="6819DD45" w14:textId="4932ADDA" w:rsidR="006A0267" w:rsidRDefault="006A0267" w:rsidP="006A0267">
      <w:pPr>
        <w:rPr>
          <w:noProof/>
        </w:rPr>
      </w:pPr>
      <w:r>
        <w:rPr>
          <w:i/>
          <w:iCs/>
          <w:noProof/>
        </w:rPr>
        <w:t>“</w:t>
      </w:r>
      <w:r w:rsidRPr="006A0267">
        <w:rPr>
          <w:i/>
          <w:iCs/>
          <w:noProof/>
        </w:rPr>
        <w:t>Mission Critical Organizations require mission critical services to have accurate positioning such that first responders may be located at all times during normal and critical operations, indoors as well as outdoors. The level of positioning accuracy (and other KPIs) required is much more stringent than that required by local and regional regulatory requirements for commercial 5G users</w:t>
      </w:r>
      <w:r>
        <w:rPr>
          <w:noProof/>
        </w:rPr>
        <w:t>.”</w:t>
      </w:r>
    </w:p>
    <w:p w14:paraId="384455A5" w14:textId="5621C519" w:rsidR="006A0267" w:rsidRDefault="007205AD" w:rsidP="006A0267">
      <w:pPr>
        <w:rPr>
          <w:noProof/>
        </w:rPr>
      </w:pPr>
      <w:r>
        <w:rPr>
          <w:noProof/>
        </w:rPr>
        <w:t>The high accuracy positioning requirements are captured in TS 22.661 Table 7.3.2.2-1</w:t>
      </w:r>
      <w:r w:rsidR="00C8077D">
        <w:rPr>
          <w:noProof/>
        </w:rPr>
        <w:t xml:space="preserve"> (Appendix A)</w:t>
      </w:r>
    </w:p>
    <w:p w14:paraId="1A166E8F" w14:textId="547685F5" w:rsidR="007205AD" w:rsidRDefault="007205AD" w:rsidP="006A0267">
      <w:pPr>
        <w:rPr>
          <w:noProof/>
        </w:rPr>
      </w:pPr>
      <w:r>
        <w:rPr>
          <w:noProof/>
        </w:rPr>
        <w:t>The horizontal accuracy  for absolute precision based on the positioning service level is between 0.3m and 10 m, while the vertical accuracy is between 2m and 3m</w:t>
      </w:r>
      <w:r w:rsidR="00C8077D">
        <w:rPr>
          <w:noProof/>
        </w:rPr>
        <w:t>. For relative positioning the requirement is more stringent than the absolute positioning, and it is 0.2m both for horizontal and vertical.</w:t>
      </w:r>
    </w:p>
    <w:p w14:paraId="61FDDA59" w14:textId="229A7F10" w:rsidR="004B7652" w:rsidRPr="005452CB" w:rsidRDefault="004B7652" w:rsidP="006A0267">
      <w:pPr>
        <w:rPr>
          <w:b/>
          <w:bCs/>
          <w:noProof/>
        </w:rPr>
      </w:pPr>
      <w:r w:rsidRPr="005452CB">
        <w:rPr>
          <w:b/>
          <w:bCs/>
          <w:noProof/>
        </w:rPr>
        <w:t>Observation</w:t>
      </w:r>
      <w:r w:rsidR="00B970B3">
        <w:rPr>
          <w:b/>
          <w:bCs/>
          <w:noProof/>
        </w:rPr>
        <w:t xml:space="preserve"> 5</w:t>
      </w:r>
      <w:r w:rsidRPr="005452CB">
        <w:rPr>
          <w:b/>
          <w:bCs/>
          <w:noProof/>
        </w:rPr>
        <w:t xml:space="preserve">:  </w:t>
      </w:r>
      <w:r w:rsidR="00072590">
        <w:rPr>
          <w:b/>
          <w:bCs/>
          <w:noProof/>
        </w:rPr>
        <w:t>5G s</w:t>
      </w:r>
      <w:r w:rsidRPr="005452CB">
        <w:rPr>
          <w:b/>
          <w:bCs/>
          <w:noProof/>
        </w:rPr>
        <w:t xml:space="preserve">olutions for public safety scenarios may require </w:t>
      </w:r>
      <w:r w:rsidR="005452CB">
        <w:rPr>
          <w:b/>
          <w:bCs/>
          <w:noProof/>
        </w:rPr>
        <w:t xml:space="preserve">very </w:t>
      </w:r>
      <w:r w:rsidRPr="005452CB">
        <w:rPr>
          <w:b/>
          <w:bCs/>
          <w:noProof/>
        </w:rPr>
        <w:t>high accuracy of 0.2m horizontal and 0.2m vertical within 1s delay for relative</w:t>
      </w:r>
      <w:r w:rsidR="005452CB" w:rsidRPr="005452CB">
        <w:rPr>
          <w:b/>
          <w:bCs/>
          <w:noProof/>
        </w:rPr>
        <w:t xml:space="preserve"> indoor</w:t>
      </w:r>
      <w:r w:rsidRPr="005452CB">
        <w:rPr>
          <w:b/>
          <w:bCs/>
          <w:noProof/>
        </w:rPr>
        <w:t xml:space="preserve"> positioning, and </w:t>
      </w:r>
      <w:r w:rsidR="005452CB" w:rsidRPr="005452CB">
        <w:rPr>
          <w:b/>
          <w:bCs/>
          <w:noProof/>
        </w:rPr>
        <w:t>0.3m horizontal and 2m vertical within 1s delay for absolute high speed outdoor positioning scenarios.</w:t>
      </w:r>
    </w:p>
    <w:p w14:paraId="4A8EC4E7" w14:textId="77777777" w:rsidR="000465C7" w:rsidRPr="000465C7" w:rsidRDefault="000465C7" w:rsidP="000465C7">
      <w:bookmarkStart w:id="6" w:name="_Hlk100073394"/>
    </w:p>
    <w:p w14:paraId="3359C919" w14:textId="1B991C1A" w:rsidR="000465C7" w:rsidRDefault="000465C7" w:rsidP="00FC7F3B">
      <w:pPr>
        <w:pStyle w:val="Heading1"/>
        <w:tabs>
          <w:tab w:val="clear" w:pos="2592"/>
          <w:tab w:val="num" w:pos="540"/>
        </w:tabs>
        <w:ind w:left="540" w:hanging="540"/>
      </w:pPr>
      <w:bookmarkStart w:id="7" w:name="_Hlk100073366"/>
      <w:r>
        <w:t xml:space="preserve">SL Positioning Target </w:t>
      </w:r>
      <w:r w:rsidR="003112A1">
        <w:t xml:space="preserve">Performance </w:t>
      </w:r>
      <w:r>
        <w:t>Requirements</w:t>
      </w:r>
    </w:p>
    <w:p w14:paraId="04DBAD8E" w14:textId="5FD2B9E7" w:rsidR="009B4FAE" w:rsidRDefault="009B4FAE" w:rsidP="009B4FAE">
      <w:r w:rsidRPr="009B4FAE">
        <w:t xml:space="preserve">It is expected </w:t>
      </w:r>
      <w:r>
        <w:t>that most of SL UE will support the UE positioning as defined in Rel 16 and Rel 17 when conditions allow, i.e., when UE is in gNB coverage. Therefore, a good starting point for the positioning requirements are the requirements defined in TR 38.855.</w:t>
      </w:r>
      <w:r w:rsidR="00153C57">
        <w:t xml:space="preserve"> </w:t>
      </w:r>
    </w:p>
    <w:p w14:paraId="5E6FFE99" w14:textId="2AF7028A" w:rsidR="00153C57" w:rsidRDefault="00153C57" w:rsidP="009B4FAE">
      <w:r>
        <w:t>At the same time, taking into consideration the requirements for V2X, I</w:t>
      </w:r>
      <w:r w:rsidR="004D6DD0">
        <w:t>o</w:t>
      </w:r>
      <w:r>
        <w:t xml:space="preserve">T and public safety as presented above we suggest the following requirements </w:t>
      </w:r>
      <w:r w:rsidR="00C8191B">
        <w:t xml:space="preserve">as a starting point of the discussions </w:t>
      </w:r>
      <w:r>
        <w:t>for SL positioning scenarios:</w:t>
      </w:r>
    </w:p>
    <w:p w14:paraId="6F0FAC4C" w14:textId="57364E26" w:rsidR="00C8191B" w:rsidRDefault="00153C57" w:rsidP="00153C57">
      <w:pPr>
        <w:rPr>
          <w:b/>
          <w:bCs/>
        </w:rPr>
      </w:pPr>
      <w:r w:rsidRPr="00B37DBB">
        <w:rPr>
          <w:b/>
          <w:bCs/>
        </w:rPr>
        <w:t>Proposal</w:t>
      </w:r>
      <w:r w:rsidR="00763FD1">
        <w:rPr>
          <w:b/>
          <w:bCs/>
        </w:rPr>
        <w:t xml:space="preserve"> 3</w:t>
      </w:r>
      <w:r w:rsidRPr="00B37DBB">
        <w:rPr>
          <w:b/>
          <w:bCs/>
        </w:rPr>
        <w:t>: For</w:t>
      </w:r>
      <w:r>
        <w:rPr>
          <w:b/>
          <w:bCs/>
        </w:rPr>
        <w:t xml:space="preserve"> SL positioning</w:t>
      </w:r>
      <w:r w:rsidRPr="00B37DBB">
        <w:rPr>
          <w:b/>
          <w:bCs/>
        </w:rPr>
        <w:t xml:space="preserve"> consider three category of </w:t>
      </w:r>
      <w:r w:rsidR="00C8191B">
        <w:rPr>
          <w:b/>
          <w:bCs/>
        </w:rPr>
        <w:t xml:space="preserve">horizontal position </w:t>
      </w:r>
      <w:r w:rsidRPr="00B37DBB">
        <w:rPr>
          <w:b/>
          <w:bCs/>
        </w:rPr>
        <w:t>accuracy levels: tens of meters</w:t>
      </w:r>
      <w:r>
        <w:rPr>
          <w:b/>
          <w:bCs/>
        </w:rPr>
        <w:t xml:space="preserve"> [10-20m]</w:t>
      </w:r>
      <w:r w:rsidRPr="00B37DBB">
        <w:rPr>
          <w:b/>
          <w:bCs/>
        </w:rPr>
        <w:t>, meter</w:t>
      </w:r>
      <w:r>
        <w:rPr>
          <w:b/>
          <w:bCs/>
        </w:rPr>
        <w:t>s[1-3m]</w:t>
      </w:r>
      <w:r w:rsidRPr="00B37DBB">
        <w:rPr>
          <w:b/>
          <w:bCs/>
        </w:rPr>
        <w:t>, and sub-meter</w:t>
      </w:r>
      <w:r>
        <w:rPr>
          <w:b/>
          <w:bCs/>
        </w:rPr>
        <w:t xml:space="preserve"> [0.2-0.5m]</w:t>
      </w:r>
      <w:r w:rsidR="00C8191B">
        <w:rPr>
          <w:b/>
          <w:bCs/>
        </w:rPr>
        <w:t xml:space="preserve">. Consider vertical position accuracy level of </w:t>
      </w:r>
      <w:r w:rsidR="00CA7D15">
        <w:rPr>
          <w:b/>
          <w:bCs/>
        </w:rPr>
        <w:t>sub meter [&lt;1m] and of above meter</w:t>
      </w:r>
      <w:r w:rsidR="00C8191B">
        <w:rPr>
          <w:b/>
          <w:bCs/>
        </w:rPr>
        <w:t>[</w:t>
      </w:r>
      <w:r w:rsidR="00CA7D15">
        <w:rPr>
          <w:b/>
          <w:bCs/>
        </w:rPr>
        <w:t>1</w:t>
      </w:r>
      <w:r w:rsidR="00C8191B">
        <w:rPr>
          <w:b/>
          <w:bCs/>
        </w:rPr>
        <w:t>-3m].</w:t>
      </w:r>
    </w:p>
    <w:p w14:paraId="79B2AAC3" w14:textId="754A2246" w:rsidR="00CA7D15" w:rsidRPr="00B37DBB" w:rsidRDefault="00CA7D15" w:rsidP="00153C57">
      <w:pPr>
        <w:rPr>
          <w:b/>
          <w:bCs/>
        </w:rPr>
      </w:pPr>
      <w:r>
        <w:rPr>
          <w:b/>
          <w:bCs/>
        </w:rPr>
        <w:t>Proposal</w:t>
      </w:r>
      <w:r w:rsidR="00763FD1">
        <w:rPr>
          <w:b/>
          <w:bCs/>
        </w:rPr>
        <w:t xml:space="preserve"> 4</w:t>
      </w:r>
      <w:r>
        <w:rPr>
          <w:b/>
          <w:bCs/>
        </w:rPr>
        <w:t>: For SL positioning consider the latenc</w:t>
      </w:r>
      <w:r w:rsidR="00211135">
        <w:rPr>
          <w:b/>
          <w:bCs/>
        </w:rPr>
        <w:t>ies</w:t>
      </w:r>
      <w:r>
        <w:rPr>
          <w:b/>
          <w:bCs/>
        </w:rPr>
        <w:t xml:space="preserve"> (delay</w:t>
      </w:r>
      <w:r w:rsidR="00211135">
        <w:rPr>
          <w:b/>
          <w:bCs/>
        </w:rPr>
        <w:t>s</w:t>
      </w:r>
      <w:r>
        <w:rPr>
          <w:b/>
          <w:bCs/>
        </w:rPr>
        <w:t>)</w:t>
      </w:r>
      <w:r w:rsidR="00211135">
        <w:rPr>
          <w:b/>
          <w:bCs/>
        </w:rPr>
        <w:t xml:space="preserve"> levels </w:t>
      </w:r>
      <w:r w:rsidR="00902EF3">
        <w:rPr>
          <w:b/>
          <w:bCs/>
        </w:rPr>
        <w:t>requirements [</w:t>
      </w:r>
      <w:r>
        <w:rPr>
          <w:b/>
          <w:bCs/>
        </w:rPr>
        <w:t>150ms</w:t>
      </w:r>
      <w:r w:rsidR="00902EF3">
        <w:rPr>
          <w:b/>
          <w:bCs/>
        </w:rPr>
        <w:t>,</w:t>
      </w:r>
      <w:r>
        <w:rPr>
          <w:b/>
          <w:bCs/>
        </w:rPr>
        <w:t xml:space="preserve"> 1s</w:t>
      </w:r>
      <w:r w:rsidR="00902EF3">
        <w:rPr>
          <w:b/>
          <w:bCs/>
        </w:rPr>
        <w:t>]</w:t>
      </w:r>
      <w:r w:rsidR="00211135">
        <w:rPr>
          <w:b/>
          <w:bCs/>
        </w:rPr>
        <w:t>.</w:t>
      </w:r>
      <w:r>
        <w:rPr>
          <w:b/>
          <w:bCs/>
        </w:rPr>
        <w:t xml:space="preserve"> </w:t>
      </w:r>
      <w:r w:rsidR="00211135">
        <w:rPr>
          <w:b/>
          <w:bCs/>
        </w:rPr>
        <w:t xml:space="preserve"> </w:t>
      </w:r>
    </w:p>
    <w:p w14:paraId="0F45FD15" w14:textId="2F620D84" w:rsidR="00C8191B" w:rsidRPr="006E632A" w:rsidRDefault="00C8191B" w:rsidP="00C8191B">
      <w:r w:rsidRPr="006E632A">
        <w:t xml:space="preserve">Few </w:t>
      </w:r>
      <w:r w:rsidR="006E632A">
        <w:t xml:space="preserve">clarification </w:t>
      </w:r>
      <w:r w:rsidRPr="006E632A">
        <w:t xml:space="preserve">remarks should </w:t>
      </w:r>
      <w:r w:rsidR="006E632A">
        <w:t xml:space="preserve">be considered together with </w:t>
      </w:r>
      <w:r w:rsidR="00211135">
        <w:t>above</w:t>
      </w:r>
      <w:r w:rsidR="006E632A">
        <w:t xml:space="preserve"> proposal</w:t>
      </w:r>
      <w:r w:rsidR="00211135">
        <w:t>s</w:t>
      </w:r>
      <w:r w:rsidR="006E632A">
        <w:t>:</w:t>
      </w:r>
    </w:p>
    <w:p w14:paraId="1D23CB94" w14:textId="1DF4E5E9" w:rsidR="006E632A" w:rsidRDefault="00C8191B" w:rsidP="00C8191B">
      <w:pPr>
        <w:rPr>
          <w:b/>
          <w:bCs/>
        </w:rPr>
      </w:pPr>
      <w:bookmarkStart w:id="8" w:name="_Hlk102027555"/>
      <w:r>
        <w:rPr>
          <w:b/>
          <w:bCs/>
        </w:rPr>
        <w:t>Observation</w:t>
      </w:r>
      <w:r w:rsidR="00966A0E">
        <w:rPr>
          <w:b/>
          <w:bCs/>
        </w:rPr>
        <w:t xml:space="preserve"> </w:t>
      </w:r>
      <w:r w:rsidR="00763FD1">
        <w:rPr>
          <w:b/>
          <w:bCs/>
        </w:rPr>
        <w:t>6</w:t>
      </w:r>
      <w:r>
        <w:rPr>
          <w:b/>
          <w:bCs/>
        </w:rPr>
        <w:t xml:space="preserve">: </w:t>
      </w:r>
      <w:r w:rsidRPr="0027278E">
        <w:rPr>
          <w:b/>
          <w:bCs/>
        </w:rPr>
        <w:t xml:space="preserve">It is understood that </w:t>
      </w:r>
      <w:r>
        <w:rPr>
          <w:b/>
          <w:bCs/>
        </w:rPr>
        <w:t xml:space="preserve">there is </w:t>
      </w:r>
      <w:r w:rsidRPr="0027278E">
        <w:rPr>
          <w:b/>
          <w:bCs/>
        </w:rPr>
        <w:t>no single positioning technology</w:t>
      </w:r>
      <w:r>
        <w:rPr>
          <w:b/>
          <w:bCs/>
        </w:rPr>
        <w:t xml:space="preserve"> or method</w:t>
      </w:r>
      <w:r w:rsidRPr="0027278E">
        <w:rPr>
          <w:b/>
          <w:bCs/>
        </w:rPr>
        <w:t xml:space="preserve"> </w:t>
      </w:r>
      <w:r>
        <w:rPr>
          <w:b/>
          <w:bCs/>
        </w:rPr>
        <w:t xml:space="preserve">that </w:t>
      </w:r>
      <w:r w:rsidRPr="0027278E">
        <w:rPr>
          <w:b/>
          <w:bCs/>
        </w:rPr>
        <w:t xml:space="preserve">must meet all the </w:t>
      </w:r>
      <w:r w:rsidR="006E632A">
        <w:rPr>
          <w:b/>
          <w:bCs/>
        </w:rPr>
        <w:t xml:space="preserve">target performance </w:t>
      </w:r>
      <w:r w:rsidRPr="0027278E">
        <w:rPr>
          <w:b/>
          <w:bCs/>
        </w:rPr>
        <w:t>requirements for every scenario.</w:t>
      </w:r>
      <w:r>
        <w:rPr>
          <w:b/>
          <w:bCs/>
        </w:rPr>
        <w:t xml:space="preserve"> </w:t>
      </w:r>
    </w:p>
    <w:p w14:paraId="63570775" w14:textId="3D07A8F5" w:rsidR="00C8191B" w:rsidRDefault="006E632A" w:rsidP="00C8191B">
      <w:pPr>
        <w:rPr>
          <w:b/>
          <w:bCs/>
        </w:rPr>
      </w:pPr>
      <w:r>
        <w:rPr>
          <w:b/>
          <w:bCs/>
        </w:rPr>
        <w:t>Observation</w:t>
      </w:r>
      <w:r w:rsidR="00966A0E">
        <w:rPr>
          <w:b/>
          <w:bCs/>
        </w:rPr>
        <w:t xml:space="preserve"> </w:t>
      </w:r>
      <w:r w:rsidR="00763FD1">
        <w:rPr>
          <w:b/>
          <w:bCs/>
        </w:rPr>
        <w:t>7</w:t>
      </w:r>
      <w:r>
        <w:rPr>
          <w:b/>
          <w:bCs/>
        </w:rPr>
        <w:t xml:space="preserve">: </w:t>
      </w:r>
      <w:r w:rsidR="00C8191B">
        <w:rPr>
          <w:b/>
          <w:bCs/>
        </w:rPr>
        <w:t xml:space="preserve">Some of the </w:t>
      </w:r>
      <w:r>
        <w:rPr>
          <w:b/>
          <w:bCs/>
        </w:rPr>
        <w:t xml:space="preserve">SL positioning target performance </w:t>
      </w:r>
      <w:r w:rsidR="00C8191B">
        <w:rPr>
          <w:b/>
          <w:bCs/>
        </w:rPr>
        <w:t>requirements may be satisfied through a combination of RAT independent and RAT dependent solutions.</w:t>
      </w:r>
    </w:p>
    <w:bookmarkEnd w:id="8"/>
    <w:p w14:paraId="1647C907" w14:textId="77777777" w:rsidR="00211135" w:rsidRPr="0027278E" w:rsidRDefault="00211135" w:rsidP="00C8191B">
      <w:pPr>
        <w:rPr>
          <w:b/>
          <w:bCs/>
        </w:rPr>
      </w:pPr>
    </w:p>
    <w:bookmarkEnd w:id="6"/>
    <w:bookmarkEnd w:id="7"/>
    <w:p w14:paraId="2C842783" w14:textId="49D9957E" w:rsidR="00335C55" w:rsidRDefault="00335C55" w:rsidP="00335C55">
      <w:pPr>
        <w:pStyle w:val="Heading1"/>
        <w:tabs>
          <w:tab w:val="clear" w:pos="2592"/>
          <w:tab w:val="num" w:pos="450"/>
        </w:tabs>
        <w:ind w:left="450"/>
      </w:pPr>
      <w:r w:rsidRPr="00D420D3">
        <w:t>Conclusion</w:t>
      </w:r>
      <w:r>
        <w:t>s</w:t>
      </w:r>
    </w:p>
    <w:p w14:paraId="74399067" w14:textId="77777777" w:rsidR="000B051E" w:rsidRDefault="000B051E" w:rsidP="009A1727">
      <w:pPr>
        <w:rPr>
          <w:b/>
          <w:bCs/>
        </w:rPr>
      </w:pPr>
      <w:r w:rsidRPr="000B051E">
        <w:rPr>
          <w:b/>
          <w:bCs/>
        </w:rPr>
        <w:t>Observation 1: A SL positioning scenario as the positioning scenario where at least one sidelink wireless link is used to carry signals for position determination of a target UE.</w:t>
      </w:r>
    </w:p>
    <w:p w14:paraId="7C3F0D05" w14:textId="77777777" w:rsidR="000B051E" w:rsidRDefault="000B051E" w:rsidP="009A1727">
      <w:pPr>
        <w:rPr>
          <w:b/>
          <w:bCs/>
        </w:rPr>
      </w:pPr>
      <w:r w:rsidRPr="000B051E">
        <w:rPr>
          <w:b/>
          <w:bCs/>
        </w:rPr>
        <w:t xml:space="preserve">Proposal 1: The SL positioning solutions should be able to cover and combine a wide range of signaling BW sizes from 5, 10, and 20 MHz (ITS), 5, 50, and 100 MHz (FR1), to 100, 400 MHz (FR2). </w:t>
      </w:r>
    </w:p>
    <w:p w14:paraId="5A0D7594" w14:textId="0CDAD78D" w:rsidR="009A1727" w:rsidRDefault="000B051E" w:rsidP="009A1727">
      <w:pPr>
        <w:rPr>
          <w:b/>
          <w:bCs/>
        </w:rPr>
      </w:pPr>
      <w:r w:rsidRPr="000B051E">
        <w:rPr>
          <w:b/>
          <w:bCs/>
        </w:rPr>
        <w:t>Observation 2: The SL positioning scenarios will require solutions for absolute and relative position determination.</w:t>
      </w:r>
    </w:p>
    <w:p w14:paraId="23731262" w14:textId="77777777" w:rsidR="000B051E" w:rsidRDefault="000B051E" w:rsidP="009A1727">
      <w:pPr>
        <w:rPr>
          <w:b/>
          <w:bCs/>
        </w:rPr>
      </w:pPr>
      <w:r w:rsidRPr="000B051E">
        <w:rPr>
          <w:b/>
          <w:bCs/>
        </w:rPr>
        <w:lastRenderedPageBreak/>
        <w:t>Proposal 2: For SL V2X scenarios consider three category of velocity levels: low velocity (less than 20km/h), medium velocity (20-100km/h) and high velocity (100-250km/h).</w:t>
      </w:r>
    </w:p>
    <w:p w14:paraId="43C9E973" w14:textId="5ECAC1A0" w:rsidR="009A1727" w:rsidRPr="00775112" w:rsidRDefault="009A1727" w:rsidP="009A1727">
      <w:pPr>
        <w:rPr>
          <w:b/>
          <w:bCs/>
        </w:rPr>
      </w:pPr>
      <w:r>
        <w:rPr>
          <w:b/>
          <w:bCs/>
        </w:rPr>
        <w:t xml:space="preserve">Observation 3: </w:t>
      </w:r>
      <w:r w:rsidRPr="00775112">
        <w:rPr>
          <w:b/>
          <w:bCs/>
        </w:rPr>
        <w:t xml:space="preserve">The SL V2X positioning </w:t>
      </w:r>
      <w:r>
        <w:rPr>
          <w:b/>
          <w:bCs/>
        </w:rPr>
        <w:t>solutions</w:t>
      </w:r>
      <w:r w:rsidRPr="00775112">
        <w:rPr>
          <w:b/>
          <w:bCs/>
        </w:rPr>
        <w:t xml:space="preserve"> should</w:t>
      </w:r>
      <w:r>
        <w:rPr>
          <w:b/>
          <w:bCs/>
        </w:rPr>
        <w:t xml:space="preserve"> be able to operate</w:t>
      </w:r>
      <w:r w:rsidRPr="00775112">
        <w:rPr>
          <w:b/>
          <w:bCs/>
        </w:rPr>
        <w:t xml:space="preserve"> </w:t>
      </w:r>
      <w:r>
        <w:rPr>
          <w:b/>
          <w:bCs/>
        </w:rPr>
        <w:t>in</w:t>
      </w:r>
      <w:r w:rsidRPr="00775112">
        <w:rPr>
          <w:b/>
          <w:bCs/>
        </w:rPr>
        <w:t xml:space="preserve"> </w:t>
      </w:r>
      <w:r>
        <w:rPr>
          <w:b/>
          <w:bCs/>
        </w:rPr>
        <w:t>multiple</w:t>
      </w:r>
      <w:r w:rsidRPr="00775112">
        <w:rPr>
          <w:b/>
          <w:bCs/>
        </w:rPr>
        <w:t xml:space="preserve"> service areas</w:t>
      </w:r>
      <w:r>
        <w:rPr>
          <w:b/>
          <w:bCs/>
        </w:rPr>
        <w:t xml:space="preserve"> and channel propagation conditions such as</w:t>
      </w:r>
      <w:r w:rsidRPr="00775112">
        <w:rPr>
          <w:b/>
          <w:bCs/>
        </w:rPr>
        <w:t>:</w:t>
      </w:r>
    </w:p>
    <w:p w14:paraId="340DC628" w14:textId="77777777" w:rsidR="009A1727" w:rsidRPr="00775112" w:rsidRDefault="009A1727" w:rsidP="009A1727">
      <w:pPr>
        <w:pStyle w:val="ListParagraph"/>
        <w:numPr>
          <w:ilvl w:val="0"/>
          <w:numId w:val="20"/>
        </w:numPr>
        <w:rPr>
          <w:b/>
          <w:bCs/>
        </w:rPr>
      </w:pPr>
      <w:r w:rsidRPr="00775112">
        <w:rPr>
          <w:b/>
          <w:bCs/>
        </w:rPr>
        <w:t>Rural (9000 units/km^2)</w:t>
      </w:r>
    </w:p>
    <w:p w14:paraId="0F77BD28" w14:textId="77777777" w:rsidR="009A1727" w:rsidRPr="00775112" w:rsidRDefault="009A1727" w:rsidP="009A1727">
      <w:pPr>
        <w:pStyle w:val="ListParagraph"/>
        <w:numPr>
          <w:ilvl w:val="0"/>
          <w:numId w:val="20"/>
        </w:numPr>
        <w:rPr>
          <w:b/>
          <w:bCs/>
        </w:rPr>
      </w:pPr>
      <w:r w:rsidRPr="00775112">
        <w:rPr>
          <w:b/>
          <w:bCs/>
        </w:rPr>
        <w:t>Urban (12000 units/km^2)</w:t>
      </w:r>
      <w:r>
        <w:rPr>
          <w:b/>
          <w:bCs/>
        </w:rPr>
        <w:t xml:space="preserve"> both Micro and Micro</w:t>
      </w:r>
    </w:p>
    <w:p w14:paraId="7FA06C16" w14:textId="25A83AD4" w:rsidR="009A1727" w:rsidRDefault="009A1727" w:rsidP="009A1727">
      <w:pPr>
        <w:pStyle w:val="ListParagraph"/>
        <w:numPr>
          <w:ilvl w:val="0"/>
          <w:numId w:val="20"/>
        </w:numPr>
        <w:rPr>
          <w:b/>
          <w:bCs/>
        </w:rPr>
      </w:pPr>
      <w:r w:rsidRPr="00775112">
        <w:rPr>
          <w:b/>
          <w:bCs/>
        </w:rPr>
        <w:t>Highway (4500 units/km^2)</w:t>
      </w:r>
    </w:p>
    <w:p w14:paraId="27F6A39E" w14:textId="77777777" w:rsidR="000B051E" w:rsidRDefault="000B051E" w:rsidP="009A1727">
      <w:pPr>
        <w:rPr>
          <w:b/>
          <w:bCs/>
        </w:rPr>
      </w:pPr>
      <w:r w:rsidRPr="000B051E">
        <w:rPr>
          <w:b/>
          <w:bCs/>
        </w:rPr>
        <w:t>Observation 4: IoT applications may be require positioning solutions that provide very high accuracy of 0.5m horizontal and 0.3m vertical with very low latency of 150ms in outdoor service areas.</w:t>
      </w:r>
    </w:p>
    <w:p w14:paraId="27E3B301" w14:textId="77777777" w:rsidR="000B051E" w:rsidRDefault="000B051E" w:rsidP="009A1727">
      <w:pPr>
        <w:rPr>
          <w:b/>
          <w:bCs/>
          <w:noProof/>
        </w:rPr>
      </w:pPr>
      <w:r w:rsidRPr="000B051E">
        <w:rPr>
          <w:b/>
          <w:bCs/>
          <w:noProof/>
        </w:rPr>
        <w:t>Observation 5:  5G solutions for public safety scenarios may require very high accuracy of 0.2m horizontal and 0.2m vertical within 1s delay for relative indoor positioning, and 0.3m horizontal and 2m vertical within 1s delay for absolute high speed outdoor positioning scenarios.</w:t>
      </w:r>
    </w:p>
    <w:p w14:paraId="0D387234" w14:textId="77777777" w:rsidR="000B051E" w:rsidRPr="000B051E" w:rsidRDefault="000B051E" w:rsidP="000B051E">
      <w:pPr>
        <w:rPr>
          <w:b/>
          <w:bCs/>
        </w:rPr>
      </w:pPr>
      <w:r w:rsidRPr="000B051E">
        <w:rPr>
          <w:b/>
          <w:bCs/>
        </w:rPr>
        <w:t>Proposal 3: For SL positioning consider three category of horizontal position accuracy levels: tens of meters [10-20m], meters[1-3m], and sub-meter [0.2-0.5m]. Consider vertical position accuracy level of sub meter [&lt;1m] and of above meter[1-3m].</w:t>
      </w:r>
    </w:p>
    <w:p w14:paraId="666AD45E" w14:textId="77777777" w:rsidR="000B051E" w:rsidRDefault="000B051E" w:rsidP="000B051E">
      <w:pPr>
        <w:rPr>
          <w:b/>
          <w:bCs/>
        </w:rPr>
      </w:pPr>
      <w:r w:rsidRPr="000B051E">
        <w:rPr>
          <w:b/>
          <w:bCs/>
        </w:rPr>
        <w:t xml:space="preserve">Proposal 4: For SL positioning consider the latencies (delays) levels requirements [150ms, 1s].  </w:t>
      </w:r>
    </w:p>
    <w:p w14:paraId="63BA227F" w14:textId="77777777" w:rsidR="000B051E" w:rsidRPr="000B051E" w:rsidRDefault="000B051E" w:rsidP="000B051E">
      <w:pPr>
        <w:rPr>
          <w:b/>
          <w:bCs/>
        </w:rPr>
      </w:pPr>
      <w:r w:rsidRPr="000B051E">
        <w:rPr>
          <w:b/>
          <w:bCs/>
        </w:rPr>
        <w:t xml:space="preserve">Observation 6: It is understood that there is no single positioning technology or method that must meet all the target performance requirements for every scenario. </w:t>
      </w:r>
    </w:p>
    <w:p w14:paraId="5A589A55" w14:textId="76CA456A" w:rsidR="009A1727" w:rsidRPr="0027278E" w:rsidRDefault="000B051E" w:rsidP="000B051E">
      <w:pPr>
        <w:rPr>
          <w:b/>
          <w:bCs/>
        </w:rPr>
      </w:pPr>
      <w:r w:rsidRPr="000B051E">
        <w:rPr>
          <w:b/>
          <w:bCs/>
        </w:rPr>
        <w:t>Observation 7: Some of the SL positioning target performance requirements may be satisfied through a combination of RAT independent and RAT dependent solutions.</w:t>
      </w:r>
    </w:p>
    <w:p w14:paraId="3B48D80B" w14:textId="7F00B740" w:rsidR="00FE3F5D" w:rsidRDefault="00FE3F5D" w:rsidP="00FE3F5D"/>
    <w:p w14:paraId="141461B7" w14:textId="77777777" w:rsidR="00F211E4" w:rsidRPr="00EB2989" w:rsidRDefault="00F211E4" w:rsidP="00F211E4">
      <w:pPr>
        <w:pStyle w:val="Heading1"/>
        <w:tabs>
          <w:tab w:val="clear" w:pos="2592"/>
          <w:tab w:val="num" w:pos="540"/>
        </w:tabs>
        <w:ind w:left="540" w:hanging="540"/>
      </w:pPr>
      <w:r w:rsidRPr="002B48CB">
        <w:t>References</w:t>
      </w:r>
      <w:r w:rsidRPr="00EB2989">
        <w:t xml:space="preserve">  </w:t>
      </w:r>
    </w:p>
    <w:p w14:paraId="6CF56EDD" w14:textId="77777777" w:rsidR="00F211E4" w:rsidRDefault="00F211E4" w:rsidP="000E0ECD">
      <w:pPr>
        <w:pStyle w:val="References"/>
        <w:rPr>
          <w:lang w:eastAsia="ko-KR"/>
        </w:rPr>
      </w:pPr>
      <w:r w:rsidRPr="000E0ECD">
        <w:t>RP-213588,</w:t>
      </w:r>
      <w:r w:rsidRPr="001E0B39">
        <w:t xml:space="preserve"> </w:t>
      </w:r>
      <w:r w:rsidRPr="001E0B39">
        <w:rPr>
          <w:lang w:eastAsia="ko-KR"/>
        </w:rPr>
        <w:t>Study on expanded and improved NR positioning</w:t>
      </w:r>
      <w:r>
        <w:rPr>
          <w:lang w:eastAsia="ko-KR"/>
        </w:rPr>
        <w:t>, RAN #94e, December 2021</w:t>
      </w:r>
      <w:r w:rsidRPr="00D420D3">
        <w:rPr>
          <w:lang w:eastAsia="ko-KR"/>
        </w:rPr>
        <w:t>.</w:t>
      </w:r>
    </w:p>
    <w:p w14:paraId="1EAAF5C5" w14:textId="77777777" w:rsidR="00F211E4" w:rsidRPr="006023D9" w:rsidRDefault="00F211E4" w:rsidP="000E0ECD">
      <w:pPr>
        <w:pStyle w:val="References"/>
        <w:rPr>
          <w:lang w:eastAsia="ko-KR"/>
        </w:rPr>
      </w:pPr>
      <w:r w:rsidRPr="00274BD3">
        <w:rPr>
          <w:lang w:eastAsia="ko-KR"/>
        </w:rPr>
        <w:t>TR</w:t>
      </w:r>
      <w:r>
        <w:rPr>
          <w:lang w:eastAsia="ko-KR"/>
        </w:rPr>
        <w:t xml:space="preserve"> </w:t>
      </w:r>
      <w:r w:rsidRPr="00274BD3">
        <w:rPr>
          <w:lang w:eastAsia="ko-KR"/>
        </w:rPr>
        <w:t>38.845</w:t>
      </w:r>
      <w:r>
        <w:rPr>
          <w:lang w:eastAsia="ko-KR"/>
        </w:rPr>
        <w:t xml:space="preserve">, </w:t>
      </w:r>
      <w:r w:rsidRPr="006023D9">
        <w:rPr>
          <w:lang w:eastAsia="ko-KR"/>
        </w:rPr>
        <w:t>Study on scenarios and requirements of in-coverage, partial coverage, and out-of-coverage NR positioning use cases</w:t>
      </w:r>
      <w:r>
        <w:rPr>
          <w:lang w:eastAsia="ko-KR"/>
        </w:rPr>
        <w:t xml:space="preserve"> </w:t>
      </w:r>
      <w:r w:rsidRPr="006023D9">
        <w:rPr>
          <w:lang w:eastAsia="ko-KR"/>
        </w:rPr>
        <w:t>(Release 17)</w:t>
      </w:r>
    </w:p>
    <w:p w14:paraId="1FA3462F" w14:textId="77777777" w:rsidR="00F211E4" w:rsidRPr="001A04A5" w:rsidRDefault="00F211E4" w:rsidP="000E0ECD">
      <w:pPr>
        <w:pStyle w:val="References"/>
        <w:rPr>
          <w:lang w:eastAsia="ko-KR"/>
        </w:rPr>
      </w:pPr>
      <w:r w:rsidRPr="00274BD3">
        <w:rPr>
          <w:lang w:eastAsia="ko-KR"/>
        </w:rPr>
        <w:t>TS</w:t>
      </w:r>
      <w:r>
        <w:rPr>
          <w:lang w:eastAsia="ko-KR"/>
        </w:rPr>
        <w:t xml:space="preserve"> </w:t>
      </w:r>
      <w:r w:rsidRPr="00274BD3">
        <w:rPr>
          <w:lang w:eastAsia="ko-KR"/>
        </w:rPr>
        <w:t>22.261</w:t>
      </w:r>
      <w:r>
        <w:rPr>
          <w:lang w:eastAsia="ko-KR"/>
        </w:rPr>
        <w:t xml:space="preserve"> </w:t>
      </w:r>
      <w:r w:rsidRPr="00A17F53">
        <w:t>Service requirements for the 5G system</w:t>
      </w:r>
    </w:p>
    <w:p w14:paraId="55C834B7" w14:textId="77777777" w:rsidR="00F211E4" w:rsidRPr="001A04A5" w:rsidRDefault="00F211E4" w:rsidP="000E0ECD">
      <w:pPr>
        <w:pStyle w:val="References"/>
        <w:rPr>
          <w:lang w:eastAsia="ko-KR"/>
        </w:rPr>
      </w:pPr>
      <w:r>
        <w:rPr>
          <w:lang w:eastAsia="ko-KR"/>
        </w:rPr>
        <w:t xml:space="preserve">TS 22.186 </w:t>
      </w:r>
      <w:r w:rsidRPr="001A04A5">
        <w:rPr>
          <w:lang w:eastAsia="ko-KR"/>
        </w:rPr>
        <w:t>Enhancement of 3GPP support for V2X scenarios;</w:t>
      </w:r>
      <w:r>
        <w:rPr>
          <w:lang w:eastAsia="ko-KR"/>
        </w:rPr>
        <w:t xml:space="preserve"> </w:t>
      </w:r>
      <w:r w:rsidRPr="001A04A5">
        <w:rPr>
          <w:lang w:eastAsia="ko-KR"/>
        </w:rPr>
        <w:t>Stage 1</w:t>
      </w:r>
      <w:r>
        <w:rPr>
          <w:lang w:eastAsia="ko-KR"/>
        </w:rPr>
        <w:t xml:space="preserve"> </w:t>
      </w:r>
      <w:r w:rsidRPr="001A04A5">
        <w:rPr>
          <w:lang w:eastAsia="ko-KR"/>
        </w:rPr>
        <w:t>(Release 17)</w:t>
      </w:r>
    </w:p>
    <w:p w14:paraId="7C9B40CB" w14:textId="77777777" w:rsidR="00F211E4" w:rsidRPr="00F12D6A" w:rsidRDefault="00F211E4" w:rsidP="000E0ECD">
      <w:pPr>
        <w:pStyle w:val="References"/>
        <w:rPr>
          <w:lang w:val="en-GB" w:eastAsia="ko-KR"/>
        </w:rPr>
      </w:pPr>
      <w:r w:rsidRPr="00F12D6A">
        <w:rPr>
          <w:lang w:eastAsia="ko-KR"/>
        </w:rPr>
        <w:t xml:space="preserve">TS 22.104 </w:t>
      </w:r>
      <w:r w:rsidRPr="00F12D6A">
        <w:rPr>
          <w:lang w:val="en-GB" w:eastAsia="ko-KR"/>
        </w:rPr>
        <w:t>Service requirements for cyber-physical control applications in vertical domains; Stage 1 (Release 18)</w:t>
      </w:r>
    </w:p>
    <w:p w14:paraId="6B11B6A9" w14:textId="77777777" w:rsidR="00F211E4" w:rsidRDefault="00F211E4" w:rsidP="000E0ECD">
      <w:pPr>
        <w:pStyle w:val="References"/>
        <w:rPr>
          <w:lang w:val="en-GB" w:eastAsia="ko-KR"/>
        </w:rPr>
      </w:pPr>
      <w:r w:rsidRPr="00895F4A">
        <w:rPr>
          <w:lang w:val="en-GB" w:eastAsia="ko-KR"/>
        </w:rPr>
        <w:t xml:space="preserve">5GAA </w:t>
      </w:r>
      <w:r>
        <w:rPr>
          <w:lang w:val="en-GB" w:eastAsia="ko-KR"/>
        </w:rPr>
        <w:t>“</w:t>
      </w:r>
      <w:r w:rsidRPr="00895F4A">
        <w:t>S</w:t>
      </w:r>
      <w:r>
        <w:t>ystem Architecture and Solution Development; High-</w:t>
      </w:r>
      <w:r w:rsidRPr="000E0ECD">
        <w:t xml:space="preserve">Accuracy Positioning for C-V2X”, </w:t>
      </w:r>
      <w:hyperlink r:id="rId9" w:history="1">
        <w:r w:rsidRPr="003A42B0">
          <w:rPr>
            <w:rStyle w:val="Hyperlink"/>
            <w:rFonts w:eastAsia="Malgun Gothic" w:cs="Batang"/>
            <w:bCs/>
            <w:lang w:val="en-GB" w:eastAsia="ko-KR"/>
          </w:rPr>
          <w:t>https://5gaa.org/news/system-architecture-and-solution-development-high-accuracy-positioning-for-c-v2x/</w:t>
        </w:r>
      </w:hyperlink>
      <w:r>
        <w:rPr>
          <w:lang w:val="en-GB" w:eastAsia="ko-KR"/>
        </w:rPr>
        <w:t xml:space="preserve"> ,</w:t>
      </w:r>
      <w:r w:rsidRPr="00ED2038">
        <w:rPr>
          <w:lang w:val="en-GB" w:eastAsia="ko-KR"/>
        </w:rPr>
        <w:t xml:space="preserve"> 2021</w:t>
      </w:r>
    </w:p>
    <w:p w14:paraId="2199689C" w14:textId="77777777" w:rsidR="00F211E4" w:rsidRDefault="00F211E4" w:rsidP="000E0ECD">
      <w:pPr>
        <w:pStyle w:val="References"/>
        <w:rPr>
          <w:lang w:val="en-GB" w:eastAsia="ko-KR"/>
        </w:rPr>
      </w:pPr>
      <w:r>
        <w:rPr>
          <w:lang w:val="en-GB" w:eastAsia="ko-KR"/>
        </w:rPr>
        <w:t>5GAA “</w:t>
      </w:r>
      <w:r w:rsidRPr="00FC3D7A">
        <w:rPr>
          <w:lang w:val="en-GB" w:eastAsia="ko-KR"/>
        </w:rPr>
        <w:t>C-V2X-Use-Cases-Volume-II</w:t>
      </w:r>
      <w:r>
        <w:rPr>
          <w:lang w:val="en-GB" w:eastAsia="ko-KR"/>
        </w:rPr>
        <w:t xml:space="preserve">”, </w:t>
      </w:r>
      <w:hyperlink r:id="rId10" w:history="1">
        <w:r w:rsidRPr="003A42B0">
          <w:rPr>
            <w:rStyle w:val="Hyperlink"/>
            <w:rFonts w:eastAsia="Malgun Gothic" w:cs="Batang"/>
            <w:bCs/>
            <w:lang w:val="en-GB" w:eastAsia="ko-KR"/>
          </w:rPr>
          <w:t>https://5gaa.org/wp-content/uploads/2020/10/5GAA_White-Paper_C-V2X-Use-Cases-Volume-II.pdf</w:t>
        </w:r>
      </w:hyperlink>
      <w:r>
        <w:rPr>
          <w:lang w:val="en-GB" w:eastAsia="ko-KR"/>
        </w:rPr>
        <w:t xml:space="preserve"> , 2020</w:t>
      </w:r>
    </w:p>
    <w:p w14:paraId="154EDBDA" w14:textId="77777777" w:rsidR="00F211E4" w:rsidRPr="00ED2038" w:rsidRDefault="00F211E4" w:rsidP="000E0ECD">
      <w:pPr>
        <w:pStyle w:val="References"/>
        <w:rPr>
          <w:lang w:val="en-GB" w:eastAsia="ko-KR"/>
        </w:rPr>
      </w:pPr>
      <w:r w:rsidRPr="00B10A9F">
        <w:rPr>
          <w:lang w:val="en-GB" w:eastAsia="ko-KR"/>
        </w:rPr>
        <w:t xml:space="preserve">5GAA, A-200134, </w:t>
      </w:r>
      <w:r>
        <w:rPr>
          <w:lang w:val="en-GB" w:eastAsia="ko-KR"/>
        </w:rPr>
        <w:t>“</w:t>
      </w:r>
      <w:r w:rsidRPr="00B10A9F">
        <w:rPr>
          <w:lang w:val="en-GB" w:eastAsia="ko-KR"/>
        </w:rPr>
        <w:t>Draft reply LS to 3GPP RAN on requirements of in-coverage, partial coverage, and out-of- coverage positioning use</w:t>
      </w:r>
      <w:r>
        <w:rPr>
          <w:lang w:val="en-GB" w:eastAsia="ko-KR"/>
        </w:rPr>
        <w:t xml:space="preserve"> cases”</w:t>
      </w:r>
    </w:p>
    <w:p w14:paraId="0D54EFFF" w14:textId="77777777" w:rsidR="00F211E4" w:rsidRPr="00ED2038" w:rsidRDefault="00F211E4" w:rsidP="000E0ECD">
      <w:pPr>
        <w:pStyle w:val="References"/>
        <w:rPr>
          <w:lang w:val="en-GB" w:eastAsia="ko-KR"/>
        </w:rPr>
      </w:pPr>
      <w:r w:rsidRPr="00ED2038">
        <w:rPr>
          <w:lang w:val="en-GB" w:eastAsia="ko-KR"/>
        </w:rPr>
        <w:t>TS 38.855</w:t>
      </w:r>
      <w:r>
        <w:rPr>
          <w:lang w:val="en-GB" w:eastAsia="ko-KR"/>
        </w:rPr>
        <w:t xml:space="preserve">, </w:t>
      </w:r>
      <w:r w:rsidRPr="00ED2038">
        <w:rPr>
          <w:lang w:val="en-GB" w:eastAsia="ko-KR"/>
        </w:rPr>
        <w:t>Study on NR positioning support</w:t>
      </w:r>
      <w:r>
        <w:rPr>
          <w:lang w:val="en-GB" w:eastAsia="ko-KR"/>
        </w:rPr>
        <w:t xml:space="preserve"> </w:t>
      </w:r>
      <w:r w:rsidRPr="00ED2038">
        <w:rPr>
          <w:lang w:val="en-GB" w:eastAsia="ko-KR"/>
        </w:rPr>
        <w:t>(Release 16)</w:t>
      </w:r>
    </w:p>
    <w:p w14:paraId="59831047" w14:textId="77777777" w:rsidR="00F211E4" w:rsidRPr="00FE3F5D" w:rsidRDefault="00F211E4" w:rsidP="00FE3F5D"/>
    <w:p w14:paraId="1BB0130B" w14:textId="77777777" w:rsidR="00335C55" w:rsidRPr="00335C55" w:rsidRDefault="00335C55" w:rsidP="00335C55"/>
    <w:p w14:paraId="01763159" w14:textId="1AFD2BA7" w:rsidR="00BF2769" w:rsidRDefault="00335C55" w:rsidP="00335C55">
      <w:pPr>
        <w:pStyle w:val="Heading1"/>
        <w:tabs>
          <w:tab w:val="clear" w:pos="2592"/>
          <w:tab w:val="num" w:pos="450"/>
        </w:tabs>
        <w:ind w:left="450"/>
      </w:pPr>
      <w:r w:rsidRPr="00335C55">
        <w:t>Appendix</w:t>
      </w:r>
      <w:r w:rsidR="007205AD">
        <w:t xml:space="preserve"> A</w:t>
      </w:r>
    </w:p>
    <w:p w14:paraId="69AEEFEB" w14:textId="2F78330F" w:rsidR="002F2BF4" w:rsidRPr="00F211E4" w:rsidRDefault="002F2BF4" w:rsidP="002F2BF4">
      <w:pPr>
        <w:rPr>
          <w:b/>
          <w:bCs/>
        </w:rPr>
      </w:pPr>
      <w:r w:rsidRPr="00F211E4">
        <w:rPr>
          <w:b/>
          <w:bCs/>
        </w:rPr>
        <w:t>Table 6.1-1, TR 22.872</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2F2BF4" w:rsidRPr="002F2BF4" w14:paraId="3E49677E" w14:textId="77777777" w:rsidTr="00ED5562">
        <w:trPr>
          <w:trHeight w:val="227"/>
        </w:trPr>
        <w:tc>
          <w:tcPr>
            <w:tcW w:w="2042" w:type="dxa"/>
            <w:gridSpan w:val="2"/>
            <w:vMerge w:val="restart"/>
            <w:shd w:val="clear" w:color="auto" w:fill="auto"/>
            <w:vAlign w:val="center"/>
          </w:tcPr>
          <w:p w14:paraId="148928FE"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Use cases</w:t>
            </w:r>
          </w:p>
        </w:tc>
        <w:tc>
          <w:tcPr>
            <w:tcW w:w="7815" w:type="dxa"/>
            <w:gridSpan w:val="8"/>
            <w:shd w:val="clear" w:color="auto" w:fill="auto"/>
            <w:vAlign w:val="center"/>
          </w:tcPr>
          <w:p w14:paraId="6CF641DB"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Potential requirements per use cases</w:t>
            </w:r>
          </w:p>
        </w:tc>
      </w:tr>
      <w:tr w:rsidR="002F2BF4" w:rsidRPr="002F2BF4" w14:paraId="32EFB12C" w14:textId="77777777" w:rsidTr="00ED5562">
        <w:trPr>
          <w:trHeight w:val="340"/>
        </w:trPr>
        <w:tc>
          <w:tcPr>
            <w:tcW w:w="2042" w:type="dxa"/>
            <w:gridSpan w:val="2"/>
            <w:vMerge/>
            <w:shd w:val="clear" w:color="auto" w:fill="auto"/>
            <w:vAlign w:val="center"/>
          </w:tcPr>
          <w:p w14:paraId="21142D35" w14:textId="77777777" w:rsidR="002F2BF4" w:rsidRPr="002F2BF4" w:rsidRDefault="002F2BF4" w:rsidP="002F2BF4">
            <w:pPr>
              <w:spacing w:after="0"/>
              <w:jc w:val="center"/>
              <w:rPr>
                <w:rFonts w:ascii="Arial" w:hAnsi="Arial" w:cs="Arial"/>
                <w:b/>
                <w:sz w:val="14"/>
                <w:szCs w:val="14"/>
              </w:rPr>
            </w:pPr>
          </w:p>
        </w:tc>
        <w:tc>
          <w:tcPr>
            <w:tcW w:w="1984" w:type="dxa"/>
            <w:shd w:val="clear" w:color="auto" w:fill="auto"/>
            <w:vAlign w:val="center"/>
          </w:tcPr>
          <w:p w14:paraId="1E171B54"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Environment of Use</w:t>
            </w:r>
          </w:p>
        </w:tc>
        <w:tc>
          <w:tcPr>
            <w:tcW w:w="1418" w:type="dxa"/>
            <w:shd w:val="clear" w:color="auto" w:fill="auto"/>
            <w:vAlign w:val="center"/>
          </w:tcPr>
          <w:p w14:paraId="77802D85"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Position Accuracy</w:t>
            </w:r>
          </w:p>
        </w:tc>
        <w:tc>
          <w:tcPr>
            <w:tcW w:w="709" w:type="dxa"/>
            <w:shd w:val="clear" w:color="auto" w:fill="auto"/>
            <w:vAlign w:val="center"/>
          </w:tcPr>
          <w:p w14:paraId="0B5F3683"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Velocity</w:t>
            </w:r>
          </w:p>
        </w:tc>
        <w:tc>
          <w:tcPr>
            <w:tcW w:w="567" w:type="dxa"/>
            <w:shd w:val="clear" w:color="auto" w:fill="auto"/>
            <w:vAlign w:val="center"/>
          </w:tcPr>
          <w:p w14:paraId="5EBB0858"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Avail.</w:t>
            </w:r>
          </w:p>
        </w:tc>
        <w:tc>
          <w:tcPr>
            <w:tcW w:w="708" w:type="dxa"/>
            <w:shd w:val="clear" w:color="auto" w:fill="auto"/>
            <w:vAlign w:val="center"/>
          </w:tcPr>
          <w:p w14:paraId="483C001E"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Update rate or interval</w:t>
            </w:r>
          </w:p>
        </w:tc>
        <w:tc>
          <w:tcPr>
            <w:tcW w:w="851" w:type="dxa"/>
            <w:shd w:val="clear" w:color="auto" w:fill="auto"/>
            <w:vAlign w:val="center"/>
          </w:tcPr>
          <w:p w14:paraId="40DD6B2C"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TTFF</w:t>
            </w:r>
          </w:p>
        </w:tc>
        <w:tc>
          <w:tcPr>
            <w:tcW w:w="709" w:type="dxa"/>
            <w:shd w:val="clear" w:color="auto" w:fill="auto"/>
            <w:vAlign w:val="center"/>
          </w:tcPr>
          <w:p w14:paraId="09653C86"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Latency</w:t>
            </w:r>
          </w:p>
        </w:tc>
        <w:tc>
          <w:tcPr>
            <w:tcW w:w="869" w:type="dxa"/>
            <w:shd w:val="clear" w:color="auto" w:fill="auto"/>
            <w:vAlign w:val="center"/>
          </w:tcPr>
          <w:p w14:paraId="0BCF8360" w14:textId="77777777" w:rsidR="002F2BF4" w:rsidRPr="002F2BF4" w:rsidRDefault="002F2BF4" w:rsidP="002F2BF4">
            <w:pPr>
              <w:spacing w:after="0"/>
              <w:jc w:val="center"/>
              <w:rPr>
                <w:rFonts w:ascii="Arial" w:hAnsi="Arial" w:cs="Arial"/>
                <w:b/>
                <w:sz w:val="14"/>
                <w:szCs w:val="14"/>
              </w:rPr>
            </w:pPr>
            <w:r w:rsidRPr="000E0ECD">
              <w:rPr>
                <w:rFonts w:ascii="Arial" w:hAnsi="Arial" w:cs="Arial"/>
                <w:b/>
                <w:sz w:val="14"/>
                <w:szCs w:val="14"/>
              </w:rPr>
              <w:t>Other KPI</w:t>
            </w:r>
          </w:p>
        </w:tc>
      </w:tr>
      <w:tr w:rsidR="002F2BF4" w:rsidRPr="002F2BF4" w14:paraId="0FDEE28B" w14:textId="77777777" w:rsidTr="00ED5562">
        <w:trPr>
          <w:trHeight w:val="340"/>
        </w:trPr>
        <w:tc>
          <w:tcPr>
            <w:tcW w:w="483" w:type="dxa"/>
            <w:vMerge w:val="restart"/>
            <w:shd w:val="clear" w:color="auto" w:fill="auto"/>
            <w:vAlign w:val="center"/>
          </w:tcPr>
          <w:p w14:paraId="306CC0C6"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5.2.1</w:t>
            </w:r>
          </w:p>
        </w:tc>
        <w:tc>
          <w:tcPr>
            <w:tcW w:w="1559" w:type="dxa"/>
            <w:vMerge w:val="restart"/>
            <w:shd w:val="clear" w:color="auto" w:fill="auto"/>
            <w:vAlign w:val="center"/>
          </w:tcPr>
          <w:p w14:paraId="572C32F6"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55ABE8B3"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3F0AF2FE"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2218DD8E" w14:textId="77777777" w:rsidR="002F2BF4" w:rsidRPr="002F2BF4" w:rsidRDefault="002F2BF4" w:rsidP="002F2BF4">
            <w:pPr>
              <w:spacing w:after="0"/>
              <w:jc w:val="center"/>
              <w:rPr>
                <w:rFonts w:ascii="Arial" w:hAnsi="Arial"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2EF85DE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09379EDF" w14:textId="77777777" w:rsidR="002F2BF4" w:rsidRPr="002F2BF4" w:rsidRDefault="002F2BF4" w:rsidP="002F2BF4">
            <w:pPr>
              <w:spacing w:after="0"/>
              <w:jc w:val="center"/>
              <w:rPr>
                <w:rFonts w:ascii="Arial" w:hAnsi="Arial" w:cs="Arial"/>
                <w:sz w:val="14"/>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14:paraId="35D681B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14:paraId="013B25DF"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14:paraId="55288E10" w14:textId="77777777" w:rsidR="002F2BF4" w:rsidRPr="002F2BF4" w:rsidRDefault="002F2BF4" w:rsidP="002F2BF4">
            <w:pPr>
              <w:spacing w:after="0"/>
              <w:jc w:val="center"/>
              <w:rPr>
                <w:rFonts w:ascii="Arial" w:hAnsi="Arial" w:cs="Arial"/>
                <w:sz w:val="14"/>
                <w:szCs w:val="14"/>
              </w:rPr>
            </w:pPr>
          </w:p>
        </w:tc>
      </w:tr>
      <w:tr w:rsidR="002F2BF4" w:rsidRPr="002F2BF4" w14:paraId="02964999" w14:textId="77777777" w:rsidTr="00ED5562">
        <w:trPr>
          <w:trHeight w:val="340"/>
        </w:trPr>
        <w:tc>
          <w:tcPr>
            <w:tcW w:w="483" w:type="dxa"/>
            <w:vMerge/>
            <w:shd w:val="clear" w:color="auto" w:fill="auto"/>
            <w:vAlign w:val="center"/>
          </w:tcPr>
          <w:p w14:paraId="74A5AE8F" w14:textId="77777777" w:rsidR="002F2BF4" w:rsidRPr="002F2BF4" w:rsidRDefault="002F2BF4" w:rsidP="002F2BF4">
            <w:pPr>
              <w:spacing w:after="0"/>
              <w:jc w:val="center"/>
              <w:rPr>
                <w:rFonts w:ascii="Arial" w:hAnsi="Arial" w:cs="Arial"/>
                <w:sz w:val="14"/>
                <w:szCs w:val="14"/>
              </w:rPr>
            </w:pPr>
          </w:p>
        </w:tc>
        <w:tc>
          <w:tcPr>
            <w:tcW w:w="1559" w:type="dxa"/>
            <w:vMerge/>
            <w:shd w:val="clear" w:color="auto" w:fill="auto"/>
            <w:vAlign w:val="center"/>
          </w:tcPr>
          <w:p w14:paraId="13268968" w14:textId="77777777" w:rsidR="002F2BF4" w:rsidRPr="002F2BF4" w:rsidRDefault="002F2BF4" w:rsidP="002F2BF4">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48720C2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5A494F4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0.2m Horizontal</w:t>
            </w:r>
          </w:p>
        </w:tc>
        <w:tc>
          <w:tcPr>
            <w:tcW w:w="709" w:type="dxa"/>
            <w:tcBorders>
              <w:top w:val="nil"/>
              <w:left w:val="nil"/>
              <w:bottom w:val="single" w:sz="4" w:space="0" w:color="auto"/>
              <w:right w:val="single" w:sz="4" w:space="0" w:color="auto"/>
            </w:tcBorders>
            <w:shd w:val="clear" w:color="auto" w:fill="auto"/>
            <w:vAlign w:val="center"/>
          </w:tcPr>
          <w:p w14:paraId="4972E3C1"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7984D3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08D6F241"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9184EB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491085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7AFACCF8" w14:textId="77777777" w:rsidR="002F2BF4" w:rsidRPr="002F2BF4" w:rsidRDefault="002F2BF4" w:rsidP="002F2BF4">
            <w:pPr>
              <w:spacing w:after="0"/>
              <w:jc w:val="center"/>
              <w:rPr>
                <w:rFonts w:ascii="Arial" w:hAnsi="Arial" w:cs="Arial"/>
                <w:sz w:val="14"/>
                <w:szCs w:val="14"/>
              </w:rPr>
            </w:pPr>
          </w:p>
        </w:tc>
      </w:tr>
      <w:tr w:rsidR="002F2BF4" w:rsidRPr="002F2BF4" w14:paraId="208C51FC" w14:textId="77777777" w:rsidTr="00ED5562">
        <w:trPr>
          <w:trHeight w:val="340"/>
        </w:trPr>
        <w:tc>
          <w:tcPr>
            <w:tcW w:w="483" w:type="dxa"/>
            <w:shd w:val="clear" w:color="auto" w:fill="auto"/>
            <w:vAlign w:val="center"/>
          </w:tcPr>
          <w:p w14:paraId="5A921DAA"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5.2.2</w:t>
            </w:r>
          </w:p>
        </w:tc>
        <w:tc>
          <w:tcPr>
            <w:tcW w:w="1559" w:type="dxa"/>
            <w:shd w:val="clear" w:color="auto" w:fill="auto"/>
            <w:vAlign w:val="center"/>
          </w:tcPr>
          <w:p w14:paraId="3288ED9C"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Augmented Reality</w:t>
            </w:r>
          </w:p>
        </w:tc>
        <w:tc>
          <w:tcPr>
            <w:tcW w:w="1984" w:type="dxa"/>
            <w:tcBorders>
              <w:top w:val="nil"/>
              <w:left w:val="nil"/>
              <w:bottom w:val="single" w:sz="4" w:space="0" w:color="auto"/>
              <w:right w:val="single" w:sz="4" w:space="0" w:color="auto"/>
            </w:tcBorders>
            <w:shd w:val="clear" w:color="auto" w:fill="auto"/>
            <w:vAlign w:val="center"/>
          </w:tcPr>
          <w:p w14:paraId="4A1044E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Outdoor - 5G positioning service area</w:t>
            </w:r>
          </w:p>
        </w:tc>
        <w:tc>
          <w:tcPr>
            <w:tcW w:w="1418" w:type="dxa"/>
            <w:tcBorders>
              <w:top w:val="nil"/>
              <w:left w:val="nil"/>
              <w:bottom w:val="single" w:sz="4" w:space="0" w:color="auto"/>
              <w:right w:val="single" w:sz="4" w:space="0" w:color="auto"/>
            </w:tcBorders>
            <w:shd w:val="clear" w:color="auto" w:fill="auto"/>
            <w:vAlign w:val="center"/>
          </w:tcPr>
          <w:p w14:paraId="6D30137A"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1-3m Horizontal</w:t>
            </w:r>
          </w:p>
          <w:p w14:paraId="68682D0C"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0.1-3m Vertical</w:t>
            </w:r>
          </w:p>
        </w:tc>
        <w:tc>
          <w:tcPr>
            <w:tcW w:w="709" w:type="dxa"/>
            <w:tcBorders>
              <w:top w:val="nil"/>
              <w:left w:val="nil"/>
              <w:bottom w:val="single" w:sz="4" w:space="0" w:color="auto"/>
              <w:right w:val="single" w:sz="4" w:space="0" w:color="auto"/>
            </w:tcBorders>
            <w:shd w:val="clear" w:color="auto" w:fill="auto"/>
            <w:vAlign w:val="center"/>
          </w:tcPr>
          <w:p w14:paraId="7F951DC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 m/s</w:t>
            </w:r>
            <w:r w:rsidRPr="000E0ECD">
              <w:rPr>
                <w:rFonts w:ascii="Arial" w:hAnsi="Arial" w:cs="Arial"/>
                <w:sz w:val="14"/>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14:paraId="16A3E47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287F567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1 - 10 Hz</w:t>
            </w:r>
          </w:p>
        </w:tc>
        <w:tc>
          <w:tcPr>
            <w:tcW w:w="851" w:type="dxa"/>
            <w:tcBorders>
              <w:top w:val="nil"/>
              <w:left w:val="nil"/>
              <w:bottom w:val="single" w:sz="4" w:space="0" w:color="auto"/>
              <w:right w:val="single" w:sz="4" w:space="0" w:color="auto"/>
            </w:tcBorders>
            <w:shd w:val="clear" w:color="auto" w:fill="auto"/>
            <w:vAlign w:val="center"/>
          </w:tcPr>
          <w:p w14:paraId="3824A211"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06A3EA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36F2ED74"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Low Energy</w:t>
            </w:r>
          </w:p>
        </w:tc>
      </w:tr>
      <w:tr w:rsidR="002F2BF4" w:rsidRPr="002F2BF4" w14:paraId="4E2C3DB6" w14:textId="77777777" w:rsidTr="00ED5562">
        <w:trPr>
          <w:trHeight w:val="454"/>
        </w:trPr>
        <w:tc>
          <w:tcPr>
            <w:tcW w:w="483" w:type="dxa"/>
            <w:vMerge w:val="restart"/>
            <w:shd w:val="clear" w:color="auto" w:fill="auto"/>
            <w:vAlign w:val="center"/>
          </w:tcPr>
          <w:p w14:paraId="4231F807"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5.2.3</w:t>
            </w:r>
          </w:p>
        </w:tc>
        <w:tc>
          <w:tcPr>
            <w:tcW w:w="1559" w:type="dxa"/>
            <w:vMerge w:val="restart"/>
            <w:shd w:val="clear" w:color="auto" w:fill="auto"/>
            <w:vAlign w:val="center"/>
          </w:tcPr>
          <w:p w14:paraId="12050953"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14:paraId="6643746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44D505DB"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2m Horizontal</w:t>
            </w:r>
          </w:p>
          <w:p w14:paraId="3B4E811E"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4DBC3E94"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49B99612"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6FBF165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10C9E83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CDE7EB1" w14:textId="77777777" w:rsidR="002F2BF4" w:rsidRPr="002F2BF4" w:rsidRDefault="002F2BF4" w:rsidP="002F2BF4">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6EAF17AD"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Power saving mode</w:t>
            </w:r>
          </w:p>
        </w:tc>
      </w:tr>
      <w:tr w:rsidR="002F2BF4" w:rsidRPr="002F2BF4" w14:paraId="6E03B78D" w14:textId="77777777" w:rsidTr="00ED5562">
        <w:trPr>
          <w:trHeight w:val="454"/>
        </w:trPr>
        <w:tc>
          <w:tcPr>
            <w:tcW w:w="483" w:type="dxa"/>
            <w:vMerge/>
            <w:shd w:val="clear" w:color="auto" w:fill="auto"/>
            <w:vAlign w:val="center"/>
          </w:tcPr>
          <w:p w14:paraId="12483E52" w14:textId="77777777" w:rsidR="002F2BF4" w:rsidRPr="002F2BF4" w:rsidRDefault="002F2BF4" w:rsidP="002F2BF4">
            <w:pPr>
              <w:spacing w:after="0"/>
              <w:jc w:val="center"/>
              <w:rPr>
                <w:rFonts w:ascii="Arial" w:hAnsi="Arial" w:cs="Arial"/>
                <w:sz w:val="14"/>
                <w:szCs w:val="14"/>
              </w:rPr>
            </w:pPr>
          </w:p>
        </w:tc>
        <w:tc>
          <w:tcPr>
            <w:tcW w:w="1559" w:type="dxa"/>
            <w:vMerge/>
            <w:shd w:val="clear" w:color="auto" w:fill="auto"/>
            <w:vAlign w:val="center"/>
          </w:tcPr>
          <w:p w14:paraId="788B8309" w14:textId="77777777" w:rsidR="002F2BF4" w:rsidRPr="002F2BF4" w:rsidRDefault="002F2BF4" w:rsidP="002F2BF4">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1B2EF9C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743093AA"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2m Horizontal</w:t>
            </w:r>
          </w:p>
          <w:p w14:paraId="069DDB32"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70EEB925"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141B23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205D84B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14:paraId="3EB98A4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EFA4378"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11FB3A99" w14:textId="77777777" w:rsidR="002F2BF4" w:rsidRPr="002F2BF4" w:rsidRDefault="002F2BF4" w:rsidP="002F2BF4">
            <w:pPr>
              <w:spacing w:after="0"/>
              <w:jc w:val="center"/>
              <w:rPr>
                <w:rFonts w:ascii="Arial" w:hAnsi="Arial" w:cs="Arial"/>
                <w:sz w:val="12"/>
                <w:szCs w:val="14"/>
              </w:rPr>
            </w:pPr>
            <w:r w:rsidRPr="002F2BF4">
              <w:rPr>
                <w:rFonts w:ascii="Arial" w:hAnsi="Arial" w:cs="Arial"/>
                <w:sz w:val="12"/>
                <w:szCs w:val="14"/>
              </w:rPr>
              <w:t>Normal mode</w:t>
            </w:r>
          </w:p>
        </w:tc>
      </w:tr>
      <w:tr w:rsidR="002F2BF4" w:rsidRPr="002F2BF4" w14:paraId="5570FAB8" w14:textId="77777777" w:rsidTr="00ED5562">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1FA5905D"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2DA0083E"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14:paraId="6F68FECC"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2A03D4DE"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3m Horizontal</w:t>
            </w:r>
          </w:p>
          <w:p w14:paraId="700A0CC1"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3m Vertical</w:t>
            </w:r>
          </w:p>
        </w:tc>
        <w:tc>
          <w:tcPr>
            <w:tcW w:w="709" w:type="dxa"/>
            <w:tcBorders>
              <w:top w:val="nil"/>
              <w:left w:val="nil"/>
              <w:bottom w:val="single" w:sz="4" w:space="0" w:color="auto"/>
              <w:right w:val="single" w:sz="4" w:space="0" w:color="auto"/>
            </w:tcBorders>
            <w:shd w:val="clear" w:color="auto" w:fill="auto"/>
            <w:vAlign w:val="center"/>
          </w:tcPr>
          <w:p w14:paraId="4C984C96"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9BEF5BB"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7DE5B53C"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066C8BD"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322FE3F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7248299A" w14:textId="77777777" w:rsidR="002F2BF4" w:rsidRPr="002F2BF4" w:rsidRDefault="002F2BF4" w:rsidP="002F2BF4">
            <w:pPr>
              <w:spacing w:after="0"/>
              <w:jc w:val="center"/>
              <w:rPr>
                <w:rFonts w:ascii="Arial" w:hAnsi="Arial" w:cs="Arial"/>
                <w:sz w:val="12"/>
                <w:szCs w:val="14"/>
              </w:rPr>
            </w:pPr>
          </w:p>
        </w:tc>
      </w:tr>
      <w:tr w:rsidR="002F2BF4" w:rsidRPr="002F2BF4" w14:paraId="73F3FF87" w14:textId="77777777" w:rsidTr="00ED5562">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A4F55C2"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5.2.5</w:t>
            </w:r>
          </w:p>
        </w:tc>
        <w:tc>
          <w:tcPr>
            <w:tcW w:w="1559" w:type="dxa"/>
            <w:tcBorders>
              <w:top w:val="nil"/>
              <w:left w:val="nil"/>
              <w:bottom w:val="single" w:sz="4" w:space="0" w:color="auto"/>
              <w:right w:val="single" w:sz="8" w:space="0" w:color="auto"/>
            </w:tcBorders>
            <w:shd w:val="clear" w:color="auto" w:fill="auto"/>
            <w:vAlign w:val="center"/>
          </w:tcPr>
          <w:p w14:paraId="0099E96B"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14:paraId="2B9C5D9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28BFAB7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10m Horizontal</w:t>
            </w:r>
          </w:p>
        </w:tc>
        <w:tc>
          <w:tcPr>
            <w:tcW w:w="709" w:type="dxa"/>
            <w:tcBorders>
              <w:top w:val="nil"/>
              <w:left w:val="nil"/>
              <w:bottom w:val="single" w:sz="4" w:space="0" w:color="auto"/>
              <w:right w:val="single" w:sz="4" w:space="0" w:color="auto"/>
            </w:tcBorders>
            <w:shd w:val="clear" w:color="auto" w:fill="auto"/>
            <w:vAlign w:val="center"/>
          </w:tcPr>
          <w:p w14:paraId="5C220DB8"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1753C5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2999051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851" w:type="dxa"/>
            <w:tcBorders>
              <w:top w:val="nil"/>
              <w:left w:val="nil"/>
              <w:bottom w:val="single" w:sz="4" w:space="0" w:color="auto"/>
              <w:right w:val="single" w:sz="4" w:space="0" w:color="auto"/>
            </w:tcBorders>
            <w:shd w:val="clear" w:color="auto" w:fill="auto"/>
            <w:vAlign w:val="center"/>
          </w:tcPr>
          <w:p w14:paraId="6E65064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4AE4069" w14:textId="77777777" w:rsidR="002F2BF4" w:rsidRPr="002F2BF4" w:rsidRDefault="002F2BF4" w:rsidP="002F2BF4">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BE9D097" w14:textId="77777777" w:rsidR="002F2BF4" w:rsidRPr="002F2BF4" w:rsidRDefault="002F2BF4" w:rsidP="002F2BF4">
            <w:pPr>
              <w:spacing w:after="0"/>
              <w:jc w:val="center"/>
              <w:rPr>
                <w:rFonts w:ascii="Arial" w:hAnsi="Arial" w:cs="Arial"/>
                <w:sz w:val="12"/>
                <w:szCs w:val="14"/>
              </w:rPr>
            </w:pPr>
          </w:p>
        </w:tc>
      </w:tr>
      <w:tr w:rsidR="002F2BF4" w:rsidRPr="002F2BF4" w14:paraId="5216FA0A" w14:textId="77777777" w:rsidTr="00ED5562">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29ED39A"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5.3.1</w:t>
            </w:r>
          </w:p>
        </w:tc>
        <w:tc>
          <w:tcPr>
            <w:tcW w:w="1559" w:type="dxa"/>
            <w:tcBorders>
              <w:top w:val="nil"/>
              <w:left w:val="nil"/>
              <w:bottom w:val="single" w:sz="4" w:space="0" w:color="auto"/>
              <w:right w:val="single" w:sz="8" w:space="0" w:color="auto"/>
            </w:tcBorders>
            <w:shd w:val="clear" w:color="auto" w:fill="auto"/>
            <w:vAlign w:val="center"/>
          </w:tcPr>
          <w:p w14:paraId="5228BAFF"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Person and medical equipment location in Hospital</w:t>
            </w:r>
          </w:p>
        </w:tc>
        <w:tc>
          <w:tcPr>
            <w:tcW w:w="1984" w:type="dxa"/>
            <w:tcBorders>
              <w:top w:val="nil"/>
              <w:left w:val="nil"/>
              <w:bottom w:val="single" w:sz="4" w:space="0" w:color="auto"/>
              <w:right w:val="single" w:sz="4" w:space="0" w:color="auto"/>
            </w:tcBorders>
            <w:shd w:val="clear" w:color="auto" w:fill="auto"/>
            <w:vAlign w:val="center"/>
          </w:tcPr>
          <w:p w14:paraId="7F9AB2CE"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6CCA97CC"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3m Horizontal</w:t>
            </w:r>
          </w:p>
          <w:p w14:paraId="332E5CD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2m Vertical</w:t>
            </w:r>
          </w:p>
        </w:tc>
        <w:tc>
          <w:tcPr>
            <w:tcW w:w="709" w:type="dxa"/>
            <w:tcBorders>
              <w:top w:val="nil"/>
              <w:left w:val="nil"/>
              <w:bottom w:val="single" w:sz="4" w:space="0" w:color="auto"/>
              <w:right w:val="single" w:sz="4" w:space="0" w:color="auto"/>
            </w:tcBorders>
            <w:shd w:val="clear" w:color="auto" w:fill="auto"/>
            <w:vAlign w:val="center"/>
          </w:tcPr>
          <w:p w14:paraId="14AC0444"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62C509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0D1D5B73"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A49F809"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2BD400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714DD5FB" w14:textId="77777777" w:rsidR="002F2BF4" w:rsidRPr="002F2BF4" w:rsidRDefault="002F2BF4" w:rsidP="002F2BF4">
            <w:pPr>
              <w:spacing w:after="0"/>
              <w:jc w:val="center"/>
              <w:rPr>
                <w:rFonts w:ascii="Arial" w:hAnsi="Arial" w:cs="Arial"/>
                <w:sz w:val="12"/>
                <w:szCs w:val="14"/>
              </w:rPr>
            </w:pPr>
          </w:p>
        </w:tc>
      </w:tr>
      <w:tr w:rsidR="002F2BF4" w:rsidRPr="002F2BF4" w14:paraId="29B101AE" w14:textId="77777777" w:rsidTr="00ED5562">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56833536"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5.3.2</w:t>
            </w:r>
          </w:p>
        </w:tc>
        <w:tc>
          <w:tcPr>
            <w:tcW w:w="1559" w:type="dxa"/>
            <w:tcBorders>
              <w:top w:val="nil"/>
              <w:left w:val="nil"/>
              <w:bottom w:val="single" w:sz="4" w:space="0" w:color="auto"/>
              <w:right w:val="single" w:sz="8" w:space="0" w:color="auto"/>
            </w:tcBorders>
            <w:shd w:val="clear" w:color="auto" w:fill="auto"/>
            <w:vAlign w:val="center"/>
          </w:tcPr>
          <w:p w14:paraId="029D41D2"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Patient location</w:t>
            </w:r>
            <w:r w:rsidRPr="000E0ECD">
              <w:rPr>
                <w:rFonts w:ascii="Arial" w:hAnsi="Arial" w:cs="Arial"/>
                <w:bCs/>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14:paraId="65F2C9A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 xml:space="preserve">5G positioning service area </w:t>
            </w:r>
            <w:r w:rsidRPr="000E0ECD">
              <w:rPr>
                <w:rFonts w:ascii="Arial" w:hAnsi="Arial" w:cs="Arial"/>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2E2F5754"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10m Horizontal</w:t>
            </w:r>
          </w:p>
          <w:p w14:paraId="6935F07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55568228"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2CC2792"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D171396"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9572B99"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03058B6" w14:textId="77777777" w:rsidR="002F2BF4" w:rsidRPr="002F2BF4" w:rsidRDefault="002F2BF4" w:rsidP="002F2BF4">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9C80693" w14:textId="77777777" w:rsidR="002F2BF4" w:rsidRPr="002F2BF4" w:rsidRDefault="002F2BF4" w:rsidP="002F2BF4">
            <w:pPr>
              <w:spacing w:after="0"/>
              <w:jc w:val="center"/>
              <w:rPr>
                <w:rFonts w:ascii="Arial" w:hAnsi="Arial" w:cs="Arial"/>
                <w:sz w:val="12"/>
                <w:szCs w:val="14"/>
              </w:rPr>
            </w:pPr>
          </w:p>
        </w:tc>
      </w:tr>
      <w:tr w:rsidR="002F2BF4" w:rsidRPr="002F2BF4" w14:paraId="3DDF91A3" w14:textId="77777777" w:rsidTr="00ED5562">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069A469B"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5.3.3</w:t>
            </w:r>
          </w:p>
        </w:tc>
        <w:tc>
          <w:tcPr>
            <w:tcW w:w="1559" w:type="dxa"/>
            <w:tcBorders>
              <w:top w:val="nil"/>
              <w:left w:val="nil"/>
              <w:bottom w:val="single" w:sz="4" w:space="0" w:color="auto"/>
              <w:right w:val="single" w:sz="8" w:space="0" w:color="auto"/>
            </w:tcBorders>
            <w:shd w:val="clear" w:color="auto" w:fill="auto"/>
            <w:vAlign w:val="center"/>
          </w:tcPr>
          <w:p w14:paraId="67936C57"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14:paraId="1DB0431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0E0B6C88"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0.5m Horizontal</w:t>
            </w:r>
          </w:p>
          <w:p w14:paraId="674F4B56"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680A0957"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4154C68"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20213103"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46203E7"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2F3C7728"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20ms</w:t>
            </w:r>
          </w:p>
        </w:tc>
        <w:tc>
          <w:tcPr>
            <w:tcW w:w="869" w:type="dxa"/>
            <w:tcBorders>
              <w:top w:val="nil"/>
              <w:left w:val="nil"/>
              <w:bottom w:val="single" w:sz="4" w:space="0" w:color="auto"/>
              <w:right w:val="single" w:sz="8" w:space="0" w:color="auto"/>
            </w:tcBorders>
            <w:shd w:val="clear" w:color="auto" w:fill="auto"/>
            <w:vAlign w:val="center"/>
          </w:tcPr>
          <w:p w14:paraId="3DB402E3" w14:textId="77777777" w:rsidR="002F2BF4" w:rsidRPr="002F2BF4" w:rsidRDefault="002F2BF4" w:rsidP="002F2BF4">
            <w:pPr>
              <w:spacing w:after="0"/>
              <w:jc w:val="center"/>
              <w:rPr>
                <w:rFonts w:ascii="Arial" w:hAnsi="Arial" w:cs="Arial"/>
                <w:sz w:val="12"/>
                <w:szCs w:val="14"/>
              </w:rPr>
            </w:pPr>
          </w:p>
        </w:tc>
      </w:tr>
      <w:tr w:rsidR="002F2BF4" w:rsidRPr="002F2BF4" w14:paraId="27AE742C" w14:textId="77777777" w:rsidTr="00ED5562">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44E2E585"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5.3.4</w:t>
            </w:r>
          </w:p>
        </w:tc>
        <w:tc>
          <w:tcPr>
            <w:tcW w:w="1559" w:type="dxa"/>
            <w:tcBorders>
              <w:top w:val="nil"/>
              <w:left w:val="nil"/>
              <w:bottom w:val="single" w:sz="4" w:space="0" w:color="auto"/>
              <w:right w:val="single" w:sz="8" w:space="0" w:color="auto"/>
            </w:tcBorders>
            <w:shd w:val="clear" w:color="auto" w:fill="auto"/>
            <w:vAlign w:val="center"/>
          </w:tcPr>
          <w:p w14:paraId="4F8BE7D9"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Waste management</w:t>
            </w:r>
          </w:p>
        </w:tc>
        <w:tc>
          <w:tcPr>
            <w:tcW w:w="1984" w:type="dxa"/>
            <w:tcBorders>
              <w:top w:val="nil"/>
              <w:left w:val="nil"/>
              <w:bottom w:val="single" w:sz="4" w:space="0" w:color="auto"/>
              <w:right w:val="single" w:sz="4" w:space="0" w:color="auto"/>
            </w:tcBorders>
            <w:shd w:val="clear" w:color="auto" w:fill="auto"/>
            <w:vAlign w:val="center"/>
          </w:tcPr>
          <w:p w14:paraId="454A431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4CFC288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3m Horizontal</w:t>
            </w:r>
          </w:p>
        </w:tc>
        <w:tc>
          <w:tcPr>
            <w:tcW w:w="709" w:type="dxa"/>
            <w:tcBorders>
              <w:top w:val="nil"/>
              <w:left w:val="nil"/>
              <w:bottom w:val="single" w:sz="4" w:space="0" w:color="auto"/>
              <w:right w:val="single" w:sz="4" w:space="0" w:color="auto"/>
            </w:tcBorders>
            <w:shd w:val="clear" w:color="auto" w:fill="auto"/>
            <w:vAlign w:val="center"/>
          </w:tcPr>
          <w:p w14:paraId="00ABFA8C"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0B77A1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9D49FA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2h - 1 day</w:t>
            </w:r>
          </w:p>
        </w:tc>
        <w:tc>
          <w:tcPr>
            <w:tcW w:w="851" w:type="dxa"/>
            <w:tcBorders>
              <w:top w:val="nil"/>
              <w:left w:val="nil"/>
              <w:bottom w:val="single" w:sz="4" w:space="0" w:color="auto"/>
              <w:right w:val="single" w:sz="4" w:space="0" w:color="auto"/>
            </w:tcBorders>
            <w:shd w:val="clear" w:color="auto" w:fill="auto"/>
            <w:vAlign w:val="center"/>
          </w:tcPr>
          <w:p w14:paraId="6CFD84EF"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4E1B8B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7279047F"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Very low energy (15 years)</w:t>
            </w:r>
          </w:p>
        </w:tc>
      </w:tr>
      <w:tr w:rsidR="002F2BF4" w:rsidRPr="002F2BF4" w14:paraId="29B5A35B" w14:textId="77777777" w:rsidTr="00ED5562">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AAB9585"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5.4.1</w:t>
            </w:r>
          </w:p>
        </w:tc>
        <w:tc>
          <w:tcPr>
            <w:tcW w:w="1559" w:type="dxa"/>
            <w:tcBorders>
              <w:top w:val="nil"/>
              <w:left w:val="nil"/>
              <w:bottom w:val="single" w:sz="4" w:space="0" w:color="auto"/>
              <w:right w:val="single" w:sz="8" w:space="0" w:color="auto"/>
            </w:tcBorders>
            <w:shd w:val="clear" w:color="auto" w:fill="auto"/>
            <w:vAlign w:val="center"/>
          </w:tcPr>
          <w:p w14:paraId="539411D7"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14:paraId="727D4EFA"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 xml:space="preserve">5G positioning service area </w:t>
            </w:r>
            <w:r w:rsidRPr="000E0ECD">
              <w:rPr>
                <w:rFonts w:ascii="Arial" w:hAnsi="Arial" w:cs="Arial"/>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4C4BBFE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50m Horizontal</w:t>
            </w:r>
            <w:r w:rsidRPr="000E0ECD">
              <w:rPr>
                <w:rFonts w:ascii="Arial" w:hAnsi="Arial" w:cs="Arial"/>
                <w:sz w:val="14"/>
                <w:szCs w:val="14"/>
              </w:rPr>
              <w:br/>
              <w:t>3m Vertical</w:t>
            </w:r>
          </w:p>
        </w:tc>
        <w:tc>
          <w:tcPr>
            <w:tcW w:w="709" w:type="dxa"/>
            <w:tcBorders>
              <w:top w:val="nil"/>
              <w:left w:val="nil"/>
              <w:bottom w:val="single" w:sz="4" w:space="0" w:color="auto"/>
              <w:right w:val="single" w:sz="4" w:space="0" w:color="auto"/>
            </w:tcBorders>
            <w:shd w:val="clear" w:color="auto" w:fill="auto"/>
            <w:vAlign w:val="center"/>
          </w:tcPr>
          <w:p w14:paraId="110E277D"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70D91B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0E9C193D"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580E10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30s</w:t>
            </w:r>
          </w:p>
        </w:tc>
        <w:tc>
          <w:tcPr>
            <w:tcW w:w="709" w:type="dxa"/>
            <w:tcBorders>
              <w:top w:val="nil"/>
              <w:left w:val="nil"/>
              <w:bottom w:val="single" w:sz="4" w:space="0" w:color="auto"/>
              <w:right w:val="single" w:sz="4" w:space="0" w:color="auto"/>
            </w:tcBorders>
            <w:shd w:val="clear" w:color="auto" w:fill="auto"/>
            <w:vAlign w:val="center"/>
          </w:tcPr>
          <w:p w14:paraId="0C456EF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5EBD92CD"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Reliability/</w:t>
            </w:r>
            <w:r w:rsidRPr="000E0ECD">
              <w:rPr>
                <w:rFonts w:ascii="Arial" w:hAnsi="Arial" w:cs="Arial"/>
                <w:sz w:val="12"/>
                <w:szCs w:val="14"/>
              </w:rPr>
              <w:br/>
              <w:t>Confidence</w:t>
            </w:r>
          </w:p>
        </w:tc>
      </w:tr>
      <w:tr w:rsidR="002F2BF4" w:rsidRPr="002F2BF4" w14:paraId="459BC50C" w14:textId="77777777" w:rsidTr="00ED5562">
        <w:trPr>
          <w:trHeight w:val="397"/>
        </w:trPr>
        <w:tc>
          <w:tcPr>
            <w:tcW w:w="483" w:type="dxa"/>
            <w:vMerge w:val="restart"/>
            <w:tcBorders>
              <w:top w:val="nil"/>
              <w:left w:val="single" w:sz="8" w:space="0" w:color="auto"/>
              <w:right w:val="single" w:sz="4" w:space="0" w:color="auto"/>
            </w:tcBorders>
            <w:shd w:val="clear" w:color="auto" w:fill="auto"/>
            <w:vAlign w:val="center"/>
          </w:tcPr>
          <w:p w14:paraId="3848AE94" w14:textId="77777777" w:rsidR="002F2BF4" w:rsidRPr="002F2BF4" w:rsidRDefault="002F2BF4" w:rsidP="002F2BF4">
            <w:pPr>
              <w:spacing w:after="0"/>
              <w:jc w:val="center"/>
              <w:rPr>
                <w:rFonts w:ascii="Arial" w:hAnsi="Arial"/>
                <w:color w:val="000000"/>
                <w:sz w:val="14"/>
              </w:rPr>
            </w:pPr>
            <w:r w:rsidRPr="000E0ECD">
              <w:rPr>
                <w:rFonts w:ascii="Arial" w:hAnsi="Arial"/>
                <w:sz w:val="14"/>
              </w:rPr>
              <w:t>5.4.2</w:t>
            </w:r>
          </w:p>
        </w:tc>
        <w:tc>
          <w:tcPr>
            <w:tcW w:w="1559" w:type="dxa"/>
            <w:vMerge w:val="restart"/>
            <w:tcBorders>
              <w:top w:val="nil"/>
              <w:left w:val="nil"/>
              <w:right w:val="single" w:sz="8" w:space="0" w:color="auto"/>
            </w:tcBorders>
            <w:shd w:val="clear" w:color="auto" w:fill="auto"/>
            <w:vAlign w:val="center"/>
          </w:tcPr>
          <w:p w14:paraId="575E3968" w14:textId="77777777" w:rsidR="002F2BF4" w:rsidRPr="002F2BF4" w:rsidRDefault="002F2BF4" w:rsidP="002F2BF4">
            <w:pPr>
              <w:spacing w:after="0"/>
              <w:jc w:val="center"/>
              <w:rPr>
                <w:rFonts w:ascii="Arial" w:hAnsi="Arial"/>
                <w:color w:val="000000"/>
                <w:sz w:val="14"/>
              </w:rPr>
            </w:pPr>
            <w:r w:rsidRPr="000E0ECD">
              <w:rPr>
                <w:rFonts w:ascii="Arial" w:hAnsi="Arial"/>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54CD3C39" w14:textId="77777777" w:rsidR="002F2BF4" w:rsidRPr="002F2BF4" w:rsidRDefault="002F2BF4" w:rsidP="002F2BF4">
            <w:pPr>
              <w:spacing w:after="0"/>
              <w:jc w:val="center"/>
              <w:rPr>
                <w:rFonts w:ascii="Arial" w:hAnsi="Arial"/>
                <w:color w:val="000000"/>
                <w:sz w:val="14"/>
              </w:rPr>
            </w:pPr>
            <w:r w:rsidRPr="000E0ECD">
              <w:rPr>
                <w:rFonts w:ascii="Arial" w:hAnsi="Arial"/>
                <w:sz w:val="14"/>
              </w:rPr>
              <w:t>Outdoor</w:t>
            </w:r>
          </w:p>
        </w:tc>
        <w:tc>
          <w:tcPr>
            <w:tcW w:w="1418" w:type="dxa"/>
            <w:tcBorders>
              <w:top w:val="nil"/>
              <w:left w:val="nil"/>
              <w:bottom w:val="single" w:sz="4" w:space="0" w:color="auto"/>
              <w:right w:val="single" w:sz="4" w:space="0" w:color="auto"/>
            </w:tcBorders>
            <w:shd w:val="clear" w:color="auto" w:fill="auto"/>
            <w:vAlign w:val="center"/>
          </w:tcPr>
          <w:p w14:paraId="608C30B2"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 xml:space="preserve">1m Horizontal, </w:t>
            </w:r>
          </w:p>
          <w:p w14:paraId="7D34FC45"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0.3 m Vertical</w:t>
            </w:r>
          </w:p>
        </w:tc>
        <w:tc>
          <w:tcPr>
            <w:tcW w:w="709" w:type="dxa"/>
            <w:tcBorders>
              <w:top w:val="nil"/>
              <w:left w:val="nil"/>
              <w:bottom w:val="single" w:sz="4" w:space="0" w:color="auto"/>
              <w:right w:val="single" w:sz="4" w:space="0" w:color="auto"/>
            </w:tcBorders>
            <w:shd w:val="clear" w:color="auto" w:fill="auto"/>
            <w:vAlign w:val="center"/>
          </w:tcPr>
          <w:p w14:paraId="74BEDA93" w14:textId="77777777" w:rsidR="002F2BF4" w:rsidRPr="002F2BF4" w:rsidRDefault="002F2BF4" w:rsidP="002F2BF4">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8D42ED0"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98 %</w:t>
            </w:r>
          </w:p>
        </w:tc>
        <w:tc>
          <w:tcPr>
            <w:tcW w:w="708" w:type="dxa"/>
            <w:tcBorders>
              <w:top w:val="nil"/>
              <w:left w:val="nil"/>
              <w:bottom w:val="single" w:sz="4" w:space="0" w:color="auto"/>
              <w:right w:val="single" w:sz="4" w:space="0" w:color="auto"/>
            </w:tcBorders>
            <w:shd w:val="clear" w:color="auto" w:fill="auto"/>
            <w:vAlign w:val="center"/>
          </w:tcPr>
          <w:p w14:paraId="5F14D3AD" w14:textId="77777777" w:rsidR="002F2BF4" w:rsidRPr="002F2BF4" w:rsidRDefault="002F2BF4" w:rsidP="002F2BF4">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D098630"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16DC052"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5s</w:t>
            </w:r>
          </w:p>
        </w:tc>
        <w:tc>
          <w:tcPr>
            <w:tcW w:w="869" w:type="dxa"/>
            <w:vMerge w:val="restart"/>
            <w:tcBorders>
              <w:top w:val="nil"/>
              <w:left w:val="nil"/>
              <w:right w:val="single" w:sz="8" w:space="0" w:color="auto"/>
            </w:tcBorders>
            <w:shd w:val="clear" w:color="auto" w:fill="auto"/>
            <w:vAlign w:val="center"/>
          </w:tcPr>
          <w:p w14:paraId="5A77DE4F"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MCX Confidence</w:t>
            </w:r>
          </w:p>
          <w:p w14:paraId="43985258"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Event-triggered report</w:t>
            </w:r>
          </w:p>
        </w:tc>
      </w:tr>
      <w:tr w:rsidR="002F2BF4" w:rsidRPr="002F2BF4" w14:paraId="2CC129C3" w14:textId="77777777" w:rsidTr="00ED5562">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03E3375A" w14:textId="77777777" w:rsidR="002F2BF4" w:rsidRPr="002F2BF4" w:rsidRDefault="002F2BF4" w:rsidP="002F2BF4">
            <w:pPr>
              <w:spacing w:after="0"/>
              <w:jc w:val="center"/>
              <w:rPr>
                <w:rFonts w:ascii="Arial" w:hAnsi="Arial"/>
                <w:color w:val="000000"/>
                <w:sz w:val="14"/>
              </w:rPr>
            </w:pPr>
          </w:p>
        </w:tc>
        <w:tc>
          <w:tcPr>
            <w:tcW w:w="1559" w:type="dxa"/>
            <w:vMerge/>
            <w:tcBorders>
              <w:left w:val="nil"/>
              <w:bottom w:val="single" w:sz="4" w:space="0" w:color="auto"/>
              <w:right w:val="single" w:sz="8" w:space="0" w:color="auto"/>
            </w:tcBorders>
            <w:shd w:val="clear" w:color="auto" w:fill="auto"/>
            <w:vAlign w:val="center"/>
          </w:tcPr>
          <w:p w14:paraId="3ECF30F1" w14:textId="77777777" w:rsidR="002F2BF4" w:rsidRPr="002F2BF4" w:rsidRDefault="002F2BF4" w:rsidP="002F2BF4">
            <w:pPr>
              <w:spacing w:after="0"/>
              <w:jc w:val="center"/>
              <w:rPr>
                <w:rFonts w:ascii="Arial" w:hAnsi="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14:paraId="2D955EB3" w14:textId="77777777" w:rsidR="002F2BF4" w:rsidRPr="002F2BF4" w:rsidRDefault="002F2BF4" w:rsidP="002F2BF4">
            <w:pPr>
              <w:spacing w:after="0"/>
              <w:jc w:val="center"/>
              <w:rPr>
                <w:rFonts w:ascii="Arial" w:hAnsi="Arial"/>
                <w:color w:val="000000"/>
                <w:sz w:val="14"/>
              </w:rPr>
            </w:pPr>
            <w:r w:rsidRPr="000E0ECD">
              <w:rPr>
                <w:rFonts w:ascii="Arial" w:hAnsi="Arial"/>
                <w:sz w:val="14"/>
              </w:rPr>
              <w:t>Indoor</w:t>
            </w:r>
          </w:p>
        </w:tc>
        <w:tc>
          <w:tcPr>
            <w:tcW w:w="1418" w:type="dxa"/>
            <w:tcBorders>
              <w:top w:val="nil"/>
              <w:left w:val="nil"/>
              <w:bottom w:val="single" w:sz="4" w:space="0" w:color="auto"/>
              <w:right w:val="single" w:sz="4" w:space="0" w:color="auto"/>
            </w:tcBorders>
            <w:shd w:val="clear" w:color="auto" w:fill="auto"/>
            <w:vAlign w:val="center"/>
          </w:tcPr>
          <w:p w14:paraId="565EC800"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 xml:space="preserve">1m Horizontal, </w:t>
            </w:r>
          </w:p>
          <w:p w14:paraId="0D2B9313"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2 m Vertical</w:t>
            </w:r>
          </w:p>
        </w:tc>
        <w:tc>
          <w:tcPr>
            <w:tcW w:w="709" w:type="dxa"/>
            <w:tcBorders>
              <w:top w:val="nil"/>
              <w:left w:val="nil"/>
              <w:bottom w:val="single" w:sz="4" w:space="0" w:color="auto"/>
              <w:right w:val="single" w:sz="4" w:space="0" w:color="auto"/>
            </w:tcBorders>
            <w:shd w:val="clear" w:color="auto" w:fill="auto"/>
            <w:vAlign w:val="center"/>
          </w:tcPr>
          <w:p w14:paraId="5BB60908" w14:textId="77777777" w:rsidR="002F2BF4" w:rsidRPr="002F2BF4" w:rsidRDefault="002F2BF4" w:rsidP="002F2BF4">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1855C88"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243BCB70" w14:textId="77777777" w:rsidR="002F2BF4" w:rsidRPr="002F2BF4" w:rsidRDefault="002F2BF4" w:rsidP="002F2BF4">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24F84F3F"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504E945"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1s</w:t>
            </w:r>
          </w:p>
        </w:tc>
        <w:tc>
          <w:tcPr>
            <w:tcW w:w="869" w:type="dxa"/>
            <w:vMerge/>
            <w:tcBorders>
              <w:left w:val="nil"/>
              <w:bottom w:val="single" w:sz="4" w:space="0" w:color="auto"/>
              <w:right w:val="single" w:sz="8" w:space="0" w:color="auto"/>
            </w:tcBorders>
            <w:shd w:val="clear" w:color="auto" w:fill="auto"/>
            <w:vAlign w:val="center"/>
          </w:tcPr>
          <w:p w14:paraId="0875DD8D" w14:textId="77777777" w:rsidR="002F2BF4" w:rsidRPr="002F2BF4" w:rsidRDefault="002F2BF4" w:rsidP="002F2BF4">
            <w:pPr>
              <w:spacing w:after="0"/>
              <w:jc w:val="center"/>
              <w:rPr>
                <w:rFonts w:ascii="Arial" w:hAnsi="Arial" w:cs="Arial"/>
                <w:color w:val="000000"/>
                <w:sz w:val="14"/>
                <w:szCs w:val="14"/>
              </w:rPr>
            </w:pPr>
          </w:p>
        </w:tc>
      </w:tr>
      <w:tr w:rsidR="002F2BF4" w:rsidRPr="002F2BF4" w14:paraId="7F7295F1" w14:textId="77777777" w:rsidTr="00ED5562">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96BF8E2" w14:textId="77777777" w:rsidR="002F2BF4" w:rsidRPr="002F2BF4" w:rsidRDefault="002F2BF4" w:rsidP="002F2BF4">
            <w:pPr>
              <w:spacing w:after="0"/>
              <w:jc w:val="center"/>
              <w:rPr>
                <w:rFonts w:ascii="Arial" w:hAnsi="Arial" w:cs="Arial"/>
                <w:bCs/>
                <w:color w:val="000000"/>
                <w:sz w:val="14"/>
                <w:szCs w:val="14"/>
              </w:rPr>
            </w:pPr>
            <w:r w:rsidRPr="000E0ECD">
              <w:rPr>
                <w:rFonts w:ascii="Arial" w:hAnsi="Arial"/>
                <w:sz w:val="14"/>
              </w:rPr>
              <w:t>5.4.3</w:t>
            </w:r>
          </w:p>
        </w:tc>
        <w:tc>
          <w:tcPr>
            <w:tcW w:w="1559" w:type="dxa"/>
            <w:tcBorders>
              <w:top w:val="nil"/>
              <w:left w:val="nil"/>
              <w:bottom w:val="single" w:sz="4" w:space="0" w:color="auto"/>
              <w:right w:val="single" w:sz="8" w:space="0" w:color="auto"/>
            </w:tcBorders>
            <w:shd w:val="clear" w:color="auto" w:fill="auto"/>
            <w:vAlign w:val="center"/>
          </w:tcPr>
          <w:p w14:paraId="0E379DD1" w14:textId="77777777" w:rsidR="002F2BF4" w:rsidRPr="002F2BF4" w:rsidRDefault="002F2BF4" w:rsidP="002F2BF4">
            <w:pPr>
              <w:spacing w:after="0"/>
              <w:jc w:val="center"/>
              <w:rPr>
                <w:rFonts w:ascii="Arial" w:hAnsi="Arial" w:cs="Arial"/>
                <w:bCs/>
                <w:color w:val="000000"/>
                <w:sz w:val="14"/>
                <w:szCs w:val="14"/>
              </w:rPr>
            </w:pPr>
            <w:r w:rsidRPr="000E0ECD">
              <w:rPr>
                <w:rFonts w:ascii="Arial" w:hAnsi="Arial"/>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06AE18BF"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sz w:val="14"/>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5FF8053E"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50m Horizontal</w:t>
            </w:r>
          </w:p>
          <w:p w14:paraId="48EDFBA8"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6CDC3797" w14:textId="77777777" w:rsidR="002F2BF4" w:rsidRPr="002F2BF4" w:rsidRDefault="002F2BF4" w:rsidP="002F2BF4">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74D9AB5"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99%</w:t>
            </w:r>
          </w:p>
        </w:tc>
        <w:tc>
          <w:tcPr>
            <w:tcW w:w="708" w:type="dxa"/>
            <w:tcBorders>
              <w:top w:val="nil"/>
              <w:left w:val="nil"/>
              <w:bottom w:val="single" w:sz="4" w:space="0" w:color="auto"/>
              <w:right w:val="single" w:sz="4" w:space="0" w:color="auto"/>
            </w:tcBorders>
            <w:shd w:val="clear" w:color="auto" w:fill="auto"/>
            <w:vAlign w:val="center"/>
          </w:tcPr>
          <w:p w14:paraId="5734FF86" w14:textId="77777777" w:rsidR="002F2BF4" w:rsidRPr="002F2BF4" w:rsidRDefault="002F2BF4" w:rsidP="002F2BF4">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273B957E"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3E2C623" w14:textId="77777777" w:rsidR="002F2BF4" w:rsidRPr="002F2BF4" w:rsidRDefault="002F2BF4" w:rsidP="002F2BF4">
            <w:pPr>
              <w:spacing w:after="0"/>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DD7EB82"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Privacy, scalability, cross operator</w:t>
            </w:r>
          </w:p>
        </w:tc>
      </w:tr>
      <w:tr w:rsidR="002F2BF4" w:rsidRPr="002F2BF4" w14:paraId="450E486A" w14:textId="77777777" w:rsidTr="00ED5562">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9EF35D6" w14:textId="77777777" w:rsidR="002F2BF4" w:rsidRPr="002F2BF4" w:rsidRDefault="002F2BF4" w:rsidP="002F2BF4">
            <w:pPr>
              <w:spacing w:after="0"/>
              <w:jc w:val="center"/>
              <w:rPr>
                <w:rFonts w:ascii="Arial" w:hAnsi="Arial" w:cs="Arial"/>
                <w:bCs/>
                <w:color w:val="000000"/>
                <w:sz w:val="14"/>
                <w:szCs w:val="14"/>
              </w:rPr>
            </w:pPr>
            <w:r w:rsidRPr="000E0ECD">
              <w:rPr>
                <w:rFonts w:ascii="Arial" w:hAnsi="Arial"/>
                <w:sz w:val="14"/>
              </w:rPr>
              <w:t>5.4.4</w:t>
            </w:r>
          </w:p>
        </w:tc>
        <w:tc>
          <w:tcPr>
            <w:tcW w:w="1559" w:type="dxa"/>
            <w:tcBorders>
              <w:top w:val="nil"/>
              <w:left w:val="nil"/>
              <w:bottom w:val="single" w:sz="4" w:space="0" w:color="auto"/>
              <w:right w:val="single" w:sz="8" w:space="0" w:color="auto"/>
            </w:tcBorders>
            <w:shd w:val="clear" w:color="auto" w:fill="auto"/>
            <w:vAlign w:val="center"/>
          </w:tcPr>
          <w:p w14:paraId="18F1332D" w14:textId="77777777" w:rsidR="002F2BF4" w:rsidRPr="002F2BF4" w:rsidRDefault="002F2BF4" w:rsidP="002F2BF4">
            <w:pPr>
              <w:spacing w:after="0"/>
              <w:jc w:val="center"/>
              <w:rPr>
                <w:rFonts w:ascii="Arial" w:hAnsi="Arial" w:cs="Arial"/>
                <w:bCs/>
                <w:color w:val="000000"/>
                <w:sz w:val="14"/>
                <w:szCs w:val="14"/>
              </w:rPr>
            </w:pPr>
            <w:r w:rsidRPr="000E0ECD">
              <w:rPr>
                <w:rFonts w:ascii="Arial" w:hAnsi="Arial"/>
                <w:sz w:val="14"/>
              </w:rPr>
              <w:t>Emergency equipment loc. outside hospitals</w:t>
            </w:r>
          </w:p>
        </w:tc>
        <w:tc>
          <w:tcPr>
            <w:tcW w:w="1984" w:type="dxa"/>
            <w:tcBorders>
              <w:top w:val="nil"/>
              <w:left w:val="nil"/>
              <w:bottom w:val="single" w:sz="4" w:space="0" w:color="auto"/>
              <w:right w:val="single" w:sz="4" w:space="0" w:color="auto"/>
            </w:tcBorders>
            <w:shd w:val="clear" w:color="auto" w:fill="auto"/>
            <w:vAlign w:val="center"/>
          </w:tcPr>
          <w:p w14:paraId="7845166B"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sz w:val="14"/>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0D79F53E" w14:textId="77777777" w:rsidR="002F2BF4" w:rsidRPr="000E0ECD" w:rsidRDefault="002F2BF4" w:rsidP="002F2BF4">
            <w:pPr>
              <w:spacing w:after="0"/>
              <w:jc w:val="center"/>
              <w:rPr>
                <w:rFonts w:ascii="Arial" w:hAnsi="Arial" w:cs="Arial"/>
                <w:sz w:val="14"/>
                <w:szCs w:val="14"/>
              </w:rPr>
            </w:pPr>
            <w:r w:rsidRPr="000E0ECD">
              <w:rPr>
                <w:rFonts w:ascii="Arial" w:hAnsi="Arial" w:cs="Arial"/>
                <w:sz w:val="14"/>
                <w:szCs w:val="14"/>
              </w:rPr>
              <w:t>10m Horizontal</w:t>
            </w:r>
          </w:p>
          <w:p w14:paraId="1AC2146E"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22968FB0" w14:textId="77777777" w:rsidR="002F2BF4" w:rsidRPr="002F2BF4" w:rsidRDefault="002F2BF4" w:rsidP="002F2BF4">
            <w:pPr>
              <w:spacing w:after="0"/>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513109B"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95%</w:t>
            </w:r>
          </w:p>
        </w:tc>
        <w:tc>
          <w:tcPr>
            <w:tcW w:w="708" w:type="dxa"/>
            <w:tcBorders>
              <w:top w:val="nil"/>
              <w:left w:val="nil"/>
              <w:bottom w:val="single" w:sz="4" w:space="0" w:color="auto"/>
              <w:right w:val="single" w:sz="4" w:space="0" w:color="auto"/>
            </w:tcBorders>
            <w:shd w:val="clear" w:color="auto" w:fill="auto"/>
            <w:vAlign w:val="center"/>
          </w:tcPr>
          <w:p w14:paraId="4770D097" w14:textId="77777777" w:rsidR="002F2BF4" w:rsidRPr="002F2BF4" w:rsidRDefault="002F2BF4" w:rsidP="002F2BF4">
            <w:pPr>
              <w:spacing w:after="0"/>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DFF193B"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4E77C73F" w14:textId="77777777" w:rsidR="002F2BF4" w:rsidRPr="002F2BF4" w:rsidRDefault="002F2BF4" w:rsidP="002F2BF4">
            <w:pPr>
              <w:spacing w:after="0"/>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64239B6B" w14:textId="77777777" w:rsidR="002F2BF4" w:rsidRPr="002F2BF4" w:rsidRDefault="002F2BF4" w:rsidP="002F2BF4">
            <w:pPr>
              <w:spacing w:after="0"/>
              <w:jc w:val="center"/>
              <w:rPr>
                <w:rFonts w:ascii="Arial" w:hAnsi="Arial" w:cs="Arial"/>
                <w:color w:val="000000"/>
                <w:sz w:val="14"/>
                <w:szCs w:val="14"/>
              </w:rPr>
            </w:pPr>
            <w:r w:rsidRPr="000E0ECD">
              <w:rPr>
                <w:rFonts w:ascii="Arial" w:hAnsi="Arial" w:cs="Arial"/>
                <w:sz w:val="14"/>
                <w:szCs w:val="14"/>
              </w:rPr>
              <w:t>Extended sleep periods</w:t>
            </w:r>
          </w:p>
        </w:tc>
      </w:tr>
      <w:tr w:rsidR="002F2BF4" w:rsidRPr="002F2BF4" w14:paraId="273A33BC" w14:textId="77777777" w:rsidTr="00ED5562">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4FFCDD9A"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5.5.1</w:t>
            </w:r>
          </w:p>
        </w:tc>
        <w:tc>
          <w:tcPr>
            <w:tcW w:w="1559" w:type="dxa"/>
            <w:tcBorders>
              <w:top w:val="nil"/>
              <w:left w:val="nil"/>
              <w:bottom w:val="single" w:sz="4" w:space="0" w:color="auto"/>
              <w:right w:val="single" w:sz="8" w:space="0" w:color="auto"/>
            </w:tcBorders>
            <w:shd w:val="clear" w:color="auto" w:fill="auto"/>
            <w:vAlign w:val="center"/>
          </w:tcPr>
          <w:p w14:paraId="32CE47A5"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2E9F5198"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310A071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1-3m Horizontal</w:t>
            </w:r>
            <w:r w:rsidRPr="000E0ECD">
              <w:rPr>
                <w:rFonts w:ascii="Arial" w:hAnsi="Arial" w:cs="Arial"/>
                <w:sz w:val="14"/>
                <w:szCs w:val="14"/>
              </w:rPr>
              <w:br/>
              <w:t>2.5m Vertical</w:t>
            </w:r>
          </w:p>
        </w:tc>
        <w:tc>
          <w:tcPr>
            <w:tcW w:w="709" w:type="dxa"/>
            <w:tcBorders>
              <w:top w:val="nil"/>
              <w:left w:val="nil"/>
              <w:bottom w:val="single" w:sz="4" w:space="0" w:color="auto"/>
              <w:right w:val="single" w:sz="4" w:space="0" w:color="auto"/>
            </w:tcBorders>
            <w:shd w:val="clear" w:color="auto" w:fill="auto"/>
            <w:vAlign w:val="center"/>
          </w:tcPr>
          <w:p w14:paraId="68BED325"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BB731D1"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3DFF1709"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 Hz</w:t>
            </w:r>
          </w:p>
        </w:tc>
        <w:tc>
          <w:tcPr>
            <w:tcW w:w="851" w:type="dxa"/>
            <w:tcBorders>
              <w:top w:val="nil"/>
              <w:left w:val="nil"/>
              <w:bottom w:val="single" w:sz="4" w:space="0" w:color="auto"/>
              <w:right w:val="single" w:sz="4" w:space="0" w:color="auto"/>
            </w:tcBorders>
            <w:shd w:val="clear" w:color="auto" w:fill="auto"/>
            <w:vAlign w:val="center"/>
          </w:tcPr>
          <w:p w14:paraId="7E2394B3"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60C8E7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30ms</w:t>
            </w:r>
          </w:p>
        </w:tc>
        <w:tc>
          <w:tcPr>
            <w:tcW w:w="869" w:type="dxa"/>
            <w:tcBorders>
              <w:top w:val="nil"/>
              <w:left w:val="nil"/>
              <w:bottom w:val="single" w:sz="4" w:space="0" w:color="auto"/>
              <w:right w:val="single" w:sz="8" w:space="0" w:color="auto"/>
            </w:tcBorders>
            <w:shd w:val="clear" w:color="auto" w:fill="auto"/>
            <w:vAlign w:val="center"/>
          </w:tcPr>
          <w:p w14:paraId="1AC23364"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Antispoofing</w:t>
            </w:r>
            <w:r w:rsidRPr="000E0ECD">
              <w:rPr>
                <w:rFonts w:ascii="Arial" w:hAnsi="Arial" w:cs="Arial"/>
                <w:sz w:val="12"/>
                <w:szCs w:val="14"/>
              </w:rPr>
              <w:br/>
              <w:t>Antitampering</w:t>
            </w:r>
          </w:p>
        </w:tc>
      </w:tr>
      <w:tr w:rsidR="002F2BF4" w:rsidRPr="002F2BF4" w14:paraId="2948E31E" w14:textId="77777777" w:rsidTr="00ED5562">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7EDF73CE"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5.5.2</w:t>
            </w:r>
          </w:p>
        </w:tc>
        <w:tc>
          <w:tcPr>
            <w:tcW w:w="1559" w:type="dxa"/>
            <w:tcBorders>
              <w:top w:val="nil"/>
              <w:left w:val="nil"/>
              <w:bottom w:val="single" w:sz="4" w:space="0" w:color="auto"/>
              <w:right w:val="single" w:sz="8" w:space="0" w:color="auto"/>
            </w:tcBorders>
            <w:shd w:val="clear" w:color="auto" w:fill="auto"/>
            <w:vAlign w:val="center"/>
          </w:tcPr>
          <w:p w14:paraId="5D6AB519" w14:textId="77777777" w:rsidR="002F2BF4" w:rsidRPr="002F2BF4" w:rsidRDefault="002F2BF4" w:rsidP="002F2BF4">
            <w:pPr>
              <w:spacing w:after="0"/>
              <w:jc w:val="center"/>
              <w:rPr>
                <w:rFonts w:ascii="Arial" w:hAnsi="Arial" w:cs="Arial"/>
                <w:sz w:val="14"/>
                <w:szCs w:val="14"/>
              </w:rPr>
            </w:pPr>
            <w:r w:rsidRPr="000E0ECD">
              <w:rPr>
                <w:rFonts w:ascii="Arial" w:hAnsi="Arial" w:cs="Arial"/>
                <w:bCs/>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14:paraId="61B2654F"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r w:rsidRPr="000E0ECD">
              <w:rPr>
                <w:rFonts w:ascii="Arial" w:hAnsi="Arial" w:cs="Arial"/>
                <w:sz w:val="14"/>
                <w:szCs w:val="14"/>
              </w:rPr>
              <w:br/>
              <w:t>Enhanced positioning-Tunnels</w:t>
            </w:r>
          </w:p>
        </w:tc>
        <w:tc>
          <w:tcPr>
            <w:tcW w:w="1418" w:type="dxa"/>
            <w:tcBorders>
              <w:top w:val="nil"/>
              <w:left w:val="nil"/>
              <w:bottom w:val="single" w:sz="4" w:space="0" w:color="auto"/>
              <w:right w:val="single" w:sz="4" w:space="0" w:color="auto"/>
            </w:tcBorders>
            <w:shd w:val="clear" w:color="auto" w:fill="auto"/>
            <w:vAlign w:val="center"/>
          </w:tcPr>
          <w:p w14:paraId="13E570C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&lt;1m (across track)</w:t>
            </w:r>
            <w:r w:rsidRPr="000E0ECD">
              <w:rPr>
                <w:rFonts w:ascii="Arial" w:hAnsi="Arial" w:cs="Arial"/>
                <w:sz w:val="14"/>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14:paraId="6423428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 m/s</w:t>
            </w:r>
          </w:p>
        </w:tc>
        <w:tc>
          <w:tcPr>
            <w:tcW w:w="567" w:type="dxa"/>
            <w:tcBorders>
              <w:top w:val="nil"/>
              <w:left w:val="nil"/>
              <w:bottom w:val="single" w:sz="4" w:space="0" w:color="auto"/>
              <w:right w:val="single" w:sz="4" w:space="0" w:color="auto"/>
            </w:tcBorders>
            <w:shd w:val="clear" w:color="auto" w:fill="auto"/>
            <w:vAlign w:val="center"/>
          </w:tcPr>
          <w:p w14:paraId="37BCFC08"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81D8C7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 Hz</w:t>
            </w:r>
          </w:p>
        </w:tc>
        <w:tc>
          <w:tcPr>
            <w:tcW w:w="851" w:type="dxa"/>
            <w:tcBorders>
              <w:top w:val="nil"/>
              <w:left w:val="nil"/>
              <w:bottom w:val="single" w:sz="4" w:space="0" w:color="auto"/>
              <w:right w:val="single" w:sz="4" w:space="0" w:color="auto"/>
            </w:tcBorders>
            <w:shd w:val="clear" w:color="auto" w:fill="auto"/>
            <w:vAlign w:val="center"/>
          </w:tcPr>
          <w:p w14:paraId="50A23E4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B3BA7C4" w14:textId="77777777" w:rsidR="002F2BF4" w:rsidRPr="002F2BF4" w:rsidRDefault="002F2BF4" w:rsidP="002F2BF4">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3AA00E14"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Antispoofing</w:t>
            </w:r>
            <w:r w:rsidRPr="000E0ECD">
              <w:rPr>
                <w:rFonts w:ascii="Arial" w:hAnsi="Arial" w:cs="Arial"/>
                <w:sz w:val="12"/>
                <w:szCs w:val="14"/>
              </w:rPr>
              <w:br/>
              <w:t>Antitampering</w:t>
            </w:r>
          </w:p>
        </w:tc>
      </w:tr>
      <w:tr w:rsidR="002F2BF4" w:rsidRPr="002F2BF4" w14:paraId="1D9211AF" w14:textId="77777777" w:rsidTr="00ED5562">
        <w:trPr>
          <w:trHeight w:val="454"/>
        </w:trPr>
        <w:tc>
          <w:tcPr>
            <w:tcW w:w="483" w:type="dxa"/>
            <w:vMerge w:val="restart"/>
            <w:shd w:val="clear" w:color="auto" w:fill="auto"/>
            <w:vAlign w:val="center"/>
          </w:tcPr>
          <w:p w14:paraId="6C3DC52C"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5.6.1</w:t>
            </w:r>
          </w:p>
        </w:tc>
        <w:tc>
          <w:tcPr>
            <w:tcW w:w="1559" w:type="dxa"/>
            <w:vMerge w:val="restart"/>
            <w:shd w:val="clear" w:color="auto" w:fill="auto"/>
            <w:vAlign w:val="center"/>
          </w:tcPr>
          <w:p w14:paraId="18C20992"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66F5DEC2"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016FA59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10-30m Horizontal</w:t>
            </w:r>
          </w:p>
        </w:tc>
        <w:tc>
          <w:tcPr>
            <w:tcW w:w="709" w:type="dxa"/>
            <w:tcBorders>
              <w:top w:val="nil"/>
              <w:left w:val="nil"/>
              <w:bottom w:val="single" w:sz="4" w:space="0" w:color="auto"/>
              <w:right w:val="single" w:sz="4" w:space="0" w:color="auto"/>
            </w:tcBorders>
            <w:shd w:val="clear" w:color="auto" w:fill="auto"/>
            <w:vAlign w:val="center"/>
          </w:tcPr>
          <w:p w14:paraId="332FBDDD"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 m/s</w:t>
            </w:r>
          </w:p>
        </w:tc>
        <w:tc>
          <w:tcPr>
            <w:tcW w:w="567" w:type="dxa"/>
            <w:tcBorders>
              <w:top w:val="nil"/>
              <w:left w:val="nil"/>
              <w:bottom w:val="single" w:sz="4" w:space="0" w:color="auto"/>
              <w:right w:val="single" w:sz="4" w:space="0" w:color="auto"/>
            </w:tcBorders>
            <w:shd w:val="clear" w:color="auto" w:fill="auto"/>
            <w:vAlign w:val="center"/>
          </w:tcPr>
          <w:p w14:paraId="4993895F"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3C09EECC"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300s-1day</w:t>
            </w:r>
          </w:p>
        </w:tc>
        <w:tc>
          <w:tcPr>
            <w:tcW w:w="851" w:type="dxa"/>
            <w:tcBorders>
              <w:top w:val="nil"/>
              <w:left w:val="nil"/>
              <w:bottom w:val="single" w:sz="4" w:space="0" w:color="auto"/>
              <w:right w:val="single" w:sz="4" w:space="0" w:color="auto"/>
            </w:tcBorders>
            <w:shd w:val="clear" w:color="auto" w:fill="auto"/>
            <w:vAlign w:val="center"/>
          </w:tcPr>
          <w:p w14:paraId="641ACBD8"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730AFF19" w14:textId="77777777" w:rsidR="002F2BF4" w:rsidRPr="002F2BF4" w:rsidRDefault="002F2BF4" w:rsidP="002F2BF4">
            <w:pPr>
              <w:spacing w:after="0"/>
              <w:jc w:val="center"/>
              <w:rPr>
                <w:rFonts w:ascii="Arial" w:hAnsi="Arial" w:cs="Arial"/>
                <w:sz w:val="14"/>
                <w:szCs w:val="14"/>
              </w:rPr>
            </w:pPr>
          </w:p>
        </w:tc>
        <w:tc>
          <w:tcPr>
            <w:tcW w:w="869" w:type="dxa"/>
            <w:vMerge w:val="restart"/>
            <w:tcBorders>
              <w:top w:val="nil"/>
              <w:left w:val="single" w:sz="4" w:space="0" w:color="auto"/>
              <w:right w:val="single" w:sz="8" w:space="0" w:color="auto"/>
            </w:tcBorders>
            <w:shd w:val="clear" w:color="auto" w:fill="auto"/>
            <w:vAlign w:val="center"/>
          </w:tcPr>
          <w:p w14:paraId="07E955ED"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20 mJ/fix (average), Antispoofing, Antitampering, support for "out of coverage" positioning</w:t>
            </w:r>
          </w:p>
        </w:tc>
      </w:tr>
      <w:tr w:rsidR="002F2BF4" w:rsidRPr="002F2BF4" w14:paraId="1A666CE4" w14:textId="77777777" w:rsidTr="00ED5562">
        <w:trPr>
          <w:trHeight w:val="454"/>
        </w:trPr>
        <w:tc>
          <w:tcPr>
            <w:tcW w:w="483" w:type="dxa"/>
            <w:vMerge/>
            <w:shd w:val="clear" w:color="auto" w:fill="auto"/>
            <w:vAlign w:val="center"/>
          </w:tcPr>
          <w:p w14:paraId="07BD1CFA" w14:textId="77777777" w:rsidR="002F2BF4" w:rsidRPr="002F2BF4" w:rsidRDefault="002F2BF4" w:rsidP="002F2BF4">
            <w:pPr>
              <w:spacing w:after="0"/>
              <w:jc w:val="center"/>
              <w:rPr>
                <w:rFonts w:ascii="Arial" w:hAnsi="Arial" w:cs="Arial"/>
                <w:sz w:val="14"/>
                <w:szCs w:val="14"/>
              </w:rPr>
            </w:pPr>
          </w:p>
        </w:tc>
        <w:tc>
          <w:tcPr>
            <w:tcW w:w="1559" w:type="dxa"/>
            <w:vMerge/>
            <w:shd w:val="clear" w:color="auto" w:fill="auto"/>
            <w:vAlign w:val="center"/>
          </w:tcPr>
          <w:p w14:paraId="7D0D5159" w14:textId="77777777" w:rsidR="002F2BF4" w:rsidRPr="002F2BF4" w:rsidRDefault="002F2BF4" w:rsidP="002F2BF4">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02F6BBD2"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w:t>
            </w:r>
            <w:r w:rsidRPr="000E0ECD" w:rsidDel="00FA7FC9">
              <w:rPr>
                <w:rFonts w:ascii="Arial" w:hAnsi="Arial" w:cs="Arial"/>
                <w:sz w:val="14"/>
                <w:szCs w:val="14"/>
              </w:rPr>
              <w:t xml:space="preserve"> </w:t>
            </w:r>
            <w:r w:rsidRPr="000E0ECD">
              <w:rPr>
                <w:rFonts w:ascii="Arial" w:hAnsi="Arial" w:cs="Arial"/>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14:paraId="4E901DC3"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1m Horizontal</w:t>
            </w:r>
          </w:p>
        </w:tc>
        <w:tc>
          <w:tcPr>
            <w:tcW w:w="709" w:type="dxa"/>
            <w:tcBorders>
              <w:top w:val="nil"/>
              <w:left w:val="nil"/>
              <w:bottom w:val="single" w:sz="4" w:space="0" w:color="auto"/>
              <w:right w:val="single" w:sz="4" w:space="0" w:color="auto"/>
            </w:tcBorders>
            <w:shd w:val="clear" w:color="auto" w:fill="auto"/>
            <w:vAlign w:val="center"/>
          </w:tcPr>
          <w:p w14:paraId="09D29DB5"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FF8E76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3AD1E1D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51" w:type="dxa"/>
            <w:tcBorders>
              <w:top w:val="nil"/>
              <w:left w:val="nil"/>
              <w:bottom w:val="single" w:sz="4" w:space="0" w:color="auto"/>
              <w:right w:val="single" w:sz="4" w:space="0" w:color="auto"/>
            </w:tcBorders>
            <w:shd w:val="clear" w:color="auto" w:fill="auto"/>
            <w:vAlign w:val="center"/>
          </w:tcPr>
          <w:p w14:paraId="20D1A7FC"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 in enhanced positioning area</w:t>
            </w:r>
          </w:p>
        </w:tc>
        <w:tc>
          <w:tcPr>
            <w:tcW w:w="709" w:type="dxa"/>
            <w:tcBorders>
              <w:top w:val="nil"/>
              <w:left w:val="nil"/>
              <w:bottom w:val="single" w:sz="4" w:space="0" w:color="auto"/>
              <w:right w:val="single" w:sz="4" w:space="0" w:color="auto"/>
            </w:tcBorders>
            <w:shd w:val="clear" w:color="auto" w:fill="auto"/>
            <w:vAlign w:val="center"/>
          </w:tcPr>
          <w:p w14:paraId="26262ED6" w14:textId="77777777" w:rsidR="002F2BF4" w:rsidRPr="002F2BF4" w:rsidRDefault="002F2BF4" w:rsidP="002F2BF4">
            <w:pPr>
              <w:spacing w:after="0"/>
              <w:jc w:val="center"/>
              <w:rPr>
                <w:rFonts w:ascii="Arial" w:hAnsi="Arial" w:cs="Arial"/>
                <w:sz w:val="14"/>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14:paraId="21DF9BBD" w14:textId="77777777" w:rsidR="002F2BF4" w:rsidRPr="002F2BF4" w:rsidRDefault="002F2BF4" w:rsidP="002F2BF4">
            <w:pPr>
              <w:spacing w:after="0"/>
              <w:jc w:val="center"/>
              <w:rPr>
                <w:rFonts w:ascii="Arial" w:hAnsi="Arial" w:cs="Arial"/>
                <w:sz w:val="12"/>
                <w:szCs w:val="14"/>
              </w:rPr>
            </w:pPr>
          </w:p>
        </w:tc>
      </w:tr>
      <w:tr w:rsidR="002F2BF4" w:rsidRPr="002F2BF4" w14:paraId="28FD19A4" w14:textId="77777777" w:rsidTr="00ED5562">
        <w:trPr>
          <w:trHeight w:val="454"/>
        </w:trPr>
        <w:tc>
          <w:tcPr>
            <w:tcW w:w="483" w:type="dxa"/>
            <w:shd w:val="clear" w:color="auto" w:fill="auto"/>
            <w:vAlign w:val="center"/>
          </w:tcPr>
          <w:p w14:paraId="666C2863"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5.7.1</w:t>
            </w:r>
          </w:p>
        </w:tc>
        <w:tc>
          <w:tcPr>
            <w:tcW w:w="1559" w:type="dxa"/>
            <w:shd w:val="clear" w:color="auto" w:fill="auto"/>
            <w:vAlign w:val="center"/>
          </w:tcPr>
          <w:p w14:paraId="5E565BB1"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UAV</w:t>
            </w:r>
          </w:p>
          <w:p w14:paraId="32088D90"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(Data analysis)</w:t>
            </w:r>
          </w:p>
        </w:tc>
        <w:tc>
          <w:tcPr>
            <w:tcW w:w="1984" w:type="dxa"/>
            <w:tcBorders>
              <w:top w:val="nil"/>
              <w:left w:val="nil"/>
              <w:bottom w:val="single" w:sz="4" w:space="0" w:color="auto"/>
              <w:right w:val="single" w:sz="4" w:space="0" w:color="auto"/>
            </w:tcBorders>
            <w:shd w:val="clear" w:color="auto" w:fill="auto"/>
            <w:vAlign w:val="center"/>
          </w:tcPr>
          <w:p w14:paraId="0D2B953F"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5C0953BF"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0.1m Horizontal</w:t>
            </w:r>
            <w:r w:rsidRPr="000E0ECD">
              <w:rPr>
                <w:rFonts w:ascii="Arial" w:hAnsi="Arial" w:cs="Arial"/>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6CDEB9A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0.5 m/s</w:t>
            </w:r>
            <w:r w:rsidRPr="000E0ECD">
              <w:rPr>
                <w:rFonts w:ascii="Arial" w:hAnsi="Arial" w:cs="Arial"/>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14:paraId="378416E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16F656C"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992C158"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E101007" w14:textId="77777777" w:rsidR="002F2BF4" w:rsidRPr="002F2BF4" w:rsidRDefault="002F2BF4" w:rsidP="002F2BF4">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2943CC30"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Low Energy, Antispoofing, Antitampering</w:t>
            </w:r>
          </w:p>
        </w:tc>
      </w:tr>
      <w:tr w:rsidR="002F2BF4" w:rsidRPr="002F2BF4" w14:paraId="5A8DB105" w14:textId="77777777" w:rsidTr="00ED5562">
        <w:trPr>
          <w:trHeight w:val="340"/>
        </w:trPr>
        <w:tc>
          <w:tcPr>
            <w:tcW w:w="483" w:type="dxa"/>
            <w:vMerge w:val="restart"/>
            <w:shd w:val="clear" w:color="auto" w:fill="auto"/>
            <w:vAlign w:val="center"/>
          </w:tcPr>
          <w:p w14:paraId="10CD7801"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5.7.2</w:t>
            </w:r>
          </w:p>
        </w:tc>
        <w:tc>
          <w:tcPr>
            <w:tcW w:w="1559" w:type="dxa"/>
            <w:vMerge w:val="restart"/>
            <w:shd w:val="clear" w:color="auto" w:fill="auto"/>
            <w:vAlign w:val="center"/>
          </w:tcPr>
          <w:p w14:paraId="35818685"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14:paraId="4512731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6FD5D381"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0.5m Horizontal</w:t>
            </w:r>
            <w:r w:rsidRPr="000E0ECD">
              <w:rPr>
                <w:rFonts w:ascii="Arial" w:hAnsi="Arial" w:cs="Arial"/>
                <w:sz w:val="14"/>
                <w:szCs w:val="14"/>
              </w:rPr>
              <w:br/>
              <w:t>0.3m Vertical</w:t>
            </w:r>
          </w:p>
        </w:tc>
        <w:tc>
          <w:tcPr>
            <w:tcW w:w="709" w:type="dxa"/>
            <w:tcBorders>
              <w:top w:val="nil"/>
              <w:left w:val="nil"/>
              <w:bottom w:val="single" w:sz="4" w:space="0" w:color="auto"/>
              <w:right w:val="single" w:sz="4" w:space="0" w:color="auto"/>
            </w:tcBorders>
            <w:shd w:val="clear" w:color="auto" w:fill="auto"/>
            <w:vAlign w:val="center"/>
          </w:tcPr>
          <w:p w14:paraId="791FE4C2"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797F211"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B2E5F4C"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D0AE0BE"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55CB5DC"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30B994C9"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Antispoofing</w:t>
            </w:r>
            <w:r w:rsidRPr="000E0ECD">
              <w:rPr>
                <w:rFonts w:ascii="Arial" w:hAnsi="Arial" w:cs="Arial"/>
                <w:sz w:val="12"/>
                <w:szCs w:val="14"/>
              </w:rPr>
              <w:br/>
              <w:t>Antitampering</w:t>
            </w:r>
          </w:p>
        </w:tc>
      </w:tr>
      <w:tr w:rsidR="002F2BF4" w:rsidRPr="002F2BF4" w14:paraId="67660304" w14:textId="77777777" w:rsidTr="00ED5562">
        <w:trPr>
          <w:trHeight w:val="340"/>
        </w:trPr>
        <w:tc>
          <w:tcPr>
            <w:tcW w:w="483" w:type="dxa"/>
            <w:vMerge/>
            <w:shd w:val="clear" w:color="auto" w:fill="auto"/>
            <w:vAlign w:val="center"/>
          </w:tcPr>
          <w:p w14:paraId="08CCEA08" w14:textId="77777777" w:rsidR="002F2BF4" w:rsidRPr="002F2BF4" w:rsidRDefault="002F2BF4" w:rsidP="002F2BF4">
            <w:pPr>
              <w:spacing w:after="0"/>
              <w:jc w:val="center"/>
              <w:rPr>
                <w:rFonts w:ascii="Arial" w:hAnsi="Arial" w:cs="Arial"/>
                <w:sz w:val="14"/>
                <w:szCs w:val="14"/>
              </w:rPr>
            </w:pPr>
          </w:p>
        </w:tc>
        <w:tc>
          <w:tcPr>
            <w:tcW w:w="1559" w:type="dxa"/>
            <w:vMerge/>
            <w:shd w:val="clear" w:color="auto" w:fill="auto"/>
            <w:vAlign w:val="center"/>
          </w:tcPr>
          <w:p w14:paraId="383AE6E2" w14:textId="77777777" w:rsidR="002F2BF4" w:rsidRPr="002F2BF4" w:rsidRDefault="002F2BF4" w:rsidP="002F2BF4">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46B84BDC"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27431602"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0.5m Horizontal</w:t>
            </w:r>
            <w:r w:rsidRPr="000E0ECD">
              <w:rPr>
                <w:rFonts w:ascii="Arial" w:hAnsi="Arial" w:cs="Arial"/>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53B01175"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49AA154"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99.9 %</w:t>
            </w:r>
          </w:p>
        </w:tc>
        <w:tc>
          <w:tcPr>
            <w:tcW w:w="708" w:type="dxa"/>
            <w:tcBorders>
              <w:top w:val="nil"/>
              <w:left w:val="nil"/>
              <w:bottom w:val="single" w:sz="4" w:space="0" w:color="auto"/>
              <w:right w:val="single" w:sz="4" w:space="0" w:color="auto"/>
            </w:tcBorders>
            <w:shd w:val="clear" w:color="auto" w:fill="auto"/>
            <w:vAlign w:val="center"/>
          </w:tcPr>
          <w:p w14:paraId="5B2BD59A"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BAE56BA" w14:textId="77777777" w:rsidR="002F2BF4" w:rsidRPr="002F2BF4" w:rsidRDefault="002F2BF4" w:rsidP="002F2BF4">
            <w:pPr>
              <w:spacing w:after="0"/>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2A41F8FC"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3FF9A61A"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Antispoofing</w:t>
            </w:r>
            <w:r w:rsidRPr="000E0ECD">
              <w:rPr>
                <w:rFonts w:ascii="Arial" w:hAnsi="Arial" w:cs="Arial"/>
                <w:sz w:val="12"/>
                <w:szCs w:val="14"/>
              </w:rPr>
              <w:br/>
              <w:t>Antitampering</w:t>
            </w:r>
          </w:p>
        </w:tc>
      </w:tr>
      <w:tr w:rsidR="002F2BF4" w:rsidRPr="002F2BF4" w14:paraId="20218917" w14:textId="77777777" w:rsidTr="00ED5562">
        <w:trPr>
          <w:trHeight w:val="340"/>
        </w:trPr>
        <w:tc>
          <w:tcPr>
            <w:tcW w:w="483" w:type="dxa"/>
            <w:vMerge w:val="restart"/>
            <w:shd w:val="clear" w:color="auto" w:fill="auto"/>
            <w:vAlign w:val="center"/>
          </w:tcPr>
          <w:p w14:paraId="4F8EACE9"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5.8.1</w:t>
            </w:r>
          </w:p>
        </w:tc>
        <w:tc>
          <w:tcPr>
            <w:tcW w:w="1559" w:type="dxa"/>
            <w:vMerge w:val="restart"/>
            <w:shd w:val="clear" w:color="auto" w:fill="auto"/>
            <w:vAlign w:val="center"/>
          </w:tcPr>
          <w:p w14:paraId="2F8C352C" w14:textId="77777777" w:rsidR="002F2BF4" w:rsidRPr="002F2BF4" w:rsidRDefault="002F2BF4" w:rsidP="002F2BF4">
            <w:pPr>
              <w:spacing w:after="0"/>
              <w:jc w:val="center"/>
              <w:rPr>
                <w:rFonts w:ascii="Arial" w:hAnsi="Arial" w:cs="Arial"/>
                <w:sz w:val="14"/>
                <w:szCs w:val="14"/>
                <w:lang w:val="fr-FR"/>
              </w:rPr>
            </w:pPr>
            <w:r w:rsidRPr="002F2BF4">
              <w:rPr>
                <w:rFonts w:ascii="Arial" w:hAnsi="Arial" w:cs="Arial"/>
                <w:sz w:val="14"/>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14:paraId="30E09A40"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 Outdoor</w:t>
            </w:r>
          </w:p>
        </w:tc>
        <w:tc>
          <w:tcPr>
            <w:tcW w:w="1418" w:type="dxa"/>
            <w:tcBorders>
              <w:top w:val="nil"/>
              <w:left w:val="nil"/>
              <w:bottom w:val="nil"/>
              <w:right w:val="single" w:sz="4" w:space="0" w:color="auto"/>
            </w:tcBorders>
            <w:shd w:val="clear" w:color="auto" w:fill="auto"/>
            <w:vAlign w:val="center"/>
          </w:tcPr>
          <w:p w14:paraId="338A44BF"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2m Horizontal</w:t>
            </w:r>
          </w:p>
        </w:tc>
        <w:tc>
          <w:tcPr>
            <w:tcW w:w="709" w:type="dxa"/>
            <w:tcBorders>
              <w:top w:val="nil"/>
              <w:left w:val="nil"/>
              <w:bottom w:val="nil"/>
              <w:right w:val="single" w:sz="4" w:space="0" w:color="auto"/>
            </w:tcBorders>
            <w:shd w:val="clear" w:color="auto" w:fill="auto"/>
            <w:vAlign w:val="center"/>
          </w:tcPr>
          <w:p w14:paraId="5A7C0F67" w14:textId="77777777" w:rsidR="002F2BF4" w:rsidRPr="002F2BF4" w:rsidRDefault="002F2BF4" w:rsidP="002F2BF4">
            <w:pPr>
              <w:spacing w:after="0"/>
              <w:jc w:val="center"/>
              <w:rPr>
                <w:rFonts w:ascii="Arial" w:hAnsi="Arial" w:cs="Arial"/>
                <w:sz w:val="14"/>
                <w:szCs w:val="14"/>
              </w:rPr>
            </w:pPr>
          </w:p>
        </w:tc>
        <w:tc>
          <w:tcPr>
            <w:tcW w:w="567" w:type="dxa"/>
            <w:tcBorders>
              <w:top w:val="nil"/>
              <w:left w:val="nil"/>
              <w:bottom w:val="nil"/>
              <w:right w:val="single" w:sz="4" w:space="0" w:color="auto"/>
            </w:tcBorders>
            <w:shd w:val="clear" w:color="auto" w:fill="auto"/>
            <w:vAlign w:val="center"/>
          </w:tcPr>
          <w:p w14:paraId="6467CF3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90 %</w:t>
            </w:r>
          </w:p>
        </w:tc>
        <w:tc>
          <w:tcPr>
            <w:tcW w:w="708" w:type="dxa"/>
            <w:tcBorders>
              <w:top w:val="nil"/>
              <w:left w:val="nil"/>
              <w:bottom w:val="nil"/>
              <w:right w:val="single" w:sz="4" w:space="0" w:color="auto"/>
            </w:tcBorders>
            <w:shd w:val="clear" w:color="auto" w:fill="auto"/>
            <w:vAlign w:val="center"/>
          </w:tcPr>
          <w:p w14:paraId="7D8540ED" w14:textId="77777777" w:rsidR="002F2BF4" w:rsidRPr="002F2BF4" w:rsidRDefault="002F2BF4" w:rsidP="002F2BF4">
            <w:pPr>
              <w:spacing w:after="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C18BD0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nil"/>
              <w:left w:val="nil"/>
              <w:bottom w:val="nil"/>
              <w:right w:val="single" w:sz="4" w:space="0" w:color="auto"/>
            </w:tcBorders>
            <w:shd w:val="clear" w:color="auto" w:fill="auto"/>
            <w:vAlign w:val="center"/>
          </w:tcPr>
          <w:p w14:paraId="5C18BC5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69" w:type="dxa"/>
            <w:vMerge w:val="restart"/>
            <w:tcBorders>
              <w:top w:val="nil"/>
              <w:left w:val="single" w:sz="4" w:space="0" w:color="auto"/>
              <w:right w:val="single" w:sz="8" w:space="0" w:color="auto"/>
            </w:tcBorders>
            <w:shd w:val="clear" w:color="auto" w:fill="auto"/>
            <w:vAlign w:val="center"/>
          </w:tcPr>
          <w:p w14:paraId="3BFE26C1"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Management of different KPI and positioning services</w:t>
            </w:r>
          </w:p>
        </w:tc>
      </w:tr>
      <w:tr w:rsidR="002F2BF4" w:rsidRPr="002F2BF4" w14:paraId="4FA00585" w14:textId="77777777" w:rsidTr="00ED5562">
        <w:trPr>
          <w:trHeight w:val="340"/>
        </w:trPr>
        <w:tc>
          <w:tcPr>
            <w:tcW w:w="483" w:type="dxa"/>
            <w:vMerge/>
            <w:shd w:val="clear" w:color="auto" w:fill="auto"/>
            <w:vAlign w:val="center"/>
          </w:tcPr>
          <w:p w14:paraId="4194FC11" w14:textId="77777777" w:rsidR="002F2BF4" w:rsidRPr="002F2BF4" w:rsidRDefault="002F2BF4" w:rsidP="002F2BF4">
            <w:pPr>
              <w:spacing w:after="0"/>
              <w:jc w:val="center"/>
              <w:rPr>
                <w:rFonts w:ascii="Arial" w:hAnsi="Arial" w:cs="Arial"/>
                <w:sz w:val="14"/>
                <w:szCs w:val="14"/>
              </w:rPr>
            </w:pPr>
          </w:p>
        </w:tc>
        <w:tc>
          <w:tcPr>
            <w:tcW w:w="1559" w:type="dxa"/>
            <w:vMerge/>
            <w:shd w:val="clear" w:color="auto" w:fill="auto"/>
            <w:vAlign w:val="center"/>
          </w:tcPr>
          <w:p w14:paraId="0B96E14F" w14:textId="77777777" w:rsidR="002F2BF4" w:rsidRPr="002F2BF4" w:rsidRDefault="002F2BF4" w:rsidP="002F2BF4">
            <w:pPr>
              <w:spacing w:after="0"/>
              <w:jc w:val="center"/>
              <w:rPr>
                <w:rFonts w:ascii="Arial" w:hAnsi="Arial"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14:paraId="364E51F7"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Enhanced positioning area - Indoor</w:t>
            </w:r>
          </w:p>
        </w:tc>
        <w:tc>
          <w:tcPr>
            <w:tcW w:w="1418" w:type="dxa"/>
            <w:tcBorders>
              <w:top w:val="single" w:sz="4" w:space="0" w:color="auto"/>
              <w:left w:val="nil"/>
              <w:bottom w:val="nil"/>
              <w:right w:val="single" w:sz="4" w:space="0" w:color="auto"/>
            </w:tcBorders>
            <w:shd w:val="clear" w:color="auto" w:fill="auto"/>
            <w:vAlign w:val="center"/>
          </w:tcPr>
          <w:p w14:paraId="75AB4865"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0.1m Horizontal</w:t>
            </w:r>
          </w:p>
        </w:tc>
        <w:tc>
          <w:tcPr>
            <w:tcW w:w="709" w:type="dxa"/>
            <w:tcBorders>
              <w:top w:val="single" w:sz="4" w:space="0" w:color="auto"/>
              <w:left w:val="nil"/>
              <w:bottom w:val="nil"/>
              <w:right w:val="single" w:sz="4" w:space="0" w:color="auto"/>
            </w:tcBorders>
            <w:shd w:val="clear" w:color="auto" w:fill="auto"/>
            <w:vAlign w:val="center"/>
          </w:tcPr>
          <w:p w14:paraId="47053876" w14:textId="77777777" w:rsidR="002F2BF4" w:rsidRPr="002F2BF4" w:rsidRDefault="002F2BF4" w:rsidP="002F2BF4">
            <w:pPr>
              <w:spacing w:after="0"/>
              <w:jc w:val="center"/>
              <w:rPr>
                <w:rFonts w:ascii="Arial" w:hAnsi="Arial"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14:paraId="2E53E4C1"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99 %</w:t>
            </w:r>
          </w:p>
        </w:tc>
        <w:tc>
          <w:tcPr>
            <w:tcW w:w="708" w:type="dxa"/>
            <w:tcBorders>
              <w:top w:val="single" w:sz="4" w:space="0" w:color="auto"/>
              <w:left w:val="nil"/>
              <w:bottom w:val="nil"/>
              <w:right w:val="single" w:sz="4" w:space="0" w:color="auto"/>
            </w:tcBorders>
            <w:shd w:val="clear" w:color="auto" w:fill="auto"/>
            <w:vAlign w:val="center"/>
          </w:tcPr>
          <w:p w14:paraId="637B8A71" w14:textId="77777777" w:rsidR="002F2BF4" w:rsidRPr="002F2BF4" w:rsidRDefault="002F2BF4" w:rsidP="002F2BF4">
            <w:pPr>
              <w:spacing w:after="0"/>
              <w:jc w:val="center"/>
              <w:rPr>
                <w:rFonts w:ascii="Arial" w:hAnsi="Arial" w:cs="Arial"/>
                <w:sz w:val="14"/>
                <w:szCs w:val="14"/>
              </w:rPr>
            </w:pPr>
          </w:p>
        </w:tc>
        <w:tc>
          <w:tcPr>
            <w:tcW w:w="851" w:type="dxa"/>
            <w:tcBorders>
              <w:top w:val="single" w:sz="4" w:space="0" w:color="auto"/>
              <w:left w:val="nil"/>
              <w:bottom w:val="nil"/>
              <w:right w:val="single" w:sz="4" w:space="0" w:color="auto"/>
            </w:tcBorders>
            <w:shd w:val="clear" w:color="auto" w:fill="auto"/>
            <w:vAlign w:val="center"/>
          </w:tcPr>
          <w:p w14:paraId="157AF21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10s</w:t>
            </w:r>
          </w:p>
        </w:tc>
        <w:tc>
          <w:tcPr>
            <w:tcW w:w="709" w:type="dxa"/>
            <w:tcBorders>
              <w:top w:val="single" w:sz="4" w:space="0" w:color="auto"/>
              <w:left w:val="nil"/>
              <w:bottom w:val="nil"/>
              <w:right w:val="single" w:sz="4" w:space="0" w:color="auto"/>
            </w:tcBorders>
            <w:shd w:val="clear" w:color="auto" w:fill="auto"/>
            <w:vAlign w:val="center"/>
          </w:tcPr>
          <w:p w14:paraId="28A5F216"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14:paraId="01450366" w14:textId="77777777" w:rsidR="002F2BF4" w:rsidRPr="002F2BF4" w:rsidRDefault="002F2BF4" w:rsidP="002F2BF4">
            <w:pPr>
              <w:spacing w:after="0"/>
              <w:jc w:val="center"/>
              <w:rPr>
                <w:rFonts w:ascii="Arial" w:hAnsi="Arial" w:cs="Arial"/>
                <w:sz w:val="12"/>
                <w:szCs w:val="14"/>
              </w:rPr>
            </w:pPr>
          </w:p>
        </w:tc>
      </w:tr>
      <w:tr w:rsidR="002F2BF4" w:rsidRPr="002F2BF4" w14:paraId="3EEC4C6A" w14:textId="77777777" w:rsidTr="00ED5562">
        <w:trPr>
          <w:trHeight w:val="567"/>
        </w:trPr>
        <w:tc>
          <w:tcPr>
            <w:tcW w:w="483" w:type="dxa"/>
            <w:shd w:val="clear" w:color="auto" w:fill="auto"/>
            <w:vAlign w:val="center"/>
          </w:tcPr>
          <w:p w14:paraId="49009243"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5.8.2</w:t>
            </w:r>
          </w:p>
        </w:tc>
        <w:tc>
          <w:tcPr>
            <w:tcW w:w="1559" w:type="dxa"/>
            <w:shd w:val="clear" w:color="auto" w:fill="auto"/>
            <w:vAlign w:val="center"/>
          </w:tcPr>
          <w:p w14:paraId="35F7FC91" w14:textId="77777777" w:rsidR="002F2BF4" w:rsidRPr="002F2BF4" w:rsidRDefault="002F2BF4" w:rsidP="002F2BF4">
            <w:pPr>
              <w:spacing w:after="0"/>
              <w:jc w:val="center"/>
              <w:rPr>
                <w:rFonts w:ascii="Arial" w:hAnsi="Arial" w:cs="Arial"/>
                <w:sz w:val="14"/>
                <w:szCs w:val="14"/>
              </w:rPr>
            </w:pPr>
            <w:r w:rsidRPr="002F2BF4">
              <w:rPr>
                <w:rFonts w:ascii="Arial" w:hAnsi="Arial" w:cs="Arial"/>
                <w:sz w:val="14"/>
                <w:szCs w:val="14"/>
              </w:rPr>
              <w:t>Support location method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05A1138E" w14:textId="77777777" w:rsidR="002F2BF4" w:rsidRPr="002F2BF4" w:rsidRDefault="002F2BF4" w:rsidP="002F2BF4">
            <w:pPr>
              <w:spacing w:after="0"/>
              <w:jc w:val="center"/>
              <w:rPr>
                <w:rFonts w:ascii="Arial" w:hAnsi="Arial" w:cs="Arial"/>
                <w:sz w:val="14"/>
                <w:szCs w:val="14"/>
              </w:rPr>
            </w:pPr>
            <w:r w:rsidRPr="000E0ECD">
              <w:rPr>
                <w:rFonts w:ascii="Arial" w:hAnsi="Arial" w:cs="Arial"/>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0F77F000" w14:textId="77777777" w:rsidR="002F2BF4" w:rsidRPr="002F2BF4" w:rsidRDefault="002F2BF4" w:rsidP="002F2BF4">
            <w:pPr>
              <w:spacing w:after="0"/>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073EF96F" w14:textId="77777777" w:rsidR="002F2BF4" w:rsidRPr="002F2BF4" w:rsidRDefault="002F2BF4" w:rsidP="002F2BF4">
            <w:pPr>
              <w:spacing w:after="0"/>
              <w:jc w:val="center"/>
              <w:rPr>
                <w:rFonts w:ascii="Arial" w:hAnsi="Arial"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15F3CB1A" w14:textId="77777777" w:rsidR="002F2BF4" w:rsidRPr="002F2BF4" w:rsidRDefault="002F2BF4" w:rsidP="002F2BF4">
            <w:pPr>
              <w:spacing w:after="0"/>
              <w:jc w:val="center"/>
              <w:rPr>
                <w:rFonts w:ascii="Arial" w:hAnsi="Arial"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44C36BA1" w14:textId="77777777" w:rsidR="002F2BF4" w:rsidRPr="002F2BF4" w:rsidRDefault="002F2BF4" w:rsidP="002F2BF4">
            <w:pPr>
              <w:spacing w:after="0"/>
              <w:jc w:val="center"/>
              <w:rPr>
                <w:rFonts w:ascii="Arial" w:hAnsi="Arial" w:cs="Arial"/>
                <w:sz w:val="14"/>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14:paraId="1804C865" w14:textId="77777777" w:rsidR="002F2BF4" w:rsidRPr="002F2BF4" w:rsidRDefault="002F2BF4" w:rsidP="002F2BF4">
            <w:pPr>
              <w:spacing w:after="0"/>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0A889A6B" w14:textId="77777777" w:rsidR="002F2BF4" w:rsidRPr="002F2BF4" w:rsidRDefault="002F2BF4" w:rsidP="002F2BF4">
            <w:pPr>
              <w:spacing w:after="0"/>
              <w:jc w:val="center"/>
              <w:rPr>
                <w:rFonts w:ascii="Arial" w:hAnsi="Arial" w:cs="Arial"/>
                <w:sz w:val="14"/>
                <w:szCs w:val="14"/>
              </w:rPr>
            </w:pPr>
          </w:p>
        </w:tc>
        <w:tc>
          <w:tcPr>
            <w:tcW w:w="869" w:type="dxa"/>
            <w:tcBorders>
              <w:top w:val="nil"/>
              <w:left w:val="nil"/>
              <w:bottom w:val="single" w:sz="8" w:space="0" w:color="auto"/>
              <w:right w:val="single" w:sz="8" w:space="0" w:color="auto"/>
            </w:tcBorders>
            <w:shd w:val="clear" w:color="auto" w:fill="auto"/>
            <w:vAlign w:val="center"/>
          </w:tcPr>
          <w:p w14:paraId="3598B88A" w14:textId="77777777" w:rsidR="002F2BF4" w:rsidRPr="002F2BF4" w:rsidRDefault="002F2BF4" w:rsidP="002F2BF4">
            <w:pPr>
              <w:spacing w:after="0"/>
              <w:jc w:val="center"/>
              <w:rPr>
                <w:rFonts w:ascii="Arial" w:hAnsi="Arial" w:cs="Arial"/>
                <w:sz w:val="12"/>
                <w:szCs w:val="14"/>
              </w:rPr>
            </w:pPr>
            <w:r w:rsidRPr="000E0ECD">
              <w:rPr>
                <w:rFonts w:ascii="Arial" w:hAnsi="Arial" w:cs="Arial"/>
                <w:sz w:val="12"/>
                <w:szCs w:val="14"/>
              </w:rPr>
              <w:t>Support + negotiation of positioning methods (incl. hybrid)</w:t>
            </w:r>
          </w:p>
        </w:tc>
      </w:tr>
      <w:tr w:rsidR="002F2BF4" w:rsidRPr="002F2BF4" w14:paraId="4A43C6EA" w14:textId="77777777" w:rsidTr="00ED5562">
        <w:tc>
          <w:tcPr>
            <w:tcW w:w="9857" w:type="dxa"/>
            <w:gridSpan w:val="10"/>
            <w:shd w:val="clear" w:color="auto" w:fill="auto"/>
            <w:vAlign w:val="center"/>
          </w:tcPr>
          <w:p w14:paraId="0A3C66E3" w14:textId="77777777" w:rsidR="002F2BF4" w:rsidRPr="002F2BF4" w:rsidRDefault="002F2BF4" w:rsidP="002F2BF4">
            <w:pPr>
              <w:spacing w:after="0"/>
              <w:rPr>
                <w:rFonts w:ascii="Arial" w:hAnsi="Arial" w:cs="Arial"/>
                <w:sz w:val="14"/>
                <w:szCs w:val="14"/>
              </w:rPr>
            </w:pPr>
            <w:r w:rsidRPr="000E0ECD">
              <w:rPr>
                <w:rFonts w:ascii="Arial" w:hAnsi="Arial" w:cs="Arial"/>
                <w:sz w:val="14"/>
                <w:szCs w:val="14"/>
              </w:rPr>
              <w:t>Note: most use cases also feature potential requirements on modes of operation, intended for the UE, the Network or for the 5G system.</w:t>
            </w:r>
          </w:p>
        </w:tc>
      </w:tr>
    </w:tbl>
    <w:p w14:paraId="3FB88926" w14:textId="69E76DB7" w:rsidR="00335C55" w:rsidRDefault="00335C55" w:rsidP="00335C55"/>
    <w:p w14:paraId="6E68EE61" w14:textId="7A4B04AA" w:rsidR="00C8077D" w:rsidRDefault="00C8077D" w:rsidP="00335C55">
      <w:r w:rsidRPr="00C8077D">
        <w:rPr>
          <w:noProof/>
        </w:rPr>
        <w:lastRenderedPageBreak/>
        <w:drawing>
          <wp:inline distT="0" distB="0" distL="0" distR="0" wp14:anchorId="6F472679" wp14:editId="72F5E27F">
            <wp:extent cx="5916295" cy="665607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6656070"/>
                    </a:xfrm>
                    <a:prstGeom prst="rect">
                      <a:avLst/>
                    </a:prstGeom>
                    <a:noFill/>
                    <a:ln>
                      <a:noFill/>
                    </a:ln>
                  </pic:spPr>
                </pic:pic>
              </a:graphicData>
            </a:graphic>
          </wp:inline>
        </w:drawing>
      </w:r>
    </w:p>
    <w:p w14:paraId="3FDD32A2" w14:textId="2B246F36" w:rsidR="007205AD" w:rsidRPr="00335C55" w:rsidRDefault="007205AD" w:rsidP="00335C55">
      <w:r w:rsidRPr="007205AD">
        <w:rPr>
          <w:noProof/>
        </w:rPr>
        <w:lastRenderedPageBreak/>
        <w:drawing>
          <wp:inline distT="0" distB="0" distL="0" distR="0" wp14:anchorId="2FCB3D0A" wp14:editId="359CE404">
            <wp:extent cx="6267450" cy="8409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7450" cy="8409940"/>
                    </a:xfrm>
                    <a:prstGeom prst="rect">
                      <a:avLst/>
                    </a:prstGeom>
                    <a:noFill/>
                    <a:ln>
                      <a:noFill/>
                    </a:ln>
                  </pic:spPr>
                </pic:pic>
              </a:graphicData>
            </a:graphic>
          </wp:inline>
        </w:drawing>
      </w:r>
    </w:p>
    <w:p w14:paraId="64496CF6" w14:textId="1865A2C1" w:rsidR="004A431C" w:rsidRPr="000E0ECD" w:rsidRDefault="00E94C2E" w:rsidP="000E0ECD">
      <w:r w:rsidRPr="000E0ECD">
        <w:t xml:space="preserve"> </w:t>
      </w:r>
    </w:p>
    <w:sectPr w:rsidR="004A431C" w:rsidRPr="000E0EC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F604" w14:textId="77777777" w:rsidR="001965F8" w:rsidRDefault="001965F8">
      <w:r>
        <w:separator/>
      </w:r>
    </w:p>
  </w:endnote>
  <w:endnote w:type="continuationSeparator" w:id="0">
    <w:p w14:paraId="1D06EF90" w14:textId="77777777" w:rsidR="001965F8" w:rsidRDefault="0019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133C" w14:textId="77777777" w:rsidR="001965F8" w:rsidRDefault="001965F8">
      <w:r>
        <w:separator/>
      </w:r>
    </w:p>
  </w:footnote>
  <w:footnote w:type="continuationSeparator" w:id="0">
    <w:p w14:paraId="7B2D1205" w14:textId="77777777" w:rsidR="001965F8" w:rsidRDefault="00196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F03C44"/>
    <w:multiLevelType w:val="hybridMultilevel"/>
    <w:tmpl w:val="40AC7E8C"/>
    <w:lvl w:ilvl="0" w:tplc="44747F58">
      <w:start w:val="1"/>
      <w:numFmt w:val="decimal"/>
      <w:lvlText w:val="[%1]"/>
      <w:lvlJc w:val="left"/>
      <w:pPr>
        <w:ind w:left="360" w:hanging="360"/>
      </w:pPr>
      <w:rPr>
        <w:rFonts w:hint="eastAsia"/>
        <w:b w:val="0"/>
        <w:bCs/>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A165C4"/>
    <w:multiLevelType w:val="hybridMultilevel"/>
    <w:tmpl w:val="FB464212"/>
    <w:lvl w:ilvl="0" w:tplc="614CF4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392452"/>
    <w:multiLevelType w:val="hybridMultilevel"/>
    <w:tmpl w:val="466E7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33CF7"/>
    <w:multiLevelType w:val="hybridMultilevel"/>
    <w:tmpl w:val="09068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3D594400"/>
    <w:multiLevelType w:val="hybridMultilevel"/>
    <w:tmpl w:val="ECE81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7B1E10"/>
    <w:multiLevelType w:val="hybridMultilevel"/>
    <w:tmpl w:val="0CCC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68417E"/>
    <w:multiLevelType w:val="hybridMultilevel"/>
    <w:tmpl w:val="998E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7A15B2"/>
    <w:multiLevelType w:val="hybridMultilevel"/>
    <w:tmpl w:val="FE20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92746"/>
    <w:multiLevelType w:val="hybridMultilevel"/>
    <w:tmpl w:val="D2408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8"/>
  </w:num>
  <w:num w:numId="4">
    <w:abstractNumId w:val="19"/>
  </w:num>
  <w:num w:numId="5">
    <w:abstractNumId w:val="23"/>
  </w:num>
  <w:num w:numId="6">
    <w:abstractNumId w:val="1"/>
  </w:num>
  <w:num w:numId="7">
    <w:abstractNumId w:val="22"/>
  </w:num>
  <w:num w:numId="8">
    <w:abstractNumId w:val="20"/>
  </w:num>
  <w:num w:numId="9">
    <w:abstractNumId w:val="10"/>
  </w:num>
  <w:num w:numId="10">
    <w:abstractNumId w:val="21"/>
  </w:num>
  <w:num w:numId="11">
    <w:abstractNumId w:val="16"/>
  </w:num>
  <w:num w:numId="12">
    <w:abstractNumId w:val="4"/>
  </w:num>
  <w:num w:numId="13">
    <w:abstractNumId w:val="14"/>
  </w:num>
  <w:num w:numId="14">
    <w:abstractNumId w:val="6"/>
  </w:num>
  <w:num w:numId="15">
    <w:abstractNumId w:val="3"/>
  </w:num>
  <w:num w:numId="16">
    <w:abstractNumId w:val="5"/>
  </w:num>
  <w:num w:numId="17">
    <w:abstractNumId w:val="13"/>
  </w:num>
  <w:num w:numId="18">
    <w:abstractNumId w:val="7"/>
  </w:num>
  <w:num w:numId="19">
    <w:abstractNumId w:val="0"/>
  </w:num>
  <w:num w:numId="20">
    <w:abstractNumId w:val="8"/>
  </w:num>
  <w:num w:numId="21">
    <w:abstractNumId w:val="15"/>
  </w:num>
  <w:num w:numId="22">
    <w:abstractNumId w:val="7"/>
  </w:num>
  <w:num w:numId="23">
    <w:abstractNumId w:val="7"/>
  </w:num>
  <w:num w:numId="24">
    <w:abstractNumId w:val="12"/>
  </w:num>
  <w:num w:numId="25">
    <w:abstractNumId w:val="25"/>
  </w:num>
  <w:num w:numId="26">
    <w:abstractNumId w:val="24"/>
  </w:num>
  <w:num w:numId="27">
    <w:abstractNumId w:val="17"/>
  </w:num>
  <w:num w:numId="28">
    <w:abstractNumId w:val="2"/>
  </w:num>
  <w:num w:numId="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2448"/>
    <w:rsid w:val="000224D1"/>
    <w:rsid w:val="000227D0"/>
    <w:rsid w:val="00022A52"/>
    <w:rsid w:val="00022AC5"/>
    <w:rsid w:val="0002301C"/>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AD6"/>
    <w:rsid w:val="00027C82"/>
    <w:rsid w:val="0003024C"/>
    <w:rsid w:val="00030533"/>
    <w:rsid w:val="000307C9"/>
    <w:rsid w:val="0003083D"/>
    <w:rsid w:val="00030DE7"/>
    <w:rsid w:val="00031ADB"/>
    <w:rsid w:val="00032056"/>
    <w:rsid w:val="000328CA"/>
    <w:rsid w:val="00032D78"/>
    <w:rsid w:val="00032E40"/>
    <w:rsid w:val="0003376B"/>
    <w:rsid w:val="00034676"/>
    <w:rsid w:val="000346E6"/>
    <w:rsid w:val="00034D85"/>
    <w:rsid w:val="000352B3"/>
    <w:rsid w:val="000359D1"/>
    <w:rsid w:val="000363A9"/>
    <w:rsid w:val="00036660"/>
    <w:rsid w:val="000371DD"/>
    <w:rsid w:val="00037C6A"/>
    <w:rsid w:val="00040171"/>
    <w:rsid w:val="00040180"/>
    <w:rsid w:val="0004023E"/>
    <w:rsid w:val="0004024B"/>
    <w:rsid w:val="000404D2"/>
    <w:rsid w:val="000410FE"/>
    <w:rsid w:val="00041307"/>
    <w:rsid w:val="00041C10"/>
    <w:rsid w:val="00041C57"/>
    <w:rsid w:val="00041D96"/>
    <w:rsid w:val="00042ADB"/>
    <w:rsid w:val="000434B7"/>
    <w:rsid w:val="000435E4"/>
    <w:rsid w:val="000448C0"/>
    <w:rsid w:val="00044A6C"/>
    <w:rsid w:val="00045848"/>
    <w:rsid w:val="0004589B"/>
    <w:rsid w:val="00045FB1"/>
    <w:rsid w:val="00046189"/>
    <w:rsid w:val="000465C7"/>
    <w:rsid w:val="00046796"/>
    <w:rsid w:val="000467FD"/>
    <w:rsid w:val="0004682C"/>
    <w:rsid w:val="00046AAF"/>
    <w:rsid w:val="000470B3"/>
    <w:rsid w:val="00047225"/>
    <w:rsid w:val="0004724D"/>
    <w:rsid w:val="000477B7"/>
    <w:rsid w:val="000479B4"/>
    <w:rsid w:val="00047B98"/>
    <w:rsid w:val="00047D21"/>
    <w:rsid w:val="00047D47"/>
    <w:rsid w:val="00047E60"/>
    <w:rsid w:val="00050D8A"/>
    <w:rsid w:val="000512E3"/>
    <w:rsid w:val="000516F0"/>
    <w:rsid w:val="00051D59"/>
    <w:rsid w:val="00052144"/>
    <w:rsid w:val="000525A8"/>
    <w:rsid w:val="00052822"/>
    <w:rsid w:val="00052AD2"/>
    <w:rsid w:val="00052C56"/>
    <w:rsid w:val="00052FEE"/>
    <w:rsid w:val="000530DF"/>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4DD4"/>
    <w:rsid w:val="00064EBD"/>
    <w:rsid w:val="00065D38"/>
    <w:rsid w:val="000661FE"/>
    <w:rsid w:val="00066595"/>
    <w:rsid w:val="0006694E"/>
    <w:rsid w:val="00067DD1"/>
    <w:rsid w:val="00067E85"/>
    <w:rsid w:val="000702E6"/>
    <w:rsid w:val="00070447"/>
    <w:rsid w:val="000706E7"/>
    <w:rsid w:val="00070C73"/>
    <w:rsid w:val="00070D82"/>
    <w:rsid w:val="00070E09"/>
    <w:rsid w:val="00070EF8"/>
    <w:rsid w:val="00070EF9"/>
    <w:rsid w:val="00070F3B"/>
    <w:rsid w:val="00070FB9"/>
    <w:rsid w:val="00071192"/>
    <w:rsid w:val="000713A7"/>
    <w:rsid w:val="00071768"/>
    <w:rsid w:val="00071A29"/>
    <w:rsid w:val="0007258D"/>
    <w:rsid w:val="00072590"/>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E44"/>
    <w:rsid w:val="000772F4"/>
    <w:rsid w:val="00077508"/>
    <w:rsid w:val="00077606"/>
    <w:rsid w:val="000776EB"/>
    <w:rsid w:val="0007783F"/>
    <w:rsid w:val="00080FB1"/>
    <w:rsid w:val="00081899"/>
    <w:rsid w:val="000823B0"/>
    <w:rsid w:val="000823DD"/>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145"/>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77D"/>
    <w:rsid w:val="000A4798"/>
    <w:rsid w:val="000A4A19"/>
    <w:rsid w:val="000A4DEA"/>
    <w:rsid w:val="000A54B7"/>
    <w:rsid w:val="000A6351"/>
    <w:rsid w:val="000A63D6"/>
    <w:rsid w:val="000A66EF"/>
    <w:rsid w:val="000A7B38"/>
    <w:rsid w:val="000A7F11"/>
    <w:rsid w:val="000B0343"/>
    <w:rsid w:val="000B051E"/>
    <w:rsid w:val="000B13B8"/>
    <w:rsid w:val="000B19A9"/>
    <w:rsid w:val="000B1C98"/>
    <w:rsid w:val="000B1FE1"/>
    <w:rsid w:val="000B2985"/>
    <w:rsid w:val="000B2C88"/>
    <w:rsid w:val="000B3342"/>
    <w:rsid w:val="000B337F"/>
    <w:rsid w:val="000B3905"/>
    <w:rsid w:val="000B3A59"/>
    <w:rsid w:val="000B3B37"/>
    <w:rsid w:val="000B3C26"/>
    <w:rsid w:val="000B4D45"/>
    <w:rsid w:val="000B510E"/>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02"/>
    <w:rsid w:val="000D5E1D"/>
    <w:rsid w:val="000D694B"/>
    <w:rsid w:val="000D715A"/>
    <w:rsid w:val="000D71E2"/>
    <w:rsid w:val="000D73A5"/>
    <w:rsid w:val="000E07D6"/>
    <w:rsid w:val="000E0ECD"/>
    <w:rsid w:val="000E1380"/>
    <w:rsid w:val="000E1770"/>
    <w:rsid w:val="000E18B4"/>
    <w:rsid w:val="000E18DF"/>
    <w:rsid w:val="000E1B5C"/>
    <w:rsid w:val="000E2BD7"/>
    <w:rsid w:val="000E2F8A"/>
    <w:rsid w:val="000E2FD1"/>
    <w:rsid w:val="000E3123"/>
    <w:rsid w:val="000E3B88"/>
    <w:rsid w:val="000E4761"/>
    <w:rsid w:val="000E48AF"/>
    <w:rsid w:val="000E541C"/>
    <w:rsid w:val="000E59A0"/>
    <w:rsid w:val="000E5A7E"/>
    <w:rsid w:val="000E6865"/>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74"/>
    <w:rsid w:val="00141191"/>
    <w:rsid w:val="0014159C"/>
    <w:rsid w:val="00141C30"/>
    <w:rsid w:val="00141CB7"/>
    <w:rsid w:val="0014218A"/>
    <w:rsid w:val="001422EE"/>
    <w:rsid w:val="00142665"/>
    <w:rsid w:val="00142932"/>
    <w:rsid w:val="00143123"/>
    <w:rsid w:val="0014384A"/>
    <w:rsid w:val="0014450F"/>
    <w:rsid w:val="00144D8F"/>
    <w:rsid w:val="00144DCF"/>
    <w:rsid w:val="00145BDE"/>
    <w:rsid w:val="00145C74"/>
    <w:rsid w:val="001462E9"/>
    <w:rsid w:val="00146B4B"/>
    <w:rsid w:val="00146C4D"/>
    <w:rsid w:val="00146E32"/>
    <w:rsid w:val="0015005A"/>
    <w:rsid w:val="00150C00"/>
    <w:rsid w:val="00150C0B"/>
    <w:rsid w:val="00150CE4"/>
    <w:rsid w:val="00150EF8"/>
    <w:rsid w:val="00151058"/>
    <w:rsid w:val="00151368"/>
    <w:rsid w:val="00151619"/>
    <w:rsid w:val="00151CA4"/>
    <w:rsid w:val="00151FDC"/>
    <w:rsid w:val="001526A2"/>
    <w:rsid w:val="00152835"/>
    <w:rsid w:val="00152CFF"/>
    <w:rsid w:val="00153B1F"/>
    <w:rsid w:val="00153C57"/>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67EFA"/>
    <w:rsid w:val="00170E24"/>
    <w:rsid w:val="00171143"/>
    <w:rsid w:val="00172864"/>
    <w:rsid w:val="00172B82"/>
    <w:rsid w:val="00172EFA"/>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D83"/>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75D"/>
    <w:rsid w:val="00194848"/>
    <w:rsid w:val="00194BA9"/>
    <w:rsid w:val="00194E28"/>
    <w:rsid w:val="00194F68"/>
    <w:rsid w:val="001958EA"/>
    <w:rsid w:val="00195E0E"/>
    <w:rsid w:val="001965F8"/>
    <w:rsid w:val="00197CCF"/>
    <w:rsid w:val="001A00FD"/>
    <w:rsid w:val="001A01A5"/>
    <w:rsid w:val="001A03AA"/>
    <w:rsid w:val="001A04A5"/>
    <w:rsid w:val="001A0617"/>
    <w:rsid w:val="001A0E0D"/>
    <w:rsid w:val="001A154C"/>
    <w:rsid w:val="001A180D"/>
    <w:rsid w:val="001A191D"/>
    <w:rsid w:val="001A1BAC"/>
    <w:rsid w:val="001A23CE"/>
    <w:rsid w:val="001A2C89"/>
    <w:rsid w:val="001A3BB2"/>
    <w:rsid w:val="001A4317"/>
    <w:rsid w:val="001A488C"/>
    <w:rsid w:val="001A4965"/>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4452"/>
    <w:rsid w:val="001B463A"/>
    <w:rsid w:val="001B466C"/>
    <w:rsid w:val="001B48C4"/>
    <w:rsid w:val="001B4F09"/>
    <w:rsid w:val="001B4F34"/>
    <w:rsid w:val="001B52EC"/>
    <w:rsid w:val="001B5488"/>
    <w:rsid w:val="001B554A"/>
    <w:rsid w:val="001B64C4"/>
    <w:rsid w:val="001B6564"/>
    <w:rsid w:val="001B6583"/>
    <w:rsid w:val="001B691A"/>
    <w:rsid w:val="001B71BA"/>
    <w:rsid w:val="001B728F"/>
    <w:rsid w:val="001B72E7"/>
    <w:rsid w:val="001B739E"/>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CA4"/>
    <w:rsid w:val="001C5D4F"/>
    <w:rsid w:val="001C64C0"/>
    <w:rsid w:val="001C656D"/>
    <w:rsid w:val="001C69DA"/>
    <w:rsid w:val="001C6F06"/>
    <w:rsid w:val="001C6FDE"/>
    <w:rsid w:val="001C75AF"/>
    <w:rsid w:val="001C7611"/>
    <w:rsid w:val="001C7F4A"/>
    <w:rsid w:val="001D2360"/>
    <w:rsid w:val="001D2372"/>
    <w:rsid w:val="001D23FB"/>
    <w:rsid w:val="001D2CE6"/>
    <w:rsid w:val="001D3109"/>
    <w:rsid w:val="001D332E"/>
    <w:rsid w:val="001D3914"/>
    <w:rsid w:val="001D5033"/>
    <w:rsid w:val="001D5058"/>
    <w:rsid w:val="001D5C88"/>
    <w:rsid w:val="001D6567"/>
    <w:rsid w:val="001D6809"/>
    <w:rsid w:val="001D695C"/>
    <w:rsid w:val="001D6FD9"/>
    <w:rsid w:val="001D780E"/>
    <w:rsid w:val="001D7A29"/>
    <w:rsid w:val="001E05C3"/>
    <w:rsid w:val="001E0AB0"/>
    <w:rsid w:val="001E0AD3"/>
    <w:rsid w:val="001E0B39"/>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AEA"/>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71E"/>
    <w:rsid w:val="002077F8"/>
    <w:rsid w:val="00207A66"/>
    <w:rsid w:val="00210860"/>
    <w:rsid w:val="00210979"/>
    <w:rsid w:val="00210B6A"/>
    <w:rsid w:val="00210DA7"/>
    <w:rsid w:val="00211019"/>
    <w:rsid w:val="00211135"/>
    <w:rsid w:val="0021120F"/>
    <w:rsid w:val="00211890"/>
    <w:rsid w:val="00211C40"/>
    <w:rsid w:val="00211DAC"/>
    <w:rsid w:val="00211DE8"/>
    <w:rsid w:val="00211E82"/>
    <w:rsid w:val="00212875"/>
    <w:rsid w:val="00212CB6"/>
    <w:rsid w:val="00212E37"/>
    <w:rsid w:val="00213B5D"/>
    <w:rsid w:val="00213F68"/>
    <w:rsid w:val="002140FF"/>
    <w:rsid w:val="002158EE"/>
    <w:rsid w:val="00215E90"/>
    <w:rsid w:val="002164D8"/>
    <w:rsid w:val="00216C8D"/>
    <w:rsid w:val="00217F96"/>
    <w:rsid w:val="00220894"/>
    <w:rsid w:val="0022095C"/>
    <w:rsid w:val="00221757"/>
    <w:rsid w:val="00221772"/>
    <w:rsid w:val="00221B61"/>
    <w:rsid w:val="00221B6D"/>
    <w:rsid w:val="00223C8B"/>
    <w:rsid w:val="0022495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4151"/>
    <w:rsid w:val="00234624"/>
    <w:rsid w:val="00234F8C"/>
    <w:rsid w:val="0023535E"/>
    <w:rsid w:val="00235542"/>
    <w:rsid w:val="00235DAD"/>
    <w:rsid w:val="00235E55"/>
    <w:rsid w:val="00236117"/>
    <w:rsid w:val="002369B0"/>
    <w:rsid w:val="00236AD8"/>
    <w:rsid w:val="00236B3F"/>
    <w:rsid w:val="00237081"/>
    <w:rsid w:val="0023749A"/>
    <w:rsid w:val="00237852"/>
    <w:rsid w:val="00237966"/>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6F3"/>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1EB"/>
    <w:rsid w:val="00252430"/>
    <w:rsid w:val="00252A05"/>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144"/>
    <w:rsid w:val="00257BF4"/>
    <w:rsid w:val="00260003"/>
    <w:rsid w:val="00260236"/>
    <w:rsid w:val="0026035D"/>
    <w:rsid w:val="002606D6"/>
    <w:rsid w:val="00260AA1"/>
    <w:rsid w:val="00260F70"/>
    <w:rsid w:val="00261C98"/>
    <w:rsid w:val="0026248E"/>
    <w:rsid w:val="00262914"/>
    <w:rsid w:val="00263F38"/>
    <w:rsid w:val="002643C2"/>
    <w:rsid w:val="002643D1"/>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1E31"/>
    <w:rsid w:val="002724CE"/>
    <w:rsid w:val="0027278E"/>
    <w:rsid w:val="00272B03"/>
    <w:rsid w:val="00272FEA"/>
    <w:rsid w:val="0027328B"/>
    <w:rsid w:val="002733E2"/>
    <w:rsid w:val="00273F2D"/>
    <w:rsid w:val="00274542"/>
    <w:rsid w:val="00274693"/>
    <w:rsid w:val="00274BD3"/>
    <w:rsid w:val="002750B1"/>
    <w:rsid w:val="002755A6"/>
    <w:rsid w:val="00276851"/>
    <w:rsid w:val="00276A35"/>
    <w:rsid w:val="00276F36"/>
    <w:rsid w:val="002774DD"/>
    <w:rsid w:val="00277835"/>
    <w:rsid w:val="00280AB1"/>
    <w:rsid w:val="00281274"/>
    <w:rsid w:val="00281706"/>
    <w:rsid w:val="002822B5"/>
    <w:rsid w:val="00282F3C"/>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48CB"/>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3D7C"/>
    <w:rsid w:val="002D4171"/>
    <w:rsid w:val="002D438A"/>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9AB"/>
    <w:rsid w:val="002E5B07"/>
    <w:rsid w:val="002E63D9"/>
    <w:rsid w:val="002E640E"/>
    <w:rsid w:val="002E739D"/>
    <w:rsid w:val="002E750A"/>
    <w:rsid w:val="002E76D0"/>
    <w:rsid w:val="002F0C28"/>
    <w:rsid w:val="002F13A9"/>
    <w:rsid w:val="002F1A3F"/>
    <w:rsid w:val="002F1D95"/>
    <w:rsid w:val="002F281C"/>
    <w:rsid w:val="002F2999"/>
    <w:rsid w:val="002F2BF4"/>
    <w:rsid w:val="002F3CDE"/>
    <w:rsid w:val="002F4AFB"/>
    <w:rsid w:val="002F559A"/>
    <w:rsid w:val="002F5DD6"/>
    <w:rsid w:val="002F5FEA"/>
    <w:rsid w:val="002F6008"/>
    <w:rsid w:val="002F63E7"/>
    <w:rsid w:val="002F6806"/>
    <w:rsid w:val="002F6F84"/>
    <w:rsid w:val="002F7BE3"/>
    <w:rsid w:val="002F7E6A"/>
    <w:rsid w:val="00300165"/>
    <w:rsid w:val="00300445"/>
    <w:rsid w:val="003008C7"/>
    <w:rsid w:val="00300978"/>
    <w:rsid w:val="00300CE0"/>
    <w:rsid w:val="00300F00"/>
    <w:rsid w:val="003010CF"/>
    <w:rsid w:val="00301B0C"/>
    <w:rsid w:val="00303175"/>
    <w:rsid w:val="00303440"/>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2A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BBD"/>
    <w:rsid w:val="00326E13"/>
    <w:rsid w:val="00326E7E"/>
    <w:rsid w:val="00327792"/>
    <w:rsid w:val="00327DCF"/>
    <w:rsid w:val="00330951"/>
    <w:rsid w:val="00330D56"/>
    <w:rsid w:val="003311E9"/>
    <w:rsid w:val="00331426"/>
    <w:rsid w:val="003314C7"/>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C55"/>
    <w:rsid w:val="00335D8C"/>
    <w:rsid w:val="00335DA8"/>
    <w:rsid w:val="00336072"/>
    <w:rsid w:val="003363A1"/>
    <w:rsid w:val="0033668B"/>
    <w:rsid w:val="003369B7"/>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8C0"/>
    <w:rsid w:val="00345BB2"/>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502"/>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B1"/>
    <w:rsid w:val="00372630"/>
    <w:rsid w:val="00372CA6"/>
    <w:rsid w:val="00372D6D"/>
    <w:rsid w:val="00372F0D"/>
    <w:rsid w:val="003730C3"/>
    <w:rsid w:val="00373122"/>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260"/>
    <w:rsid w:val="00394739"/>
    <w:rsid w:val="003949A9"/>
    <w:rsid w:val="00395721"/>
    <w:rsid w:val="00395826"/>
    <w:rsid w:val="00396BE3"/>
    <w:rsid w:val="00396D33"/>
    <w:rsid w:val="00396DE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129"/>
    <w:rsid w:val="003D0931"/>
    <w:rsid w:val="003D0992"/>
    <w:rsid w:val="003D0FC3"/>
    <w:rsid w:val="003D104C"/>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5F5D"/>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161"/>
    <w:rsid w:val="003E433F"/>
    <w:rsid w:val="003E4858"/>
    <w:rsid w:val="003E4D6A"/>
    <w:rsid w:val="003E557D"/>
    <w:rsid w:val="003E56FA"/>
    <w:rsid w:val="003E5DBA"/>
    <w:rsid w:val="003E6316"/>
    <w:rsid w:val="003E6884"/>
    <w:rsid w:val="003E6AC5"/>
    <w:rsid w:val="003E6DF4"/>
    <w:rsid w:val="003F0096"/>
    <w:rsid w:val="003F00E2"/>
    <w:rsid w:val="003F0352"/>
    <w:rsid w:val="003F0381"/>
    <w:rsid w:val="003F05E6"/>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50E"/>
    <w:rsid w:val="003F57AA"/>
    <w:rsid w:val="003F6CD2"/>
    <w:rsid w:val="003F708B"/>
    <w:rsid w:val="003F77A6"/>
    <w:rsid w:val="003F788D"/>
    <w:rsid w:val="003F7936"/>
    <w:rsid w:val="004008FE"/>
    <w:rsid w:val="0040126E"/>
    <w:rsid w:val="0040134E"/>
    <w:rsid w:val="004018FB"/>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4E84"/>
    <w:rsid w:val="0041570E"/>
    <w:rsid w:val="00415ACB"/>
    <w:rsid w:val="00415D76"/>
    <w:rsid w:val="00416665"/>
    <w:rsid w:val="0041688E"/>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273"/>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049E"/>
    <w:rsid w:val="00440799"/>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662"/>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1A5"/>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554"/>
    <w:rsid w:val="0049257F"/>
    <w:rsid w:val="00492D44"/>
    <w:rsid w:val="00493895"/>
    <w:rsid w:val="00493998"/>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11E"/>
    <w:rsid w:val="004A251F"/>
    <w:rsid w:val="004A2C8C"/>
    <w:rsid w:val="004A3329"/>
    <w:rsid w:val="004A3874"/>
    <w:rsid w:val="004A3BF1"/>
    <w:rsid w:val="004A3D8C"/>
    <w:rsid w:val="004A3E42"/>
    <w:rsid w:val="004A4045"/>
    <w:rsid w:val="004A431C"/>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472"/>
    <w:rsid w:val="004B257F"/>
    <w:rsid w:val="004B3422"/>
    <w:rsid w:val="004B44D6"/>
    <w:rsid w:val="004B49E6"/>
    <w:rsid w:val="004B4D69"/>
    <w:rsid w:val="004B4DE4"/>
    <w:rsid w:val="004B52FB"/>
    <w:rsid w:val="004B6A5A"/>
    <w:rsid w:val="004B6C16"/>
    <w:rsid w:val="004B6DFA"/>
    <w:rsid w:val="004B7103"/>
    <w:rsid w:val="004B7652"/>
    <w:rsid w:val="004B7E99"/>
    <w:rsid w:val="004C01A8"/>
    <w:rsid w:val="004C1840"/>
    <w:rsid w:val="004C24C9"/>
    <w:rsid w:val="004C252E"/>
    <w:rsid w:val="004C2B02"/>
    <w:rsid w:val="004C2B04"/>
    <w:rsid w:val="004C2B38"/>
    <w:rsid w:val="004C31B6"/>
    <w:rsid w:val="004C4A34"/>
    <w:rsid w:val="004C4D39"/>
    <w:rsid w:val="004C5319"/>
    <w:rsid w:val="004C5395"/>
    <w:rsid w:val="004C55F2"/>
    <w:rsid w:val="004C5743"/>
    <w:rsid w:val="004C5EE4"/>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40AE"/>
    <w:rsid w:val="004D41C6"/>
    <w:rsid w:val="004D4924"/>
    <w:rsid w:val="004D4D31"/>
    <w:rsid w:val="004D5649"/>
    <w:rsid w:val="004D6137"/>
    <w:rsid w:val="004D6DD0"/>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9C3"/>
    <w:rsid w:val="00510F62"/>
    <w:rsid w:val="00511602"/>
    <w:rsid w:val="005118E5"/>
    <w:rsid w:val="00511943"/>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638"/>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5FE"/>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2CB"/>
    <w:rsid w:val="005457C8"/>
    <w:rsid w:val="0054584C"/>
    <w:rsid w:val="0054593A"/>
    <w:rsid w:val="00545D94"/>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CA"/>
    <w:rsid w:val="005649CA"/>
    <w:rsid w:val="005656ED"/>
    <w:rsid w:val="00565C9E"/>
    <w:rsid w:val="005660DC"/>
    <w:rsid w:val="0056653E"/>
    <w:rsid w:val="00566544"/>
    <w:rsid w:val="00566608"/>
    <w:rsid w:val="00566733"/>
    <w:rsid w:val="00566C83"/>
    <w:rsid w:val="005700FE"/>
    <w:rsid w:val="005709DE"/>
    <w:rsid w:val="00570E24"/>
    <w:rsid w:val="00570FF8"/>
    <w:rsid w:val="0057118A"/>
    <w:rsid w:val="00571BF7"/>
    <w:rsid w:val="005723A8"/>
    <w:rsid w:val="00572760"/>
    <w:rsid w:val="00572B31"/>
    <w:rsid w:val="00572C0B"/>
    <w:rsid w:val="00572C1C"/>
    <w:rsid w:val="0057320B"/>
    <w:rsid w:val="005743DE"/>
    <w:rsid w:val="00574F3F"/>
    <w:rsid w:val="00575154"/>
    <w:rsid w:val="005754A3"/>
    <w:rsid w:val="0057562C"/>
    <w:rsid w:val="00575798"/>
    <w:rsid w:val="005759F6"/>
    <w:rsid w:val="00575A18"/>
    <w:rsid w:val="00575E3E"/>
    <w:rsid w:val="00575FE7"/>
    <w:rsid w:val="005761DF"/>
    <w:rsid w:val="005763B2"/>
    <w:rsid w:val="005765F5"/>
    <w:rsid w:val="00576D6C"/>
    <w:rsid w:val="005772A6"/>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50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D59"/>
    <w:rsid w:val="005A2EB6"/>
    <w:rsid w:val="005A305E"/>
    <w:rsid w:val="005A30BB"/>
    <w:rsid w:val="005A35B2"/>
    <w:rsid w:val="005A3887"/>
    <w:rsid w:val="005A3E23"/>
    <w:rsid w:val="005A4C3B"/>
    <w:rsid w:val="005A57EA"/>
    <w:rsid w:val="005A5E23"/>
    <w:rsid w:val="005A6410"/>
    <w:rsid w:val="005A73D6"/>
    <w:rsid w:val="005B0542"/>
    <w:rsid w:val="005B1130"/>
    <w:rsid w:val="005B124C"/>
    <w:rsid w:val="005B1AD7"/>
    <w:rsid w:val="005B1C65"/>
    <w:rsid w:val="005B1FD1"/>
    <w:rsid w:val="005B2225"/>
    <w:rsid w:val="005B2799"/>
    <w:rsid w:val="005B2B77"/>
    <w:rsid w:val="005B3330"/>
    <w:rsid w:val="005B39F0"/>
    <w:rsid w:val="005B3D4A"/>
    <w:rsid w:val="005B41D7"/>
    <w:rsid w:val="005B4D87"/>
    <w:rsid w:val="005B519B"/>
    <w:rsid w:val="005B54CD"/>
    <w:rsid w:val="005B571E"/>
    <w:rsid w:val="005B5E27"/>
    <w:rsid w:val="005B60DD"/>
    <w:rsid w:val="005B6111"/>
    <w:rsid w:val="005B741F"/>
    <w:rsid w:val="005B774F"/>
    <w:rsid w:val="005B77D9"/>
    <w:rsid w:val="005B7DD1"/>
    <w:rsid w:val="005C00A0"/>
    <w:rsid w:val="005C0732"/>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0EF8"/>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614"/>
    <w:rsid w:val="005E775D"/>
    <w:rsid w:val="005F0551"/>
    <w:rsid w:val="005F0710"/>
    <w:rsid w:val="005F0A43"/>
    <w:rsid w:val="005F0E91"/>
    <w:rsid w:val="005F1498"/>
    <w:rsid w:val="005F25A0"/>
    <w:rsid w:val="005F27BF"/>
    <w:rsid w:val="005F2B28"/>
    <w:rsid w:val="005F2CBE"/>
    <w:rsid w:val="005F2EFB"/>
    <w:rsid w:val="005F3399"/>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C2D"/>
    <w:rsid w:val="00600F95"/>
    <w:rsid w:val="00601725"/>
    <w:rsid w:val="00601839"/>
    <w:rsid w:val="0060218E"/>
    <w:rsid w:val="006023D9"/>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A2E"/>
    <w:rsid w:val="00607AA4"/>
    <w:rsid w:val="00607D8D"/>
    <w:rsid w:val="00607F2E"/>
    <w:rsid w:val="00610D72"/>
    <w:rsid w:val="006118DD"/>
    <w:rsid w:val="006130C1"/>
    <w:rsid w:val="006130F7"/>
    <w:rsid w:val="00613875"/>
    <w:rsid w:val="00613AF8"/>
    <w:rsid w:val="00613D8E"/>
    <w:rsid w:val="006142E0"/>
    <w:rsid w:val="0061444B"/>
    <w:rsid w:val="006149FA"/>
    <w:rsid w:val="0061587B"/>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4999"/>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3EF7"/>
    <w:rsid w:val="00644135"/>
    <w:rsid w:val="006447DC"/>
    <w:rsid w:val="00644BC1"/>
    <w:rsid w:val="00644C95"/>
    <w:rsid w:val="006450EE"/>
    <w:rsid w:val="00645361"/>
    <w:rsid w:val="00645817"/>
    <w:rsid w:val="00645E00"/>
    <w:rsid w:val="0064658A"/>
    <w:rsid w:val="00646711"/>
    <w:rsid w:val="00647279"/>
    <w:rsid w:val="006475AB"/>
    <w:rsid w:val="00647CBC"/>
    <w:rsid w:val="00650139"/>
    <w:rsid w:val="006504F1"/>
    <w:rsid w:val="006505AB"/>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550"/>
    <w:rsid w:val="00664B27"/>
    <w:rsid w:val="00664B69"/>
    <w:rsid w:val="00664C84"/>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C40"/>
    <w:rsid w:val="00695F6D"/>
    <w:rsid w:val="0069648F"/>
    <w:rsid w:val="0069667A"/>
    <w:rsid w:val="006968C1"/>
    <w:rsid w:val="00697733"/>
    <w:rsid w:val="006A0267"/>
    <w:rsid w:val="006A02C5"/>
    <w:rsid w:val="006A1535"/>
    <w:rsid w:val="006A1F7E"/>
    <w:rsid w:val="006A254E"/>
    <w:rsid w:val="006A285F"/>
    <w:rsid w:val="006A2C30"/>
    <w:rsid w:val="006A2F31"/>
    <w:rsid w:val="006A301C"/>
    <w:rsid w:val="006A307F"/>
    <w:rsid w:val="006A3E2B"/>
    <w:rsid w:val="006A3FF2"/>
    <w:rsid w:val="006A6262"/>
    <w:rsid w:val="006A6E17"/>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BB5"/>
    <w:rsid w:val="006C2BEE"/>
    <w:rsid w:val="006C2C71"/>
    <w:rsid w:val="006C3338"/>
    <w:rsid w:val="006C366B"/>
    <w:rsid w:val="006C38A3"/>
    <w:rsid w:val="006C3AD8"/>
    <w:rsid w:val="006C4516"/>
    <w:rsid w:val="006C455E"/>
    <w:rsid w:val="006C4AC2"/>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32A"/>
    <w:rsid w:val="006E6577"/>
    <w:rsid w:val="006E6764"/>
    <w:rsid w:val="006E6B31"/>
    <w:rsid w:val="006E7568"/>
    <w:rsid w:val="006E75E3"/>
    <w:rsid w:val="006E7726"/>
    <w:rsid w:val="006E799D"/>
    <w:rsid w:val="006E7CCE"/>
    <w:rsid w:val="006F02A5"/>
    <w:rsid w:val="006F0593"/>
    <w:rsid w:val="006F1064"/>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5AD"/>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1091"/>
    <w:rsid w:val="00751863"/>
    <w:rsid w:val="00751B83"/>
    <w:rsid w:val="00751CD2"/>
    <w:rsid w:val="00751ED7"/>
    <w:rsid w:val="0075268B"/>
    <w:rsid w:val="00753191"/>
    <w:rsid w:val="00753550"/>
    <w:rsid w:val="007538B2"/>
    <w:rsid w:val="00754359"/>
    <w:rsid w:val="00754411"/>
    <w:rsid w:val="00754BD9"/>
    <w:rsid w:val="00754E7A"/>
    <w:rsid w:val="0075540C"/>
    <w:rsid w:val="00755DB1"/>
    <w:rsid w:val="00756376"/>
    <w:rsid w:val="0075667C"/>
    <w:rsid w:val="007574FC"/>
    <w:rsid w:val="007603F1"/>
    <w:rsid w:val="00760780"/>
    <w:rsid w:val="00760975"/>
    <w:rsid w:val="00761A5B"/>
    <w:rsid w:val="00761FDA"/>
    <w:rsid w:val="007621FF"/>
    <w:rsid w:val="007634E3"/>
    <w:rsid w:val="00763513"/>
    <w:rsid w:val="00763FD1"/>
    <w:rsid w:val="00764194"/>
    <w:rsid w:val="0076443E"/>
    <w:rsid w:val="00764D8E"/>
    <w:rsid w:val="00765406"/>
    <w:rsid w:val="00765E21"/>
    <w:rsid w:val="00765ED3"/>
    <w:rsid w:val="00766160"/>
    <w:rsid w:val="0076681D"/>
    <w:rsid w:val="00766A65"/>
    <w:rsid w:val="00766B6C"/>
    <w:rsid w:val="00766DCD"/>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112"/>
    <w:rsid w:val="00775D7C"/>
    <w:rsid w:val="00775F76"/>
    <w:rsid w:val="007766CC"/>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C52"/>
    <w:rsid w:val="00784EED"/>
    <w:rsid w:val="00785132"/>
    <w:rsid w:val="007851E8"/>
    <w:rsid w:val="00785900"/>
    <w:rsid w:val="00785AB1"/>
    <w:rsid w:val="00785D3A"/>
    <w:rsid w:val="0078677E"/>
    <w:rsid w:val="00786810"/>
    <w:rsid w:val="00786958"/>
    <w:rsid w:val="00786A97"/>
    <w:rsid w:val="00786DD3"/>
    <w:rsid w:val="00786E71"/>
    <w:rsid w:val="007908F8"/>
    <w:rsid w:val="0079162F"/>
    <w:rsid w:val="00791BC0"/>
    <w:rsid w:val="00793117"/>
    <w:rsid w:val="00794924"/>
    <w:rsid w:val="00794D6C"/>
    <w:rsid w:val="0079506E"/>
    <w:rsid w:val="007963FD"/>
    <w:rsid w:val="00796E2A"/>
    <w:rsid w:val="00797564"/>
    <w:rsid w:val="00797A9F"/>
    <w:rsid w:val="007A0BC2"/>
    <w:rsid w:val="007A19A1"/>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55F"/>
    <w:rsid w:val="007C27C8"/>
    <w:rsid w:val="007C2977"/>
    <w:rsid w:val="007C2A16"/>
    <w:rsid w:val="007C2ABC"/>
    <w:rsid w:val="007C3598"/>
    <w:rsid w:val="007C3D6D"/>
    <w:rsid w:val="007C3E52"/>
    <w:rsid w:val="007C3FA8"/>
    <w:rsid w:val="007C417E"/>
    <w:rsid w:val="007C48D4"/>
    <w:rsid w:val="007C556E"/>
    <w:rsid w:val="007C5956"/>
    <w:rsid w:val="007C5F1A"/>
    <w:rsid w:val="007C62C1"/>
    <w:rsid w:val="007C6552"/>
    <w:rsid w:val="007C657E"/>
    <w:rsid w:val="007C669D"/>
    <w:rsid w:val="007C68DA"/>
    <w:rsid w:val="007C70BF"/>
    <w:rsid w:val="007C723C"/>
    <w:rsid w:val="007C7275"/>
    <w:rsid w:val="007C749A"/>
    <w:rsid w:val="007C7A83"/>
    <w:rsid w:val="007C7B0F"/>
    <w:rsid w:val="007C7BB9"/>
    <w:rsid w:val="007C7F0B"/>
    <w:rsid w:val="007D01D9"/>
    <w:rsid w:val="007D0BB4"/>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8F"/>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3AC"/>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D51"/>
    <w:rsid w:val="00862485"/>
    <w:rsid w:val="0086275E"/>
    <w:rsid w:val="008632A4"/>
    <w:rsid w:val="00864384"/>
    <w:rsid w:val="00864440"/>
    <w:rsid w:val="00864535"/>
    <w:rsid w:val="00864D76"/>
    <w:rsid w:val="008650FC"/>
    <w:rsid w:val="008657E4"/>
    <w:rsid w:val="00865BAD"/>
    <w:rsid w:val="00866E61"/>
    <w:rsid w:val="00866EB3"/>
    <w:rsid w:val="0086701A"/>
    <w:rsid w:val="00867BD2"/>
    <w:rsid w:val="00867DDF"/>
    <w:rsid w:val="008707F7"/>
    <w:rsid w:val="008712FD"/>
    <w:rsid w:val="008716A1"/>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358D"/>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51DB"/>
    <w:rsid w:val="008952E3"/>
    <w:rsid w:val="00895840"/>
    <w:rsid w:val="00895E17"/>
    <w:rsid w:val="00895F4A"/>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8B4"/>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5D67"/>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DA3"/>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8E8"/>
    <w:rsid w:val="008F2D25"/>
    <w:rsid w:val="008F2FD5"/>
    <w:rsid w:val="008F31F2"/>
    <w:rsid w:val="008F36A5"/>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F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1C3C"/>
    <w:rsid w:val="00922E6F"/>
    <w:rsid w:val="00922F17"/>
    <w:rsid w:val="009232C9"/>
    <w:rsid w:val="00923608"/>
    <w:rsid w:val="009238E5"/>
    <w:rsid w:val="00923F12"/>
    <w:rsid w:val="00924539"/>
    <w:rsid w:val="00924FF8"/>
    <w:rsid w:val="0092531C"/>
    <w:rsid w:val="009258AE"/>
    <w:rsid w:val="00925BA8"/>
    <w:rsid w:val="009263E6"/>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6F93"/>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A0E"/>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170"/>
    <w:rsid w:val="009742D3"/>
    <w:rsid w:val="009745E9"/>
    <w:rsid w:val="00974B1F"/>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54B"/>
    <w:rsid w:val="009826C8"/>
    <w:rsid w:val="00982B17"/>
    <w:rsid w:val="00982F56"/>
    <w:rsid w:val="00982F5C"/>
    <w:rsid w:val="00983686"/>
    <w:rsid w:val="009836E4"/>
    <w:rsid w:val="00983F3F"/>
    <w:rsid w:val="0098412F"/>
    <w:rsid w:val="00984835"/>
    <w:rsid w:val="00984AED"/>
    <w:rsid w:val="00985303"/>
    <w:rsid w:val="009853D9"/>
    <w:rsid w:val="009856AE"/>
    <w:rsid w:val="0098584F"/>
    <w:rsid w:val="00985D0B"/>
    <w:rsid w:val="00985F28"/>
    <w:rsid w:val="00986149"/>
    <w:rsid w:val="00986176"/>
    <w:rsid w:val="009861E4"/>
    <w:rsid w:val="0098686E"/>
    <w:rsid w:val="00986E7F"/>
    <w:rsid w:val="00986E80"/>
    <w:rsid w:val="00987202"/>
    <w:rsid w:val="00987536"/>
    <w:rsid w:val="00990AD7"/>
    <w:rsid w:val="00990BD5"/>
    <w:rsid w:val="00991341"/>
    <w:rsid w:val="009916A2"/>
    <w:rsid w:val="0099196F"/>
    <w:rsid w:val="00991B90"/>
    <w:rsid w:val="00991CD6"/>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7"/>
    <w:rsid w:val="009A1729"/>
    <w:rsid w:val="009A1CC9"/>
    <w:rsid w:val="009A2DF9"/>
    <w:rsid w:val="009A373B"/>
    <w:rsid w:val="009A3903"/>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4FAE"/>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58F"/>
    <w:rsid w:val="009E0A3B"/>
    <w:rsid w:val="009E0A9E"/>
    <w:rsid w:val="009E0C21"/>
    <w:rsid w:val="009E16DD"/>
    <w:rsid w:val="009E17D4"/>
    <w:rsid w:val="009E19A2"/>
    <w:rsid w:val="009E23E9"/>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4D5"/>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07D3B"/>
    <w:rsid w:val="00A108EE"/>
    <w:rsid w:val="00A10BB8"/>
    <w:rsid w:val="00A11C08"/>
    <w:rsid w:val="00A11F8C"/>
    <w:rsid w:val="00A1200D"/>
    <w:rsid w:val="00A125DF"/>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458"/>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706E"/>
    <w:rsid w:val="00A40C79"/>
    <w:rsid w:val="00A41278"/>
    <w:rsid w:val="00A41CB7"/>
    <w:rsid w:val="00A428FB"/>
    <w:rsid w:val="00A42ABE"/>
    <w:rsid w:val="00A4376F"/>
    <w:rsid w:val="00A43B3D"/>
    <w:rsid w:val="00A43FD0"/>
    <w:rsid w:val="00A44607"/>
    <w:rsid w:val="00A44919"/>
    <w:rsid w:val="00A44C29"/>
    <w:rsid w:val="00A4549F"/>
    <w:rsid w:val="00A45B9B"/>
    <w:rsid w:val="00A45C93"/>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396"/>
    <w:rsid w:val="00A656FA"/>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694D"/>
    <w:rsid w:val="00A775B8"/>
    <w:rsid w:val="00A8056E"/>
    <w:rsid w:val="00A81061"/>
    <w:rsid w:val="00A814BC"/>
    <w:rsid w:val="00A82053"/>
    <w:rsid w:val="00A822BB"/>
    <w:rsid w:val="00A82D58"/>
    <w:rsid w:val="00A830E3"/>
    <w:rsid w:val="00A8399D"/>
    <w:rsid w:val="00A83E3D"/>
    <w:rsid w:val="00A8443A"/>
    <w:rsid w:val="00A84750"/>
    <w:rsid w:val="00A8479C"/>
    <w:rsid w:val="00A852C8"/>
    <w:rsid w:val="00A854F4"/>
    <w:rsid w:val="00A8557B"/>
    <w:rsid w:val="00A855A6"/>
    <w:rsid w:val="00A858BD"/>
    <w:rsid w:val="00A85A05"/>
    <w:rsid w:val="00A85B5A"/>
    <w:rsid w:val="00A85D99"/>
    <w:rsid w:val="00A86800"/>
    <w:rsid w:val="00A86D63"/>
    <w:rsid w:val="00A87797"/>
    <w:rsid w:val="00A90165"/>
    <w:rsid w:val="00A90953"/>
    <w:rsid w:val="00A90E72"/>
    <w:rsid w:val="00A92286"/>
    <w:rsid w:val="00A922A2"/>
    <w:rsid w:val="00A93050"/>
    <w:rsid w:val="00A931F9"/>
    <w:rsid w:val="00A9327B"/>
    <w:rsid w:val="00A9361B"/>
    <w:rsid w:val="00A93B69"/>
    <w:rsid w:val="00A94335"/>
    <w:rsid w:val="00A94390"/>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6BF4"/>
    <w:rsid w:val="00AA76D0"/>
    <w:rsid w:val="00AA76D4"/>
    <w:rsid w:val="00AA7D6C"/>
    <w:rsid w:val="00AA7DA9"/>
    <w:rsid w:val="00AB00BD"/>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2464"/>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94E"/>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6ED2"/>
    <w:rsid w:val="00AE704D"/>
    <w:rsid w:val="00AE7864"/>
    <w:rsid w:val="00AE7933"/>
    <w:rsid w:val="00AE7949"/>
    <w:rsid w:val="00AF0B68"/>
    <w:rsid w:val="00AF1C6C"/>
    <w:rsid w:val="00AF1ED5"/>
    <w:rsid w:val="00AF25D5"/>
    <w:rsid w:val="00AF264A"/>
    <w:rsid w:val="00AF26F1"/>
    <w:rsid w:val="00AF2776"/>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4DC8"/>
    <w:rsid w:val="00B057F2"/>
    <w:rsid w:val="00B05FF3"/>
    <w:rsid w:val="00B06010"/>
    <w:rsid w:val="00B061B7"/>
    <w:rsid w:val="00B06458"/>
    <w:rsid w:val="00B065A9"/>
    <w:rsid w:val="00B069D8"/>
    <w:rsid w:val="00B07150"/>
    <w:rsid w:val="00B10558"/>
    <w:rsid w:val="00B1087B"/>
    <w:rsid w:val="00B10A9F"/>
    <w:rsid w:val="00B11EEA"/>
    <w:rsid w:val="00B12EF9"/>
    <w:rsid w:val="00B1300C"/>
    <w:rsid w:val="00B137EF"/>
    <w:rsid w:val="00B13819"/>
    <w:rsid w:val="00B143EF"/>
    <w:rsid w:val="00B14680"/>
    <w:rsid w:val="00B149F1"/>
    <w:rsid w:val="00B14FFE"/>
    <w:rsid w:val="00B150A7"/>
    <w:rsid w:val="00B156A9"/>
    <w:rsid w:val="00B15F83"/>
    <w:rsid w:val="00B15FC2"/>
    <w:rsid w:val="00B160C6"/>
    <w:rsid w:val="00B160FF"/>
    <w:rsid w:val="00B16322"/>
    <w:rsid w:val="00B1662E"/>
    <w:rsid w:val="00B16A6F"/>
    <w:rsid w:val="00B1734E"/>
    <w:rsid w:val="00B176DC"/>
    <w:rsid w:val="00B17FAF"/>
    <w:rsid w:val="00B20016"/>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37DBB"/>
    <w:rsid w:val="00B37F85"/>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505C1"/>
    <w:rsid w:val="00B51130"/>
    <w:rsid w:val="00B5115A"/>
    <w:rsid w:val="00B51542"/>
    <w:rsid w:val="00B51D1D"/>
    <w:rsid w:val="00B51FAC"/>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0AA0"/>
    <w:rsid w:val="00B6186B"/>
    <w:rsid w:val="00B61BE2"/>
    <w:rsid w:val="00B6266F"/>
    <w:rsid w:val="00B62907"/>
    <w:rsid w:val="00B62E0B"/>
    <w:rsid w:val="00B63430"/>
    <w:rsid w:val="00B63C32"/>
    <w:rsid w:val="00B64434"/>
    <w:rsid w:val="00B64F25"/>
    <w:rsid w:val="00B654BD"/>
    <w:rsid w:val="00B6569F"/>
    <w:rsid w:val="00B657E1"/>
    <w:rsid w:val="00B659C5"/>
    <w:rsid w:val="00B66489"/>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4E1"/>
    <w:rsid w:val="00B745C9"/>
    <w:rsid w:val="00B746C6"/>
    <w:rsid w:val="00B74B5B"/>
    <w:rsid w:val="00B74D9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4"/>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F02"/>
    <w:rsid w:val="00B963AE"/>
    <w:rsid w:val="00B965C1"/>
    <w:rsid w:val="00B96BEF"/>
    <w:rsid w:val="00B96D20"/>
    <w:rsid w:val="00B96FB1"/>
    <w:rsid w:val="00B96FC0"/>
    <w:rsid w:val="00B970B3"/>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69D"/>
    <w:rsid w:val="00BB2CF0"/>
    <w:rsid w:val="00BB2FD3"/>
    <w:rsid w:val="00BB2FDF"/>
    <w:rsid w:val="00BB2FFF"/>
    <w:rsid w:val="00BB3AB8"/>
    <w:rsid w:val="00BB3BB3"/>
    <w:rsid w:val="00BB3FC9"/>
    <w:rsid w:val="00BB4196"/>
    <w:rsid w:val="00BB4C9B"/>
    <w:rsid w:val="00BB5FCB"/>
    <w:rsid w:val="00BB604B"/>
    <w:rsid w:val="00BB655A"/>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8EF"/>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030A"/>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4DB6"/>
    <w:rsid w:val="00C0502D"/>
    <w:rsid w:val="00C05356"/>
    <w:rsid w:val="00C053EA"/>
    <w:rsid w:val="00C05434"/>
    <w:rsid w:val="00C05542"/>
    <w:rsid w:val="00C05AD9"/>
    <w:rsid w:val="00C05BEC"/>
    <w:rsid w:val="00C05C2D"/>
    <w:rsid w:val="00C06E7D"/>
    <w:rsid w:val="00C074DC"/>
    <w:rsid w:val="00C07738"/>
    <w:rsid w:val="00C100DB"/>
    <w:rsid w:val="00C102A2"/>
    <w:rsid w:val="00C10561"/>
    <w:rsid w:val="00C10594"/>
    <w:rsid w:val="00C106DD"/>
    <w:rsid w:val="00C10C62"/>
    <w:rsid w:val="00C1112B"/>
    <w:rsid w:val="00C11835"/>
    <w:rsid w:val="00C11881"/>
    <w:rsid w:val="00C11933"/>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384"/>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60A"/>
    <w:rsid w:val="00C46B15"/>
    <w:rsid w:val="00C46CCE"/>
    <w:rsid w:val="00C46F7D"/>
    <w:rsid w:val="00C477C0"/>
    <w:rsid w:val="00C477E4"/>
    <w:rsid w:val="00C479B5"/>
    <w:rsid w:val="00C50242"/>
    <w:rsid w:val="00C5034D"/>
    <w:rsid w:val="00C5050E"/>
    <w:rsid w:val="00C50A27"/>
    <w:rsid w:val="00C50D4B"/>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67EE"/>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96"/>
    <w:rsid w:val="00C70B31"/>
    <w:rsid w:val="00C70DD9"/>
    <w:rsid w:val="00C70DFF"/>
    <w:rsid w:val="00C71805"/>
    <w:rsid w:val="00C72D64"/>
    <w:rsid w:val="00C73512"/>
    <w:rsid w:val="00C745E6"/>
    <w:rsid w:val="00C74FEE"/>
    <w:rsid w:val="00C7542E"/>
    <w:rsid w:val="00C75A6B"/>
    <w:rsid w:val="00C75BF7"/>
    <w:rsid w:val="00C76344"/>
    <w:rsid w:val="00C763B6"/>
    <w:rsid w:val="00C7644F"/>
    <w:rsid w:val="00C768F6"/>
    <w:rsid w:val="00C76FF3"/>
    <w:rsid w:val="00C80073"/>
    <w:rsid w:val="00C805E7"/>
    <w:rsid w:val="00C8077D"/>
    <w:rsid w:val="00C80DEA"/>
    <w:rsid w:val="00C80ED7"/>
    <w:rsid w:val="00C81664"/>
    <w:rsid w:val="00C8191B"/>
    <w:rsid w:val="00C82697"/>
    <w:rsid w:val="00C82EAA"/>
    <w:rsid w:val="00C832DC"/>
    <w:rsid w:val="00C8377F"/>
    <w:rsid w:val="00C83D54"/>
    <w:rsid w:val="00C84744"/>
    <w:rsid w:val="00C84D02"/>
    <w:rsid w:val="00C852A9"/>
    <w:rsid w:val="00C85509"/>
    <w:rsid w:val="00C856D3"/>
    <w:rsid w:val="00C862A9"/>
    <w:rsid w:val="00C8646D"/>
    <w:rsid w:val="00C864DD"/>
    <w:rsid w:val="00C875D5"/>
    <w:rsid w:val="00C876BC"/>
    <w:rsid w:val="00C8788D"/>
    <w:rsid w:val="00C90A87"/>
    <w:rsid w:val="00C912BE"/>
    <w:rsid w:val="00C91DE3"/>
    <w:rsid w:val="00C92C7F"/>
    <w:rsid w:val="00C9369D"/>
    <w:rsid w:val="00C9383D"/>
    <w:rsid w:val="00C944FA"/>
    <w:rsid w:val="00C9465C"/>
    <w:rsid w:val="00C95854"/>
    <w:rsid w:val="00C959FD"/>
    <w:rsid w:val="00C95D24"/>
    <w:rsid w:val="00C95EFF"/>
    <w:rsid w:val="00C96AE7"/>
    <w:rsid w:val="00C96E6F"/>
    <w:rsid w:val="00C9741B"/>
    <w:rsid w:val="00C97872"/>
    <w:rsid w:val="00CA0532"/>
    <w:rsid w:val="00CA0B4C"/>
    <w:rsid w:val="00CA1710"/>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A7D15"/>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AD1"/>
    <w:rsid w:val="00CC1D13"/>
    <w:rsid w:val="00CC1FAE"/>
    <w:rsid w:val="00CC3433"/>
    <w:rsid w:val="00CC3A23"/>
    <w:rsid w:val="00CC3BD5"/>
    <w:rsid w:val="00CC3CD6"/>
    <w:rsid w:val="00CC41DC"/>
    <w:rsid w:val="00CC426A"/>
    <w:rsid w:val="00CC4AF6"/>
    <w:rsid w:val="00CC4B6E"/>
    <w:rsid w:val="00CC5080"/>
    <w:rsid w:val="00CC50D9"/>
    <w:rsid w:val="00CC59B4"/>
    <w:rsid w:val="00CC5A84"/>
    <w:rsid w:val="00CC67DB"/>
    <w:rsid w:val="00CC70D9"/>
    <w:rsid w:val="00CC737C"/>
    <w:rsid w:val="00CC737E"/>
    <w:rsid w:val="00CC7716"/>
    <w:rsid w:val="00CC7ACD"/>
    <w:rsid w:val="00CD0643"/>
    <w:rsid w:val="00CD087D"/>
    <w:rsid w:val="00CD0F5D"/>
    <w:rsid w:val="00CD1C0B"/>
    <w:rsid w:val="00CD239A"/>
    <w:rsid w:val="00CD2430"/>
    <w:rsid w:val="00CD3EF2"/>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0744"/>
    <w:rsid w:val="00CE1B41"/>
    <w:rsid w:val="00CE1FC5"/>
    <w:rsid w:val="00CE3F4F"/>
    <w:rsid w:val="00CE46E5"/>
    <w:rsid w:val="00CE485A"/>
    <w:rsid w:val="00CE4A4A"/>
    <w:rsid w:val="00CE4CF1"/>
    <w:rsid w:val="00CE5279"/>
    <w:rsid w:val="00CE5496"/>
    <w:rsid w:val="00CE5528"/>
    <w:rsid w:val="00CE5A78"/>
    <w:rsid w:val="00CE5F6A"/>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2C13"/>
    <w:rsid w:val="00D030A7"/>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3EDD"/>
    <w:rsid w:val="00D1415C"/>
    <w:rsid w:val="00D1418A"/>
    <w:rsid w:val="00D14236"/>
    <w:rsid w:val="00D14553"/>
    <w:rsid w:val="00D147A4"/>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443"/>
    <w:rsid w:val="00D256F8"/>
    <w:rsid w:val="00D259EB"/>
    <w:rsid w:val="00D25AA0"/>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424"/>
    <w:rsid w:val="00D5362B"/>
    <w:rsid w:val="00D547F8"/>
    <w:rsid w:val="00D547FE"/>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2D"/>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09B"/>
    <w:rsid w:val="00DA615D"/>
    <w:rsid w:val="00DA6598"/>
    <w:rsid w:val="00DA65D7"/>
    <w:rsid w:val="00DA6C0F"/>
    <w:rsid w:val="00DA702F"/>
    <w:rsid w:val="00DA7F8A"/>
    <w:rsid w:val="00DB0176"/>
    <w:rsid w:val="00DB0404"/>
    <w:rsid w:val="00DB04A1"/>
    <w:rsid w:val="00DB069C"/>
    <w:rsid w:val="00DB08DD"/>
    <w:rsid w:val="00DB0DC9"/>
    <w:rsid w:val="00DB0E59"/>
    <w:rsid w:val="00DB11F8"/>
    <w:rsid w:val="00DB18B4"/>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9A6"/>
    <w:rsid w:val="00DE0443"/>
    <w:rsid w:val="00DE068C"/>
    <w:rsid w:val="00DE069E"/>
    <w:rsid w:val="00DE0E59"/>
    <w:rsid w:val="00DE0F6C"/>
    <w:rsid w:val="00DE12F0"/>
    <w:rsid w:val="00DE1A51"/>
    <w:rsid w:val="00DE1A69"/>
    <w:rsid w:val="00DE1AAE"/>
    <w:rsid w:val="00DE1E50"/>
    <w:rsid w:val="00DE20FB"/>
    <w:rsid w:val="00DE219B"/>
    <w:rsid w:val="00DE3407"/>
    <w:rsid w:val="00DE3979"/>
    <w:rsid w:val="00DE3FE8"/>
    <w:rsid w:val="00DE4C15"/>
    <w:rsid w:val="00DE52E3"/>
    <w:rsid w:val="00DE5FFE"/>
    <w:rsid w:val="00DE628C"/>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E9"/>
    <w:rsid w:val="00E128F2"/>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B64"/>
    <w:rsid w:val="00E36C9D"/>
    <w:rsid w:val="00E37459"/>
    <w:rsid w:val="00E37519"/>
    <w:rsid w:val="00E37DDE"/>
    <w:rsid w:val="00E40949"/>
    <w:rsid w:val="00E40C38"/>
    <w:rsid w:val="00E42428"/>
    <w:rsid w:val="00E42801"/>
    <w:rsid w:val="00E429ED"/>
    <w:rsid w:val="00E42F67"/>
    <w:rsid w:val="00E43F37"/>
    <w:rsid w:val="00E44073"/>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5431"/>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696D"/>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560"/>
    <w:rsid w:val="00E747AA"/>
    <w:rsid w:val="00E74F75"/>
    <w:rsid w:val="00E75174"/>
    <w:rsid w:val="00E753B5"/>
    <w:rsid w:val="00E7576C"/>
    <w:rsid w:val="00E75BF4"/>
    <w:rsid w:val="00E75EBA"/>
    <w:rsid w:val="00E761E9"/>
    <w:rsid w:val="00E763B4"/>
    <w:rsid w:val="00E7651D"/>
    <w:rsid w:val="00E77433"/>
    <w:rsid w:val="00E77530"/>
    <w:rsid w:val="00E77848"/>
    <w:rsid w:val="00E778BC"/>
    <w:rsid w:val="00E779B3"/>
    <w:rsid w:val="00E80355"/>
    <w:rsid w:val="00E804D2"/>
    <w:rsid w:val="00E80514"/>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096"/>
    <w:rsid w:val="00E9259E"/>
    <w:rsid w:val="00E93024"/>
    <w:rsid w:val="00E93177"/>
    <w:rsid w:val="00E94182"/>
    <w:rsid w:val="00E94C2E"/>
    <w:rsid w:val="00E94F7E"/>
    <w:rsid w:val="00E95BA6"/>
    <w:rsid w:val="00E974F8"/>
    <w:rsid w:val="00E97648"/>
    <w:rsid w:val="00EA02D0"/>
    <w:rsid w:val="00EA07E9"/>
    <w:rsid w:val="00EA0E4A"/>
    <w:rsid w:val="00EA1A54"/>
    <w:rsid w:val="00EA2226"/>
    <w:rsid w:val="00EA2483"/>
    <w:rsid w:val="00EA26FC"/>
    <w:rsid w:val="00EA2948"/>
    <w:rsid w:val="00EA2CD9"/>
    <w:rsid w:val="00EA375D"/>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989"/>
    <w:rsid w:val="00EB2A69"/>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20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4A"/>
    <w:rsid w:val="00ED6FAD"/>
    <w:rsid w:val="00ED71C5"/>
    <w:rsid w:val="00EE16FA"/>
    <w:rsid w:val="00EE18B9"/>
    <w:rsid w:val="00EE18CD"/>
    <w:rsid w:val="00EE1F07"/>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D6A"/>
    <w:rsid w:val="00F133A1"/>
    <w:rsid w:val="00F135EE"/>
    <w:rsid w:val="00F13ECD"/>
    <w:rsid w:val="00F14D13"/>
    <w:rsid w:val="00F155CE"/>
    <w:rsid w:val="00F159EC"/>
    <w:rsid w:val="00F16702"/>
    <w:rsid w:val="00F16750"/>
    <w:rsid w:val="00F16BF2"/>
    <w:rsid w:val="00F16F41"/>
    <w:rsid w:val="00F17EAE"/>
    <w:rsid w:val="00F17F6E"/>
    <w:rsid w:val="00F20CF3"/>
    <w:rsid w:val="00F2117B"/>
    <w:rsid w:val="00F211E4"/>
    <w:rsid w:val="00F211FD"/>
    <w:rsid w:val="00F2135D"/>
    <w:rsid w:val="00F218D4"/>
    <w:rsid w:val="00F21E9A"/>
    <w:rsid w:val="00F2250A"/>
    <w:rsid w:val="00F22738"/>
    <w:rsid w:val="00F227EA"/>
    <w:rsid w:val="00F22840"/>
    <w:rsid w:val="00F230DF"/>
    <w:rsid w:val="00F23DAF"/>
    <w:rsid w:val="00F245A3"/>
    <w:rsid w:val="00F24788"/>
    <w:rsid w:val="00F24DA7"/>
    <w:rsid w:val="00F253C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4C76"/>
    <w:rsid w:val="00F6583C"/>
    <w:rsid w:val="00F6589A"/>
    <w:rsid w:val="00F65D29"/>
    <w:rsid w:val="00F6665C"/>
    <w:rsid w:val="00F66920"/>
    <w:rsid w:val="00F673EE"/>
    <w:rsid w:val="00F676DE"/>
    <w:rsid w:val="00F67701"/>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838"/>
    <w:rsid w:val="00FB1E67"/>
    <w:rsid w:val="00FB1F52"/>
    <w:rsid w:val="00FB2537"/>
    <w:rsid w:val="00FB2963"/>
    <w:rsid w:val="00FB31BD"/>
    <w:rsid w:val="00FB31F0"/>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223F"/>
    <w:rsid w:val="00FC2742"/>
    <w:rsid w:val="00FC2E01"/>
    <w:rsid w:val="00FC3D7A"/>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C7F3B"/>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4DE"/>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805"/>
    <w:rsid w:val="00FE1EAB"/>
    <w:rsid w:val="00FE2300"/>
    <w:rsid w:val="00FE23ED"/>
    <w:rsid w:val="00FE284B"/>
    <w:rsid w:val="00FE28FC"/>
    <w:rsid w:val="00FE2B33"/>
    <w:rsid w:val="00FE3004"/>
    <w:rsid w:val="00FE3465"/>
    <w:rsid w:val="00FE3573"/>
    <w:rsid w:val="00FE35A6"/>
    <w:rsid w:val="00FE3CC4"/>
    <w:rsid w:val="00FE3F5D"/>
    <w:rsid w:val="00FE54E4"/>
    <w:rsid w:val="00FE5E83"/>
    <w:rsid w:val="00FE6727"/>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E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paragraph" w:customStyle="1" w:styleId="B2">
    <w:name w:val="B2"/>
    <w:basedOn w:val="List2"/>
    <w:rsid w:val="00FB31F0"/>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qFormat/>
    <w:rsid w:val="00FB31F0"/>
    <w:rPr>
      <w:lang w:val="en-GB" w:eastAsia="en-US"/>
    </w:rPr>
  </w:style>
  <w:style w:type="paragraph" w:styleId="List2">
    <w:name w:val="List 2"/>
    <w:basedOn w:val="Normal"/>
    <w:semiHidden/>
    <w:unhideWhenUsed/>
    <w:rsid w:val="00FB31F0"/>
    <w:pPr>
      <w:ind w:left="720" w:hanging="360"/>
      <w:contextualSpacing/>
    </w:pPr>
  </w:style>
  <w:style w:type="character" w:styleId="UnresolvedMention">
    <w:name w:val="Unresolved Mention"/>
    <w:basedOn w:val="DefaultParagraphFont"/>
    <w:uiPriority w:val="99"/>
    <w:semiHidden/>
    <w:unhideWhenUsed/>
    <w:rsid w:val="00FC3D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11991135">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226834">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56653252">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https://5gaa.org/wp-content/uploads/2020/10/5GAA_White-Paper_C-V2X-Use-Cases-Volume-II.pdf" TargetMode="External"/><Relationship Id="rId4" Type="http://schemas.openxmlformats.org/officeDocument/2006/relationships/settings" Target="settings.xml"/><Relationship Id="rId9" Type="http://schemas.openxmlformats.org/officeDocument/2006/relationships/hyperlink" Target="https://5gaa.org/news/system-architecture-and-solution-development-high-accuracy-positioning-for-c-v2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3937</Words>
  <Characters>19650</Characters>
  <Application>Microsoft Office Word</Application>
  <DocSecurity>0</DocSecurity>
  <Lines>409</Lines>
  <Paragraphs>243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3</cp:revision>
  <cp:lastPrinted>2007-06-18T23:08:00Z</cp:lastPrinted>
  <dcterms:created xsi:type="dcterms:W3CDTF">2022-04-29T14:50:00Z</dcterms:created>
  <dcterms:modified xsi:type="dcterms:W3CDTF">2022-04-29T17:21:00Z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