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3D456B28"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714D27">
        <w:rPr>
          <w:rFonts w:ascii="Arial" w:hAnsi="Arial" w:cs="Arial"/>
          <w:b/>
          <w:sz w:val="24"/>
          <w:szCs w:val="24"/>
        </w:rPr>
        <w:t>5</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FD6926">
        <w:rPr>
          <w:rFonts w:ascii="Arial" w:hAnsi="Arial" w:cs="Arial"/>
          <w:b/>
          <w:sz w:val="24"/>
          <w:szCs w:val="24"/>
          <w:lang w:eastAsia="ja-JP"/>
        </w:rPr>
        <w:t>0320</w:t>
      </w:r>
    </w:p>
    <w:p w14:paraId="74D3B354" w14:textId="0E583C3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714D27">
        <w:rPr>
          <w:rFonts w:ascii="Arial" w:hAnsi="Arial" w:cs="Arial"/>
          <w:b/>
          <w:sz w:val="24"/>
        </w:rPr>
        <w:t>March 17</w:t>
      </w:r>
      <w:r w:rsidR="00AD51D1">
        <w:rPr>
          <w:rFonts w:ascii="Arial" w:hAnsi="Arial" w:cs="Arial"/>
          <w:b/>
          <w:sz w:val="24"/>
        </w:rPr>
        <w:t>-</w:t>
      </w:r>
      <w:r w:rsidR="00714D27">
        <w:rPr>
          <w:rFonts w:ascii="Arial" w:hAnsi="Arial" w:cs="Arial"/>
          <w:b/>
          <w:sz w:val="24"/>
        </w:rPr>
        <w:t>23</w:t>
      </w:r>
      <w:r w:rsidR="00D17794" w:rsidRPr="001A659D">
        <w:rPr>
          <w:rFonts w:ascii="Arial" w:hAnsi="Arial" w:cs="Arial"/>
          <w:b/>
          <w:sz w:val="24"/>
        </w:rPr>
        <w:t>, 20</w:t>
      </w:r>
      <w:r>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1F7111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FD6926" w:rsidRPr="00BD32F7">
        <w:rPr>
          <w:rFonts w:ascii="Arial" w:hAnsi="Arial" w:cs="Arial"/>
          <w:color w:val="000000" w:themeColor="text1"/>
          <w:lang w:eastAsia="ja-JP"/>
        </w:rPr>
        <w:t>9.3.1.5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color w:val="000000" w:themeColor="text1"/>
              </w:rPr>
              <w:t>Study Item:</w:t>
            </w:r>
            <w:r w:rsidRPr="00BD32F7">
              <w:rPr>
                <w:rFonts w:ascii="Arial" w:hAnsi="Arial" w:cs="Arial" w:hint="eastAsia"/>
                <w:color w:val="000000" w:themeColor="text1"/>
                <w:lang w:eastAsia="ja-JP"/>
              </w:rPr>
              <w:t xml:space="preserve"> </w:t>
            </w:r>
          </w:p>
          <w:p w14:paraId="27D21A4C" w14:textId="0E295B7B"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lang w:eastAsia="ja-JP"/>
              </w:rPr>
              <w:t>No</w:t>
            </w:r>
          </w:p>
        </w:tc>
        <w:tc>
          <w:tcPr>
            <w:tcW w:w="1842" w:type="dxa"/>
          </w:tcPr>
          <w:p w14:paraId="424795E6" w14:textId="77777777"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color w:val="000000" w:themeColor="text1"/>
              </w:rPr>
              <w:t>Core part:</w:t>
            </w:r>
            <w:r w:rsidRPr="00BD32F7">
              <w:rPr>
                <w:rFonts w:ascii="Arial" w:hAnsi="Arial" w:cs="Arial"/>
                <w:color w:val="000000" w:themeColor="text1"/>
                <w:lang w:eastAsia="ja-JP"/>
              </w:rPr>
              <w:t xml:space="preserve"> </w:t>
            </w:r>
          </w:p>
          <w:p w14:paraId="4F4E6C8C" w14:textId="5825E65B"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Yes</w:t>
            </w:r>
          </w:p>
        </w:tc>
        <w:tc>
          <w:tcPr>
            <w:tcW w:w="2309" w:type="dxa"/>
            <w:gridSpan w:val="2"/>
          </w:tcPr>
          <w:p w14:paraId="0EA72874" w14:textId="77777777"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rPr>
              <w:t>Performance part:</w:t>
            </w:r>
          </w:p>
          <w:p w14:paraId="3DC7ABB4" w14:textId="2463A4D2" w:rsidR="00871653" w:rsidRPr="00BD32F7" w:rsidRDefault="00871653" w:rsidP="0036248C">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Yes</w:t>
            </w:r>
          </w:p>
        </w:tc>
        <w:tc>
          <w:tcPr>
            <w:tcW w:w="1653" w:type="dxa"/>
          </w:tcPr>
          <w:p w14:paraId="3012EFC2" w14:textId="77777777"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rPr>
              <w:t>Testing part:</w:t>
            </w:r>
          </w:p>
          <w:p w14:paraId="6184B75F" w14:textId="607F3123" w:rsidR="00871653" w:rsidRPr="00BD32F7" w:rsidRDefault="00871653" w:rsidP="0036248C">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EC7682F" w:rsidR="0036248C" w:rsidRPr="008836AC" w:rsidRDefault="00FD6926" w:rsidP="008836AC">
            <w:pPr>
              <w:tabs>
                <w:tab w:val="left" w:pos="567"/>
              </w:tabs>
              <w:spacing w:after="0"/>
              <w:rPr>
                <w:rFonts w:ascii="Arial" w:hAnsi="Arial" w:cs="Arial"/>
              </w:rPr>
            </w:pPr>
            <w:r w:rsidRPr="00FD6926">
              <w:rPr>
                <w:rFonts w:ascii="Arial" w:hAnsi="Arial" w:cs="Arial"/>
              </w:rPr>
              <w:t>NR_SL_enh2</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EF54D36" w:rsidR="0036248C" w:rsidRPr="008836AC" w:rsidRDefault="00FD6926" w:rsidP="008836AC">
            <w:pPr>
              <w:tabs>
                <w:tab w:val="left" w:pos="567"/>
              </w:tabs>
              <w:spacing w:after="0"/>
              <w:rPr>
                <w:rFonts w:ascii="Arial" w:hAnsi="Arial" w:cs="Arial"/>
                <w:lang w:eastAsia="ja-JP"/>
              </w:rPr>
            </w:pPr>
            <w:r w:rsidRPr="00FD6926">
              <w:rPr>
                <w:rFonts w:ascii="Arial" w:hAnsi="Arial" w:cs="Arial"/>
                <w:lang w:eastAsia="ja-JP"/>
              </w:rPr>
              <w:t>940097</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5B726F25" w:rsidR="00B6300F" w:rsidRPr="008836AC" w:rsidRDefault="00BD32F7" w:rsidP="008836AC">
            <w:pPr>
              <w:tabs>
                <w:tab w:val="left" w:pos="567"/>
              </w:tabs>
              <w:spacing w:after="0"/>
              <w:rPr>
                <w:rFonts w:ascii="Arial" w:hAnsi="Arial" w:cs="Arial"/>
                <w:lang w:eastAsia="ja-JP"/>
              </w:rPr>
            </w:pPr>
            <w:r w:rsidRPr="00BD32F7">
              <w:rPr>
                <w:rFonts w:ascii="Arial" w:hAnsi="Arial" w:cs="Arial"/>
                <w:lang w:eastAsia="ja-JP"/>
              </w:rPr>
              <w:t>RP-213678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2B5169D9" w:rsidR="00871653" w:rsidRPr="008836AC" w:rsidRDefault="00BD32F7" w:rsidP="008836AC">
            <w:pPr>
              <w:tabs>
                <w:tab w:val="left" w:pos="567"/>
              </w:tabs>
              <w:spacing w:after="0"/>
              <w:rPr>
                <w:rFonts w:ascii="Arial" w:hAnsi="Arial" w:cs="Arial"/>
                <w:lang w:eastAsia="ja-JP"/>
              </w:rPr>
            </w:pPr>
            <w:r w:rsidRPr="00096EF0">
              <w:rPr>
                <w:rFonts w:ascii="Arial" w:hAnsi="Arial" w:cs="Arial"/>
                <w:lang w:eastAsia="ja-JP"/>
              </w:rPr>
              <w:t>mm/</w:t>
            </w:r>
            <w:proofErr w:type="spellStart"/>
            <w:r w:rsidRPr="00096EF0">
              <w:rPr>
                <w:rFonts w:ascii="Arial" w:hAnsi="Arial" w:cs="Arial"/>
                <w:lang w:eastAsia="ja-JP"/>
              </w:rPr>
              <w:t>yyyy</w:t>
            </w:r>
            <w:proofErr w:type="spellEnd"/>
          </w:p>
        </w:tc>
        <w:tc>
          <w:tcPr>
            <w:tcW w:w="1842" w:type="dxa"/>
          </w:tcPr>
          <w:p w14:paraId="5A128F3E" w14:textId="6C92B10D"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BD32F7" w:rsidRPr="00BD32F7">
              <w:rPr>
                <w:rFonts w:ascii="Arial" w:hAnsi="Arial" w:cs="Arial"/>
                <w:color w:val="000000" w:themeColor="text1"/>
                <w:lang w:eastAsia="ja-JP"/>
              </w:rPr>
              <w:t>12</w:t>
            </w:r>
            <w:r w:rsidRPr="00BD32F7">
              <w:rPr>
                <w:rFonts w:ascii="Arial" w:hAnsi="Arial" w:cs="Arial"/>
                <w:color w:val="000000" w:themeColor="text1"/>
                <w:lang w:eastAsia="ja-JP"/>
              </w:rPr>
              <w:t>/</w:t>
            </w:r>
            <w:r w:rsidR="00BD32F7" w:rsidRPr="00BD32F7">
              <w:rPr>
                <w:rFonts w:ascii="Arial" w:hAnsi="Arial" w:cs="Arial"/>
                <w:color w:val="000000" w:themeColor="text1"/>
                <w:lang w:eastAsia="ja-JP"/>
              </w:rPr>
              <w:t>2023</w:t>
            </w:r>
          </w:p>
        </w:tc>
        <w:tc>
          <w:tcPr>
            <w:tcW w:w="2268" w:type="dxa"/>
          </w:tcPr>
          <w:p w14:paraId="150E2BE5" w14:textId="4CEF8BF6"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BD32F7">
              <w:rPr>
                <w:rFonts w:ascii="Arial" w:hAnsi="Arial" w:cs="Arial"/>
                <w:color w:val="000000" w:themeColor="text1"/>
                <w:lang w:eastAsia="ja-JP"/>
              </w:rPr>
              <w:t>06</w:t>
            </w:r>
            <w:r w:rsidR="00BD32F7" w:rsidRPr="00BD32F7">
              <w:rPr>
                <w:rFonts w:ascii="Arial" w:hAnsi="Arial" w:cs="Arial"/>
                <w:color w:val="000000" w:themeColor="text1"/>
                <w:lang w:eastAsia="ja-JP"/>
              </w:rPr>
              <w:t>/202</w:t>
            </w:r>
            <w:r w:rsidR="00BD32F7">
              <w:rPr>
                <w:rFonts w:ascii="Arial" w:hAnsi="Arial" w:cs="Arial"/>
                <w:color w:val="000000" w:themeColor="text1"/>
                <w:lang w:eastAsia="ja-JP"/>
              </w:rPr>
              <w:t>4</w:t>
            </w:r>
          </w:p>
        </w:tc>
        <w:tc>
          <w:tcPr>
            <w:tcW w:w="1694" w:type="dxa"/>
            <w:gridSpan w:val="2"/>
          </w:tcPr>
          <w:p w14:paraId="5BB6B905" w14:textId="76989994"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D32F7" w:rsidRPr="00096EF0">
              <w:rPr>
                <w:rFonts w:ascii="Arial" w:hAnsi="Arial" w:cs="Arial"/>
                <w:lang w:eastAsia="ja-JP"/>
              </w:rPr>
              <w:t>mm/</w:t>
            </w:r>
            <w:proofErr w:type="spellStart"/>
            <w:r w:rsidR="00BD32F7" w:rsidRPr="00096EF0">
              <w:rPr>
                <w:rFonts w:ascii="Arial" w:hAnsi="Arial" w:cs="Arial"/>
                <w:lang w:eastAsia="ja-JP"/>
              </w:rPr>
              <w:t>yyyy</w:t>
            </w:r>
            <w:proofErr w:type="spellEnd"/>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1B26E389" w:rsidR="00871653" w:rsidRPr="008836AC" w:rsidRDefault="006E11F1" w:rsidP="008836AC">
            <w:pPr>
              <w:tabs>
                <w:tab w:val="left" w:pos="567"/>
              </w:tabs>
              <w:spacing w:after="0"/>
              <w:rPr>
                <w:rFonts w:ascii="Arial" w:hAnsi="Arial" w:cs="Arial"/>
                <w:lang w:eastAsia="ja-JP"/>
              </w:rPr>
            </w:pPr>
            <w:r w:rsidRPr="00B03373">
              <w:rPr>
                <w:rFonts w:ascii="Arial" w:hAnsi="Arial" w:cs="Arial" w:hint="eastAsia"/>
                <w:color w:val="000000" w:themeColor="text1"/>
                <w:lang w:eastAsia="ja-JP"/>
              </w:rPr>
              <w:t>xx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68677DE8" w:rsidR="00871653" w:rsidRPr="008836AC" w:rsidRDefault="00FD6926" w:rsidP="008836AC">
            <w:pPr>
              <w:tabs>
                <w:tab w:val="left" w:pos="567"/>
              </w:tabs>
              <w:spacing w:after="0"/>
              <w:rPr>
                <w:rFonts w:ascii="Arial" w:hAnsi="Arial" w:cs="Arial"/>
                <w:lang w:eastAsia="ja-JP"/>
              </w:rPr>
            </w:pPr>
            <w:r w:rsidRPr="00FD6926">
              <w:rPr>
                <w:rFonts w:ascii="Arial" w:hAnsi="Arial" w:cs="Arial"/>
                <w:color w:val="00B050"/>
                <w:lang w:eastAsia="ja-JP"/>
              </w:rPr>
              <w:t>0</w:t>
            </w:r>
            <w:r w:rsidR="00871653" w:rsidRPr="00FD6926">
              <w:rPr>
                <w:rFonts w:ascii="Arial" w:hAnsi="Arial" w:cs="Arial"/>
                <w:color w:val="00B050"/>
                <w:lang w:eastAsia="ja-JP"/>
              </w:rPr>
              <w:t>%</w:t>
            </w:r>
          </w:p>
        </w:tc>
        <w:tc>
          <w:tcPr>
            <w:tcW w:w="2268" w:type="dxa"/>
          </w:tcPr>
          <w:p w14:paraId="1A0D2851" w14:textId="77777777" w:rsidR="00FD6926"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338F4314" w:rsidR="00871653" w:rsidRPr="008836AC" w:rsidRDefault="00FD6926" w:rsidP="008836AC">
            <w:pPr>
              <w:tabs>
                <w:tab w:val="left" w:pos="567"/>
              </w:tabs>
              <w:spacing w:after="0"/>
              <w:rPr>
                <w:rFonts w:ascii="Arial" w:hAnsi="Arial" w:cs="Arial"/>
                <w:lang w:eastAsia="ja-JP"/>
              </w:rPr>
            </w:pPr>
            <w:r w:rsidRPr="00FD6926">
              <w:rPr>
                <w:rFonts w:ascii="Arial" w:hAnsi="Arial" w:cs="Arial"/>
                <w:color w:val="00B050"/>
                <w:lang w:eastAsia="ja-JP"/>
              </w:rPr>
              <w:t>0</w:t>
            </w:r>
            <w:r w:rsidR="00871653" w:rsidRPr="00FD6926">
              <w:rPr>
                <w:rFonts w:ascii="Arial" w:hAnsi="Arial" w:cs="Arial"/>
                <w:color w:val="00B050"/>
                <w:lang w:eastAsia="ja-JP"/>
              </w:rPr>
              <w:t>%</w:t>
            </w:r>
          </w:p>
        </w:tc>
        <w:tc>
          <w:tcPr>
            <w:tcW w:w="1694" w:type="dxa"/>
            <w:gridSpan w:val="2"/>
          </w:tcPr>
          <w:p w14:paraId="70DECF59" w14:textId="15819AA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r w:rsidR="006E11F1" w:rsidRPr="00B03373">
              <w:rPr>
                <w:rFonts w:ascii="Arial" w:hAnsi="Arial" w:cs="Arial" w:hint="eastAsia"/>
                <w:color w:val="000000" w:themeColor="text1"/>
                <w:lang w:eastAsia="ja-JP"/>
              </w:rPr>
              <w:t xml:space="preserve"> </w:t>
            </w:r>
            <w:r w:rsidR="006E11F1" w:rsidRPr="00B03373">
              <w:rPr>
                <w:rFonts w:ascii="Arial" w:hAnsi="Arial" w:cs="Arial" w:hint="eastAsia"/>
                <w:color w:val="000000" w:themeColor="text1"/>
                <w:lang w:eastAsia="ja-JP"/>
              </w:rPr>
              <w:t>xx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24B723CE" w:rsidR="00EF4800" w:rsidRPr="008836AC" w:rsidRDefault="00FD6926" w:rsidP="001A248F">
            <w:pPr>
              <w:tabs>
                <w:tab w:val="left" w:pos="567"/>
              </w:tabs>
              <w:spacing w:after="0"/>
              <w:rPr>
                <w:rFonts w:ascii="Arial" w:hAnsi="Arial" w:cs="Arial"/>
                <w:color w:val="FF0000"/>
              </w:rPr>
            </w:pPr>
            <w:r w:rsidRPr="00FD6926">
              <w:rPr>
                <w:rFonts w:ascii="Arial" w:hAnsi="Arial" w:cs="Arial"/>
                <w:color w:val="000000" w:themeColor="text1"/>
              </w:rPr>
              <w:t>RAN1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07B92BA9" w:rsidR="006C4E32" w:rsidRPr="008836AC" w:rsidRDefault="00FD6926" w:rsidP="0036248C">
            <w:pPr>
              <w:tabs>
                <w:tab w:val="left" w:pos="567"/>
              </w:tabs>
              <w:spacing w:after="0"/>
              <w:rPr>
                <w:rFonts w:ascii="Arial" w:hAnsi="Arial" w:cs="Arial"/>
                <w:lang w:eastAsia="ja-JP"/>
              </w:rPr>
            </w:pPr>
            <w:r>
              <w:rPr>
                <w:rFonts w:ascii="Arial" w:hAnsi="Arial" w:cs="Arial"/>
                <w:lang w:eastAsia="ja-JP"/>
              </w:rPr>
              <w:t>Kevin Lin</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8413C63" w:rsidR="006C4E32" w:rsidRPr="008836AC" w:rsidRDefault="00FD6926" w:rsidP="001A248F">
            <w:pPr>
              <w:tabs>
                <w:tab w:val="left" w:pos="567"/>
              </w:tabs>
              <w:spacing w:after="0"/>
              <w:rPr>
                <w:rFonts w:ascii="Arial" w:hAnsi="Arial" w:cs="Arial"/>
                <w:lang w:eastAsia="ja-JP"/>
              </w:rPr>
            </w:pPr>
            <w:r>
              <w:rPr>
                <w:rFonts w:ascii="Arial" w:hAnsi="Arial" w:cs="Arial"/>
                <w:lang w:eastAsia="ja-JP"/>
              </w:rPr>
              <w:t>OPPO</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673641DD" w:rsidR="006C4E32" w:rsidRPr="008836AC" w:rsidRDefault="00FD6926" w:rsidP="001A248F">
            <w:pPr>
              <w:tabs>
                <w:tab w:val="left" w:pos="567"/>
              </w:tabs>
              <w:spacing w:after="0"/>
              <w:rPr>
                <w:rFonts w:ascii="Arial" w:hAnsi="Arial" w:cs="Arial"/>
              </w:rPr>
            </w:pPr>
            <w:r>
              <w:rPr>
                <w:rFonts w:ascii="Arial" w:hAnsi="Arial" w:cs="Arial"/>
              </w:rPr>
              <w:t>Kevin.Lin@oppo.com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27460746" w:rsidR="00D22398" w:rsidRPr="008836AC" w:rsidRDefault="00C21339" w:rsidP="00C4666A">
            <w:pPr>
              <w:pStyle w:val="TAL"/>
              <w:jc w:val="center"/>
              <w:rPr>
                <w:color w:val="FF0000"/>
                <w:lang w:eastAsia="ja-JP"/>
              </w:rPr>
            </w:pPr>
            <w:r w:rsidRPr="00FD6926">
              <w:rPr>
                <w:color w:val="000000" w:themeColor="text1"/>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5840400F" w14:textId="61AFC1C2" w:rsidR="003A4B47" w:rsidRDefault="00701410" w:rsidP="00701410">
      <w:pPr>
        <w:pStyle w:val="Heading4"/>
        <w:rPr>
          <w:lang w:eastAsia="ja-JP"/>
        </w:rPr>
      </w:pPr>
      <w:r>
        <w:rPr>
          <w:lang w:eastAsia="ja-JP"/>
        </w:rPr>
        <w:t>2.1.2</w:t>
      </w:r>
      <w:r>
        <w:rPr>
          <w:lang w:eastAsia="ja-JP"/>
        </w:rPr>
        <w:tab/>
        <w:t>Remaining Open issues</w:t>
      </w:r>
    </w:p>
    <w:p w14:paraId="353CD0F8" w14:textId="49E99D9F" w:rsidR="006E11F1" w:rsidRPr="00813B74" w:rsidRDefault="006E11F1" w:rsidP="006E11F1">
      <w:pPr>
        <w:pStyle w:val="ListParagraph"/>
        <w:numPr>
          <w:ilvl w:val="0"/>
          <w:numId w:val="19"/>
        </w:numPr>
        <w:ind w:leftChars="0"/>
      </w:pPr>
      <w:r w:rsidRPr="00420B53">
        <w:rPr>
          <w:rFonts w:ascii="Times" w:hAnsi="Times" w:cs="Times"/>
        </w:rPr>
        <w:t xml:space="preserve">Study </w:t>
      </w:r>
      <w:r>
        <w:rPr>
          <w:rFonts w:ascii="Times" w:hAnsi="Times" w:cs="Times"/>
        </w:rPr>
        <w:t>and specify</w:t>
      </w:r>
      <w:r w:rsidRPr="00420B53">
        <w:rPr>
          <w:rFonts w:ascii="Times" w:hAnsi="Times" w:cs="Times"/>
        </w:rPr>
        <w:t xml:space="preserve"> support of sidelink on unlicensed spectrum for both mode 1 and mode 2 where Uu operation for mode 1 is limited to licensed spectrum only</w:t>
      </w:r>
    </w:p>
    <w:p w14:paraId="2250C30A" w14:textId="33EB8227" w:rsidR="00813B74" w:rsidRPr="00813B74" w:rsidRDefault="00813B74" w:rsidP="006E11F1">
      <w:pPr>
        <w:pStyle w:val="ListParagraph"/>
        <w:numPr>
          <w:ilvl w:val="0"/>
          <w:numId w:val="19"/>
        </w:numPr>
        <w:ind w:leftChars="0"/>
      </w:pPr>
      <w:bookmarkStart w:id="0" w:name="_Hlk89917254"/>
      <w:r w:rsidRPr="00420B53">
        <w:rPr>
          <w:rFonts w:ascii="Times" w:hAnsi="Times" w:cs="Times"/>
          <w:iCs/>
        </w:rPr>
        <w:t xml:space="preserve">Study </w:t>
      </w:r>
      <w:r>
        <w:rPr>
          <w:rFonts w:ascii="Times" w:hAnsi="Times" w:cs="Times"/>
          <w:iCs/>
        </w:rPr>
        <w:t xml:space="preserve">and specify </w:t>
      </w:r>
      <w:r w:rsidRPr="00420B53">
        <w:rPr>
          <w:rFonts w:ascii="Times" w:hAnsi="Times" w:cs="Times"/>
          <w:iCs/>
        </w:rPr>
        <w:t>enhanced sidelink operation on FR2 licensed spectrum</w:t>
      </w:r>
      <w:bookmarkEnd w:id="0"/>
      <w:r>
        <w:rPr>
          <w:rFonts w:ascii="Times" w:hAnsi="Times" w:cs="Times"/>
          <w:iCs/>
        </w:rPr>
        <w:t xml:space="preserve"> (This part of the work is put on hold until further checking in RAN#97)</w:t>
      </w:r>
    </w:p>
    <w:p w14:paraId="735FDBB4" w14:textId="3F7C811A" w:rsidR="00813B74" w:rsidRPr="006E11F1" w:rsidRDefault="00813B74" w:rsidP="006E11F1">
      <w:pPr>
        <w:pStyle w:val="ListParagraph"/>
        <w:numPr>
          <w:ilvl w:val="0"/>
          <w:numId w:val="19"/>
        </w:numPr>
        <w:ind w:leftChars="0"/>
      </w:pPr>
      <w:r w:rsidRPr="006D68C5">
        <w:rPr>
          <w:rFonts w:ascii="Times" w:hAnsi="Times" w:cs="Times"/>
        </w:rPr>
        <w:t xml:space="preserve">Study </w:t>
      </w:r>
      <w:r>
        <w:rPr>
          <w:rFonts w:ascii="Times" w:hAnsi="Times" w:cs="Times"/>
        </w:rPr>
        <w:t xml:space="preserve">and specify, if necessary, </w:t>
      </w:r>
      <w:r w:rsidRPr="006D68C5">
        <w:rPr>
          <w:rFonts w:ascii="Times" w:hAnsi="Times" w:cs="Times"/>
        </w:rPr>
        <w:t xml:space="preserve">mechanism(s) </w:t>
      </w:r>
      <w:r>
        <w:rPr>
          <w:rFonts w:ascii="Times" w:hAnsi="Times" w:cs="Times"/>
        </w:rPr>
        <w:t>for</w:t>
      </w:r>
      <w:r w:rsidRPr="006D68C5">
        <w:rPr>
          <w:rFonts w:ascii="Times" w:hAnsi="Times" w:cs="Times"/>
        </w:rPr>
        <w:t xml:space="preserve"> co-channel coexistence for LTE sidelink and NR sidelink including performance, necessity, feasibility, and potential specification impact if any</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6918283D" w14:textId="549A118C" w:rsidR="00C21339" w:rsidRDefault="00701410" w:rsidP="00A86AB5">
      <w:pPr>
        <w:pStyle w:val="Heading4"/>
        <w:rPr>
          <w:lang w:eastAsia="ja-JP"/>
        </w:rPr>
      </w:pPr>
      <w:r>
        <w:rPr>
          <w:lang w:eastAsia="ja-JP"/>
        </w:rPr>
        <w:t>2.2.2</w:t>
      </w:r>
      <w:r>
        <w:rPr>
          <w:lang w:eastAsia="ja-JP"/>
        </w:rPr>
        <w:tab/>
        <w:t>Remaining Open issues</w:t>
      </w:r>
    </w:p>
    <w:p w14:paraId="359FFA5B" w14:textId="66C260F6" w:rsidR="006E11F1" w:rsidRPr="006E11F1" w:rsidRDefault="006E11F1" w:rsidP="006E11F1">
      <w:pPr>
        <w:pStyle w:val="ListParagraph"/>
        <w:numPr>
          <w:ilvl w:val="0"/>
          <w:numId w:val="19"/>
        </w:numPr>
        <w:ind w:leftChars="0"/>
      </w:pPr>
      <w:r>
        <w:rPr>
          <w:rFonts w:ascii="Times" w:hAnsi="Times" w:cs="Times"/>
        </w:rPr>
        <w:t>M</w:t>
      </w:r>
      <w:r w:rsidRPr="006E11F1">
        <w:rPr>
          <w:rFonts w:ascii="Times" w:hAnsi="Times" w:cs="Times"/>
        </w:rPr>
        <w:t>echanism to support NR sidelink CA operation based on LTE sidelink CA operation (This part of the work is put on hold until further checking in RAN#97)</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37D259DA" w14:textId="20DBAC88" w:rsidR="00701410" w:rsidRDefault="00701410" w:rsidP="00701410">
      <w:pPr>
        <w:pStyle w:val="Heading4"/>
        <w:rPr>
          <w:lang w:eastAsia="ja-JP"/>
        </w:rPr>
      </w:pPr>
      <w:r>
        <w:rPr>
          <w:lang w:eastAsia="ja-JP"/>
        </w:rPr>
        <w:t>2.4.2</w:t>
      </w:r>
      <w:r>
        <w:rPr>
          <w:lang w:eastAsia="ja-JP"/>
        </w:rPr>
        <w:tab/>
        <w:t>Remaining Open issues</w:t>
      </w:r>
    </w:p>
    <w:p w14:paraId="2676900F" w14:textId="6A9BAC56" w:rsidR="00813B74" w:rsidRPr="00813B74" w:rsidRDefault="00813B74" w:rsidP="00813B74">
      <w:pPr>
        <w:pStyle w:val="ListParagraph"/>
        <w:numPr>
          <w:ilvl w:val="0"/>
          <w:numId w:val="19"/>
        </w:numPr>
        <w:ind w:leftChars="0"/>
      </w:pPr>
      <w:r>
        <w:rPr>
          <w:rFonts w:ascii="Times" w:hAnsi="Times" w:cs="Times"/>
          <w:iCs/>
          <w:lang w:eastAsia="ko-KR"/>
        </w:rPr>
        <w:t>UE Tx and Rx RF requirement for s</w:t>
      </w:r>
      <w:r w:rsidRPr="00450B0D">
        <w:rPr>
          <w:rFonts w:ascii="Times" w:hAnsi="Times" w:cs="Times"/>
          <w:iCs/>
          <w:lang w:eastAsia="ko-KR"/>
        </w:rPr>
        <w:t>upport</w:t>
      </w:r>
      <w:r>
        <w:rPr>
          <w:rFonts w:ascii="Times" w:hAnsi="Times" w:cs="Times"/>
          <w:iCs/>
          <w:lang w:eastAsia="ko-KR"/>
        </w:rPr>
        <w:t>ing</w:t>
      </w:r>
      <w:r w:rsidRPr="00450B0D">
        <w:rPr>
          <w:rFonts w:ascii="Times" w:hAnsi="Times" w:cs="Times"/>
          <w:iCs/>
          <w:lang w:eastAsia="ko-KR"/>
        </w:rPr>
        <w:t xml:space="preserve"> new </w:t>
      </w:r>
      <w:r>
        <w:rPr>
          <w:rFonts w:ascii="Times" w:hAnsi="Times" w:cs="Times"/>
          <w:iCs/>
          <w:lang w:eastAsia="ko-KR"/>
        </w:rPr>
        <w:t xml:space="preserve">features introduced in this WI, </w:t>
      </w:r>
      <w:r w:rsidRPr="00450B0D">
        <w:rPr>
          <w:rFonts w:ascii="Times" w:hAnsi="Times" w:cs="Times"/>
          <w:iCs/>
          <w:lang w:eastAsia="ko-KR"/>
        </w:rPr>
        <w:t>sidelink frequency bands for single-carrier operation and frequency band combinations for carrier aggregation operation</w:t>
      </w:r>
    </w:p>
    <w:p w14:paraId="712F4990" w14:textId="4ED07C04" w:rsidR="00813B74" w:rsidRPr="00813B74" w:rsidRDefault="00813B74" w:rsidP="00813B74">
      <w:pPr>
        <w:pStyle w:val="ListParagraph"/>
        <w:numPr>
          <w:ilvl w:val="0"/>
          <w:numId w:val="19"/>
        </w:numPr>
        <w:ind w:leftChars="0"/>
      </w:pPr>
      <w:r w:rsidRPr="00450B0D">
        <w:rPr>
          <w:rFonts w:ascii="Times" w:hAnsi="Times" w:cs="Times"/>
          <w:iCs/>
          <w:lang w:eastAsia="ko-KR"/>
        </w:rPr>
        <w:t>UE RRM core requirement for the new features introduced in this WI</w:t>
      </w:r>
    </w:p>
    <w:p w14:paraId="2F327807" w14:textId="12489797" w:rsidR="00813B74" w:rsidRPr="00813B74" w:rsidRDefault="00813B74" w:rsidP="00813B74">
      <w:pPr>
        <w:pStyle w:val="ListParagraph"/>
        <w:numPr>
          <w:ilvl w:val="0"/>
          <w:numId w:val="19"/>
        </w:numPr>
        <w:ind w:leftChars="0"/>
        <w:rPr>
          <w:rFonts w:ascii="Times New Roman" w:hAnsi="Times New Roman"/>
        </w:rPr>
      </w:pPr>
      <w:r w:rsidRPr="00813B74">
        <w:rPr>
          <w:rFonts w:ascii="Times New Roman" w:hAnsi="Times New Roman"/>
        </w:rPr>
        <w:t>UE demodulation performance requirements</w:t>
      </w:r>
    </w:p>
    <w:p w14:paraId="05EC3E05" w14:textId="7E40F800" w:rsidR="00813B74" w:rsidRPr="00813B74" w:rsidRDefault="00813B74" w:rsidP="00813B74">
      <w:pPr>
        <w:pStyle w:val="ListParagraph"/>
        <w:numPr>
          <w:ilvl w:val="0"/>
          <w:numId w:val="19"/>
        </w:numPr>
        <w:ind w:leftChars="0"/>
        <w:rPr>
          <w:rFonts w:ascii="Times New Roman" w:hAnsi="Times New Roman"/>
        </w:rPr>
      </w:pPr>
      <w:r w:rsidRPr="00813B74">
        <w:rPr>
          <w:rFonts w:ascii="Times New Roman" w:hAnsi="Times New Roman"/>
        </w:rPr>
        <w:t>UE RRM performance requirements</w:t>
      </w:r>
    </w:p>
    <w:p w14:paraId="1BCDC2BC" w14:textId="77777777" w:rsidR="00815869" w:rsidRDefault="00815869" w:rsidP="00815869">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F4DFC16" w14:textId="33FE4306"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lastRenderedPageBreak/>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2FB7" w14:textId="77777777" w:rsidR="00952426" w:rsidRDefault="00952426">
      <w:r>
        <w:separator/>
      </w:r>
    </w:p>
  </w:endnote>
  <w:endnote w:type="continuationSeparator" w:id="0">
    <w:p w14:paraId="2430AA92" w14:textId="77777777" w:rsidR="00952426" w:rsidRDefault="0095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8CB2" w14:textId="77777777" w:rsidR="00952426" w:rsidRDefault="00952426">
      <w:r>
        <w:separator/>
      </w:r>
    </w:p>
  </w:footnote>
  <w:footnote w:type="continuationSeparator" w:id="0">
    <w:p w14:paraId="48BBBA89" w14:textId="77777777" w:rsidR="00952426" w:rsidRDefault="0095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75D428A2"/>
    <w:multiLevelType w:val="hybridMultilevel"/>
    <w:tmpl w:val="5B02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6"/>
  </w:num>
  <w:num w:numId="4">
    <w:abstractNumId w:val="13"/>
  </w:num>
  <w:num w:numId="5">
    <w:abstractNumId w:val="6"/>
  </w:num>
  <w:num w:numId="6">
    <w:abstractNumId w:val="17"/>
  </w:num>
  <w:num w:numId="7">
    <w:abstractNumId w:val="1"/>
  </w:num>
  <w:num w:numId="8">
    <w:abstractNumId w:val="5"/>
  </w:num>
  <w:num w:numId="9">
    <w:abstractNumId w:val="11"/>
  </w:num>
  <w:num w:numId="10">
    <w:abstractNumId w:val="18"/>
  </w:num>
  <w:num w:numId="11">
    <w:abstractNumId w:val="12"/>
  </w:num>
  <w:num w:numId="12">
    <w:abstractNumId w:val="10"/>
  </w:num>
  <w:num w:numId="13">
    <w:abstractNumId w:val="15"/>
  </w:num>
  <w:num w:numId="14">
    <w:abstractNumId w:val="3"/>
  </w:num>
  <w:num w:numId="15">
    <w:abstractNumId w:val="9"/>
  </w:num>
  <w:num w:numId="16">
    <w:abstractNumId w:val="2"/>
  </w:num>
  <w:num w:numId="17">
    <w:abstractNumId w:val="8"/>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0BAE"/>
    <w:rsid w:val="00116F4B"/>
    <w:rsid w:val="001229F4"/>
    <w:rsid w:val="00137471"/>
    <w:rsid w:val="00150FD3"/>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9567C"/>
    <w:rsid w:val="002C0B82"/>
    <w:rsid w:val="00301B7A"/>
    <w:rsid w:val="00306D59"/>
    <w:rsid w:val="0032503A"/>
    <w:rsid w:val="00325EE1"/>
    <w:rsid w:val="003357C0"/>
    <w:rsid w:val="00344D60"/>
    <w:rsid w:val="00346477"/>
    <w:rsid w:val="00347CB0"/>
    <w:rsid w:val="0036248C"/>
    <w:rsid w:val="003666A8"/>
    <w:rsid w:val="00366D63"/>
    <w:rsid w:val="00367401"/>
    <w:rsid w:val="00375678"/>
    <w:rsid w:val="0039390A"/>
    <w:rsid w:val="00394AB0"/>
    <w:rsid w:val="00396252"/>
    <w:rsid w:val="003A4B47"/>
    <w:rsid w:val="003B24AF"/>
    <w:rsid w:val="003B7182"/>
    <w:rsid w:val="003D5036"/>
    <w:rsid w:val="003D764D"/>
    <w:rsid w:val="003E3A1A"/>
    <w:rsid w:val="003F1B9F"/>
    <w:rsid w:val="0040091C"/>
    <w:rsid w:val="00406D7A"/>
    <w:rsid w:val="004121B8"/>
    <w:rsid w:val="004258BA"/>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11F1"/>
    <w:rsid w:val="006E3F11"/>
    <w:rsid w:val="006E526C"/>
    <w:rsid w:val="00701410"/>
    <w:rsid w:val="007113A1"/>
    <w:rsid w:val="00714D27"/>
    <w:rsid w:val="00721CF6"/>
    <w:rsid w:val="00723E46"/>
    <w:rsid w:val="00733826"/>
    <w:rsid w:val="00766CFB"/>
    <w:rsid w:val="007816FF"/>
    <w:rsid w:val="00783B44"/>
    <w:rsid w:val="00785028"/>
    <w:rsid w:val="007A3A5A"/>
    <w:rsid w:val="007A4370"/>
    <w:rsid w:val="007E1D15"/>
    <w:rsid w:val="007E1DEA"/>
    <w:rsid w:val="007E2202"/>
    <w:rsid w:val="00813B74"/>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408E"/>
    <w:rsid w:val="009378CA"/>
    <w:rsid w:val="0095025E"/>
    <w:rsid w:val="00952426"/>
    <w:rsid w:val="00955C4C"/>
    <w:rsid w:val="00995338"/>
    <w:rsid w:val="00996777"/>
    <w:rsid w:val="009C0BC7"/>
    <w:rsid w:val="009C6592"/>
    <w:rsid w:val="009E209B"/>
    <w:rsid w:val="009F0747"/>
    <w:rsid w:val="00A03514"/>
    <w:rsid w:val="00A17079"/>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4623"/>
    <w:rsid w:val="00BA494B"/>
    <w:rsid w:val="00BA51EF"/>
    <w:rsid w:val="00BB66D5"/>
    <w:rsid w:val="00BC7E6E"/>
    <w:rsid w:val="00BD32F7"/>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663D3"/>
    <w:rsid w:val="00C74DAF"/>
    <w:rsid w:val="00C80116"/>
    <w:rsid w:val="00C87BFC"/>
    <w:rsid w:val="00CD7EAD"/>
    <w:rsid w:val="00CF5E71"/>
    <w:rsid w:val="00CF7FAC"/>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549A3"/>
    <w:rsid w:val="00F55CBF"/>
    <w:rsid w:val="00F72B10"/>
    <w:rsid w:val="00F77359"/>
    <w:rsid w:val="00F86A73"/>
    <w:rsid w:val="00FA58DA"/>
    <w:rsid w:val="00FC345B"/>
    <w:rsid w:val="00FD4E37"/>
    <w:rsid w:val="00FD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rsid w:val="00714D27"/>
  </w:style>
  <w:style w:type="paragraph" w:customStyle="1" w:styleId="B2">
    <w:name w:val="B2"/>
    <w:basedOn w:val="List2"/>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49</TotalTime>
  <Pages>4</Pages>
  <Words>902</Words>
  <Characters>5145</Characters>
  <Application>Microsoft Office Word</Application>
  <DocSecurity>0</DocSecurity>
  <Lines>42</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6035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Kevin Lin</cp:lastModifiedBy>
  <cp:revision>18</cp:revision>
  <dcterms:created xsi:type="dcterms:W3CDTF">2018-11-20T14:54:00Z</dcterms:created>
  <dcterms:modified xsi:type="dcterms:W3CDTF">2022-03-09T15:20:00Z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