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r>
              <w:rPr>
                <w:rFonts w:eastAsia="SimSun" w:hint="eastAsia"/>
                <w:lang w:val="en-US" w:eastAsia="zh-CN"/>
              </w:rPr>
              <w:t>Youjun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r>
              <w:rPr>
                <w:rFonts w:eastAsiaTheme="minorEastAsia"/>
                <w:lang w:val="en-US" w:eastAsia="zh-CN"/>
              </w:rPr>
              <w:t>Lijie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ZTE, Sanechips</w:t>
            </w:r>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Option2 with removing the subbullet.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To make Option2 more clear,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3DDA555" w14:textId="77777777" w:rsidR="008A72DB" w:rsidRDefault="00B07C9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r>
              <w:rPr>
                <w:rFonts w:eastAsia="Yu Mincho"/>
                <w:lang w:val="en-US" w:eastAsia="ja-JP"/>
              </w:rPr>
              <w:t>Opt 1</w:t>
            </w:r>
          </w:p>
        </w:tc>
        <w:tc>
          <w:tcPr>
            <w:tcW w:w="1276" w:type="dxa"/>
          </w:tcPr>
          <w:p w14:paraId="1F56AE3E" w14:textId="77777777" w:rsidR="008A72DB" w:rsidRDefault="00B07C97">
            <w:pPr>
              <w:tabs>
                <w:tab w:val="left" w:pos="551"/>
              </w:tabs>
              <w:rPr>
                <w:rFonts w:eastAsiaTheme="minorEastAsia"/>
                <w:lang w:val="en-US" w:eastAsia="zh-CN"/>
              </w:rPr>
            </w:pPr>
            <w:r>
              <w:rPr>
                <w:rFonts w:eastAsia="Yu Mincho"/>
                <w:lang w:val="en-US" w:eastAsia="ja-JP"/>
              </w:rPr>
              <w:t>Opt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r>
              <w:rPr>
                <w:rFonts w:eastAsiaTheme="minorEastAsia"/>
                <w:lang w:val="en-US" w:eastAsia="zh-CN"/>
              </w:rPr>
              <w:t xml:space="preserve">Vivo’s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13844EC6" w14:textId="77777777" w:rsidR="008A72DB" w:rsidRDefault="00B07C97">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is  mandated to configure separate iDL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ZTE, Sanechips</w:t>
            </w:r>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Based on above (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In case of TDD, a BWP-pair (UL BWP and DL BWP with the same bwp-Id)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EC63D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EC63D9">
            <w:pPr>
              <w:tabs>
                <w:tab w:val="left" w:pos="551"/>
              </w:tabs>
              <w:rPr>
                <w:rFonts w:eastAsia="Malgun Gothic"/>
                <w:lang w:val="en-US" w:eastAsia="ko-KR"/>
              </w:rPr>
            </w:pPr>
          </w:p>
        </w:tc>
        <w:tc>
          <w:tcPr>
            <w:tcW w:w="5811" w:type="dxa"/>
          </w:tcPr>
          <w:p w14:paraId="75E97481" w14:textId="3442F870" w:rsidR="007B38DE" w:rsidRDefault="00A1147E" w:rsidP="00EC63D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 xml:space="preserve">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w:t>
      </w:r>
      <w:r>
        <w:rPr>
          <w:lang w:val="en-US"/>
        </w:rPr>
        <w:lastRenderedPageBreak/>
        <w:t>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lastRenderedPageBreak/>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lastRenderedPageBreak/>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ZTE, Sanechips</w:t>
            </w:r>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lastRenderedPageBreak/>
              <w:t>Down-select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lastRenderedPageBreak/>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lastRenderedPageBreak/>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vivo’s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77777777" w:rsidR="008A72DB" w:rsidRDefault="00B07C9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58.5pt" o:ole="">
                  <v:imagedata r:id="rId21" o:title=""/>
                </v:shape>
                <o:OLEObject Type="Embed" ProgID="Visio.Drawing.15" ShapeID="_x0000_i1025" DrawAspect="Content" ObjectID="_1707215924"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QC/vivo’s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77777777" w:rsidR="008A72DB" w:rsidRDefault="00B07C9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lastRenderedPageBreak/>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 xml:space="preserve">ServingCellConfigCommon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EC63D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EC63D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EC63D9">
            <w:pPr>
              <w:rPr>
                <w:rFonts w:eastAsia="Malgun Gothic"/>
                <w:lang w:val="en-US" w:eastAsia="ko-KR"/>
              </w:rPr>
            </w:pPr>
            <w:r>
              <w:rPr>
                <w:rFonts w:eastAsia="Malgun Gothic"/>
                <w:lang w:val="en-US" w:eastAsia="ko-KR"/>
              </w:rPr>
              <w:t>We also support the update from vivo.</w:t>
            </w:r>
          </w:p>
        </w:tc>
      </w:tr>
    </w:tbl>
    <w:p w14:paraId="376335EB" w14:textId="77777777" w:rsidR="008A72DB" w:rsidRPr="00EF3E29"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77777777" w:rsidR="008A72DB" w:rsidRDefault="00B07C9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lastRenderedPageBreak/>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lastRenderedPageBreak/>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77777777"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751D296"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1908BACF"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lastRenderedPageBreak/>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lastRenderedPageBreak/>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lastRenderedPageBreak/>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lastRenderedPageBreak/>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t>As we commented before,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For the interpretation (2) from CATT, it is same understanding with Samsung, which is actually based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BWP , RedCap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BWP , whether RedCap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r w:rsidR="00292520" w14:paraId="6778A0E9" w14:textId="77777777">
        <w:tc>
          <w:tcPr>
            <w:tcW w:w="1479" w:type="dxa"/>
          </w:tcPr>
          <w:p w14:paraId="37109C27" w14:textId="3A1DB122" w:rsidR="00292520" w:rsidRDefault="00292520" w:rsidP="00374BCB">
            <w:pPr>
              <w:rPr>
                <w:rFonts w:eastAsia="Malgun Gothic"/>
                <w:lang w:val="en-US" w:eastAsia="ko-KR"/>
              </w:rPr>
            </w:pPr>
            <w:r>
              <w:rPr>
                <w:rFonts w:eastAsia="Malgun Gothic"/>
                <w:lang w:val="en-US" w:eastAsia="ko-KR"/>
              </w:rPr>
              <w:t>FUTUREWEI</w:t>
            </w:r>
          </w:p>
        </w:tc>
        <w:tc>
          <w:tcPr>
            <w:tcW w:w="1372" w:type="dxa"/>
          </w:tcPr>
          <w:p w14:paraId="13435F0F" w14:textId="258A483D" w:rsidR="00292520" w:rsidRDefault="00292520" w:rsidP="00374BCB">
            <w:pPr>
              <w:tabs>
                <w:tab w:val="left" w:pos="551"/>
              </w:tabs>
              <w:rPr>
                <w:rFonts w:eastAsia="Malgun Gothic"/>
                <w:lang w:val="en-US" w:eastAsia="ko-KR"/>
              </w:rPr>
            </w:pPr>
            <w:r>
              <w:rPr>
                <w:rFonts w:eastAsia="Malgun Gothic"/>
                <w:lang w:val="en-US" w:eastAsia="ko-KR"/>
              </w:rPr>
              <w:t>Y</w:t>
            </w:r>
          </w:p>
        </w:tc>
        <w:tc>
          <w:tcPr>
            <w:tcW w:w="6780" w:type="dxa"/>
          </w:tcPr>
          <w:p w14:paraId="1AA28297" w14:textId="36D85D91" w:rsidR="00292520" w:rsidRPr="00E16407" w:rsidRDefault="00292520" w:rsidP="00374BCB">
            <w:pPr>
              <w:rPr>
                <w:rFonts w:ascii="Times" w:eastAsiaTheme="minorEastAsia" w:hAnsi="Times"/>
                <w:sz w:val="21"/>
                <w:szCs w:val="21"/>
                <w:lang w:val="en-US" w:eastAsia="zh-CN"/>
              </w:rPr>
            </w:pPr>
            <w:r>
              <w:rPr>
                <w:rFonts w:ascii="Times" w:eastAsiaTheme="minorEastAsia" w:hAnsi="Times"/>
                <w:sz w:val="21"/>
                <w:szCs w:val="21"/>
                <w:lang w:val="en-US" w:eastAsia="zh-CN"/>
              </w:rPr>
              <w:t>W</w:t>
            </w:r>
            <w:r w:rsidRPr="00292520">
              <w:rPr>
                <w:rFonts w:ascii="Times" w:eastAsiaTheme="minorEastAsia" w:hAnsi="Times"/>
                <w:sz w:val="21"/>
                <w:szCs w:val="21"/>
                <w:lang w:val="en-US" w:eastAsia="zh-CN"/>
              </w:rPr>
              <w:t>e are also open to additional clarification as CMCC/CATT mention</w:t>
            </w:r>
          </w:p>
        </w:tc>
      </w:tr>
      <w:tr w:rsidR="002E539A" w14:paraId="78D4E8B2" w14:textId="77777777">
        <w:tc>
          <w:tcPr>
            <w:tcW w:w="1479" w:type="dxa"/>
          </w:tcPr>
          <w:p w14:paraId="79670AC7" w14:textId="149EA29B" w:rsidR="002E539A" w:rsidRPr="002E539A" w:rsidRDefault="002E539A"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1155DB9" w14:textId="24D0D31A" w:rsidR="002E539A" w:rsidRPr="002E539A" w:rsidRDefault="002E539A" w:rsidP="00374BCB">
            <w:pPr>
              <w:tabs>
                <w:tab w:val="left" w:pos="551"/>
              </w:tabs>
              <w:rPr>
                <w:rFonts w:eastAsia="PMingLiU"/>
                <w:lang w:val="en-US" w:eastAsia="zh-TW"/>
              </w:rPr>
            </w:pPr>
            <w:r>
              <w:rPr>
                <w:rFonts w:eastAsia="PMingLiU" w:hint="eastAsia"/>
                <w:lang w:val="en-US" w:eastAsia="zh-TW"/>
              </w:rPr>
              <w:t>Y</w:t>
            </w:r>
          </w:p>
        </w:tc>
        <w:tc>
          <w:tcPr>
            <w:tcW w:w="6780" w:type="dxa"/>
          </w:tcPr>
          <w:p w14:paraId="2BB92533" w14:textId="77777777" w:rsidR="002E539A" w:rsidRDefault="002E539A" w:rsidP="00374BCB">
            <w:pPr>
              <w:rPr>
                <w:rFonts w:ascii="Times" w:eastAsiaTheme="minorEastAsia" w:hAnsi="Times"/>
                <w:sz w:val="21"/>
                <w:szCs w:val="21"/>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lastRenderedPageBreak/>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77777777" w:rsidR="008D3A6F" w:rsidRDefault="008D3A6F" w:rsidP="00EC63D9">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76D46452" w:rsidR="00627912" w:rsidRDefault="00627912" w:rsidP="00EC63D9">
            <w:pPr>
              <w:rPr>
                <w:rFonts w:eastAsia="Malgun Gothic"/>
                <w:lang w:val="en-US" w:eastAsia="ko-KR"/>
              </w:rPr>
            </w:pPr>
            <w:r>
              <w:rPr>
                <w:rFonts w:eastAsia="Malgun Gothic"/>
                <w:lang w:val="en-US" w:eastAsia="ko-KR"/>
              </w:rPr>
              <w:t>We also agree with the comments of Ericsson on resolving the WAs of RAN1#107.</w:t>
            </w:r>
          </w:p>
          <w:p w14:paraId="1FBED61E" w14:textId="3963D3DC" w:rsidR="00627912" w:rsidRDefault="00627912" w:rsidP="00EC63D9">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106DD5" w14:paraId="0E506682" w14:textId="77777777" w:rsidTr="008D3A6F">
        <w:tc>
          <w:tcPr>
            <w:tcW w:w="1479" w:type="dxa"/>
          </w:tcPr>
          <w:p w14:paraId="25EAFBC8" w14:textId="0AC1A5AA" w:rsidR="00106DD5" w:rsidRDefault="00106DD5" w:rsidP="00EC63D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EC63D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ZTE, Sanechips</w:t>
            </w:r>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lastRenderedPageBreak/>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EC63D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EC63D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EC63D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w:t>
            </w:r>
            <w:r>
              <w:rPr>
                <w:rFonts w:eastAsiaTheme="minorEastAsia"/>
                <w:lang w:val="en-US" w:eastAsia="zh-CN"/>
              </w:rPr>
              <w:lastRenderedPageBreak/>
              <w:t>this context is mainly for measurements, and towards that, we already have separate optional UE capabilities since Rel-15 for CSI-RS-based L3 msmts,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lastRenderedPageBreak/>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reply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CSI-RS based RRM measurements, i.e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t>Huawei, HiSilicon</w:t>
            </w:r>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w:t>
            </w:r>
            <w:r>
              <w:rPr>
                <w:rFonts w:eastAsiaTheme="minorEastAsia"/>
                <w:lang w:val="en-US" w:eastAsia="zh-CN"/>
              </w:rPr>
              <w:lastRenderedPageBreak/>
              <w:t>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lastRenderedPageBreak/>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Pr="008D3A6F"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val="en-US" w:eastAsia="en-GB"/>
              </w:rPr>
            </w:pPr>
            <w:r w:rsidRPr="008D3A6F">
              <w:rPr>
                <w:rFonts w:ascii="Arial" w:hAnsi="Arial" w:cs="Arial"/>
                <w:i/>
                <w:lang w:val="en-US" w:eastAsia="en-GB"/>
              </w:rPr>
              <w:t>A RedCap UE that supports FG 6-1a but NOT support CSI-RS based L3 measurement operates in the BWP</w:t>
            </w:r>
          </w:p>
          <w:p w14:paraId="70BDD6E2"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 xml:space="preserve">the UE can support RLM, BFD, CBD and L1 RSRP measurement based on CSI-RS </w:t>
            </w:r>
            <w:r w:rsidRPr="008D3A6F">
              <w:rPr>
                <w:rFonts w:ascii="Arial" w:eastAsiaTheme="minorEastAsia" w:hAnsi="Arial" w:cs="Arial" w:hint="eastAsia"/>
                <w:i/>
                <w:lang w:val="en-US" w:eastAsia="zh-CN"/>
              </w:rPr>
              <w:t xml:space="preserve">if UE reports the corresponding </w:t>
            </w:r>
            <w:r w:rsidRPr="008D3A6F">
              <w:rPr>
                <w:rFonts w:ascii="Arial" w:eastAsiaTheme="minorEastAsia" w:hAnsi="Arial" w:cs="Arial"/>
                <w:i/>
                <w:lang w:val="en-US" w:eastAsia="zh-CN"/>
              </w:rPr>
              <w:t>capabilities</w:t>
            </w:r>
            <w:r w:rsidRPr="008D3A6F">
              <w:rPr>
                <w:rFonts w:ascii="Arial" w:eastAsiaTheme="minorEastAsia" w:hAnsi="Arial" w:cs="Arial" w:hint="eastAsia"/>
                <w:i/>
                <w:lang w:val="en-US" w:eastAsia="zh-CN"/>
              </w:rPr>
              <w:t>.</w:t>
            </w:r>
          </w:p>
          <w:p w14:paraId="3DE9890C"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the UE can support SSB based L3 measurement, but cannot support CSI-RS based L3 measurement.</w:t>
            </w:r>
          </w:p>
          <w:p w14:paraId="433B6F65" w14:textId="77777777" w:rsidR="008A72DB" w:rsidRPr="008D3A6F" w:rsidRDefault="008A72DB">
            <w:pPr>
              <w:rPr>
                <w:rFonts w:eastAsiaTheme="minorEastAsia"/>
                <w:lang w:val="en-US" w:eastAsia="zh-CN"/>
              </w:rPr>
            </w:pPr>
          </w:p>
          <w:p w14:paraId="5A2D4DF5" w14:textId="77777777" w:rsidR="008A72DB" w:rsidRDefault="00B07C9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 xml:space="preserve">From RAN2 standpoint, it is already possible for a RedCap UE to retune to a CD-SSB rather than using an NCD-SSB of larger periodicity. However, it is up to </w:t>
            </w:r>
            <w:r>
              <w:rPr>
                <w:rFonts w:ascii="Arial" w:hAnsi="Arial" w:cs="Arial"/>
                <w:bCs/>
                <w:i/>
                <w:color w:val="000000"/>
                <w:lang w:eastAsia="ko-KR"/>
              </w:rPr>
              <w:lastRenderedPageBreak/>
              <w:t>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EC63D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EC63D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lastRenderedPageBreak/>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msg1/msgA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lastRenderedPageBreak/>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lastRenderedPageBreak/>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7777777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lastRenderedPageBreak/>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lastRenderedPageBreak/>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ko-KR"/>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lastRenderedPageBreak/>
              <w:t>According to the agreement above, the starting point is described as follow;</w:t>
            </w:r>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DA233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DA233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w:t>
            </w:r>
            <w:r>
              <w:rPr>
                <w:rFonts w:eastAsiaTheme="minorEastAsia"/>
                <w:lang w:val="en-US" w:eastAsia="zh-CN"/>
              </w:rPr>
              <w:lastRenderedPageBreak/>
              <w:t>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77777777" w:rsidR="008A72DB" w:rsidRDefault="00B07C97">
            <w:pPr>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7777777"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lastRenderedPageBreak/>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ko-KR"/>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7.75pt;height:150pt" o:ole="">
                  <v:imagedata r:id="rId31" o:title=""/>
                  <o:lock v:ext="edit" aspectratio="f"/>
                </v:shape>
                <o:OLEObject Type="Embed" ProgID="Visio.Drawing.15" ShapeID="_x0000_i1026" DrawAspect="Content" ObjectID="_1707215925"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EC63D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EC63D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EC63D9">
            <w:pPr>
              <w:rPr>
                <w:rFonts w:eastAsia="Malgun Gothic"/>
                <w:lang w:val="en-US" w:eastAsia="ko-KR"/>
              </w:rPr>
            </w:pP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lastRenderedPageBreak/>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RedCap UEs as initial DL BWP when the separate initial DL BWP does not </w:t>
            </w:r>
            <w:r>
              <w:rPr>
                <w:rFonts w:eastAsia="Yu Mincho"/>
                <w:lang w:val="en-US" w:eastAsia="ja-JP"/>
              </w:rPr>
              <w:lastRenderedPageBreak/>
              <w:t>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DA2330">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DA2330">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DA2330">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DA2330">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DA2330">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DA2330">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DA2330">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ZTE, Sanechips</w:t>
            </w:r>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DA2330">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DA2330">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DA2330">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DA2330">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DA2330">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DA2330">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67E2D556" w14:textId="77777777" w:rsidR="008A72DB" w:rsidRDefault="00DA2330">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DA2330">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DA2330">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DA2330">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DA2330">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DA2330">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DA2330">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DA2330">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DA2330">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DA2330">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DA2330">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DA2330">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DA2330">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DA2330">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DA2330">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DA2330">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DA2330">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ZTE, Sanechips</w:t>
            </w:r>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DA2330">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DA2330">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DA2330">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ZTE, Sanechips</w:t>
            </w:r>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DA2330">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DA2330">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DA2330">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DA2330">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DA2330">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DA2330">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DA2330">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DA2330">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33CCAC8" w14:textId="77777777" w:rsidR="008A72DB" w:rsidRDefault="00DA2330">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DA2330">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20566" w14:textId="77777777" w:rsidR="00DA2330" w:rsidRDefault="00DA2330" w:rsidP="00374BCB">
      <w:pPr>
        <w:spacing w:after="0" w:line="240" w:lineRule="auto"/>
      </w:pPr>
      <w:r>
        <w:separator/>
      </w:r>
    </w:p>
  </w:endnote>
  <w:endnote w:type="continuationSeparator" w:id="0">
    <w:p w14:paraId="00793F73" w14:textId="77777777" w:rsidR="00DA2330" w:rsidRDefault="00DA2330"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B6E1D" w14:textId="77777777" w:rsidR="00DA2330" w:rsidRDefault="00DA2330" w:rsidP="00374BCB">
      <w:pPr>
        <w:spacing w:after="0" w:line="240" w:lineRule="auto"/>
      </w:pPr>
      <w:r>
        <w:separator/>
      </w:r>
    </w:p>
  </w:footnote>
  <w:footnote w:type="continuationSeparator" w:id="0">
    <w:p w14:paraId="2A19656A" w14:textId="77777777" w:rsidR="00DA2330" w:rsidRDefault="00DA2330"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3"/>
  </w:num>
  <w:num w:numId="9">
    <w:abstractNumId w:val="29"/>
  </w:num>
  <w:num w:numId="10">
    <w:abstractNumId w:val="19"/>
  </w:num>
  <w:num w:numId="11">
    <w:abstractNumId w:val="13"/>
  </w:num>
  <w:num w:numId="12">
    <w:abstractNumId w:val="38"/>
  </w:num>
  <w:num w:numId="13">
    <w:abstractNumId w:val="9"/>
  </w:num>
  <w:num w:numId="14">
    <w:abstractNumId w:val="26"/>
  </w:num>
  <w:num w:numId="15">
    <w:abstractNumId w:val="27"/>
  </w:num>
  <w:num w:numId="16">
    <w:abstractNumId w:val="40"/>
  </w:num>
  <w:num w:numId="17">
    <w:abstractNumId w:val="15"/>
  </w:num>
  <w:num w:numId="18">
    <w:abstractNumId w:val="47"/>
  </w:num>
  <w:num w:numId="19">
    <w:abstractNumId w:val="22"/>
  </w:num>
  <w:num w:numId="20">
    <w:abstractNumId w:val="10"/>
  </w:num>
  <w:num w:numId="21">
    <w:abstractNumId w:val="42"/>
  </w:num>
  <w:num w:numId="22">
    <w:abstractNumId w:val="44"/>
  </w:num>
  <w:num w:numId="23">
    <w:abstractNumId w:val="11"/>
  </w:num>
  <w:num w:numId="24">
    <w:abstractNumId w:val="32"/>
  </w:num>
  <w:num w:numId="25">
    <w:abstractNumId w:val="41"/>
  </w:num>
  <w:num w:numId="26">
    <w:abstractNumId w:val="3"/>
  </w:num>
  <w:num w:numId="27">
    <w:abstractNumId w:val="31"/>
  </w:num>
  <w:num w:numId="28">
    <w:abstractNumId w:val="37"/>
  </w:num>
  <w:num w:numId="29">
    <w:abstractNumId w:val="4"/>
  </w:num>
  <w:num w:numId="30">
    <w:abstractNumId w:val="8"/>
  </w:num>
  <w:num w:numId="31">
    <w:abstractNumId w:val="6"/>
  </w:num>
  <w:num w:numId="32">
    <w:abstractNumId w:val="18"/>
  </w:num>
  <w:num w:numId="33">
    <w:abstractNumId w:val="45"/>
  </w:num>
  <w:num w:numId="34">
    <w:abstractNumId w:val="30"/>
  </w:num>
  <w:num w:numId="35">
    <w:abstractNumId w:val="39"/>
  </w:num>
  <w:num w:numId="36">
    <w:abstractNumId w:val="7"/>
  </w:num>
  <w:num w:numId="37">
    <w:abstractNumId w:val="5"/>
  </w:num>
  <w:num w:numId="38">
    <w:abstractNumId w:val="23"/>
  </w:num>
  <w:num w:numId="39">
    <w:abstractNumId w:val="36"/>
  </w:num>
  <w:num w:numId="40">
    <w:abstractNumId w:val="17"/>
  </w:num>
  <w:num w:numId="41">
    <w:abstractNumId w:val="21"/>
  </w:num>
  <w:num w:numId="42">
    <w:abstractNumId w:val="34"/>
  </w:num>
  <w:num w:numId="43">
    <w:abstractNumId w:val="35"/>
  </w:num>
  <w:num w:numId="44">
    <w:abstractNumId w:val="46"/>
  </w:num>
  <w:num w:numId="45">
    <w:abstractNumId w:val="14"/>
  </w:num>
  <w:num w:numId="46">
    <w:abstractNumId w:val="43"/>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2DEF"/>
    <w:rsid w:val="00006C9C"/>
    <w:rsid w:val="000111A2"/>
    <w:rsid w:val="00014487"/>
    <w:rsid w:val="00023DC1"/>
    <w:rsid w:val="00027100"/>
    <w:rsid w:val="000277FD"/>
    <w:rsid w:val="00027E05"/>
    <w:rsid w:val="00030FC2"/>
    <w:rsid w:val="000336A9"/>
    <w:rsid w:val="00041814"/>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6196"/>
    <w:rsid w:val="00116F8C"/>
    <w:rsid w:val="001269DB"/>
    <w:rsid w:val="00130104"/>
    <w:rsid w:val="00133250"/>
    <w:rsid w:val="00145D1D"/>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3CD0"/>
    <w:rsid w:val="001F3D99"/>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520"/>
    <w:rsid w:val="00292E1A"/>
    <w:rsid w:val="002A061B"/>
    <w:rsid w:val="002A1C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E539A"/>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780D"/>
    <w:rsid w:val="003D177E"/>
    <w:rsid w:val="003D7EFC"/>
    <w:rsid w:val="003E5D50"/>
    <w:rsid w:val="003F2732"/>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183E"/>
    <w:rsid w:val="004F5148"/>
    <w:rsid w:val="004F6E3A"/>
    <w:rsid w:val="0050017F"/>
    <w:rsid w:val="00501419"/>
    <w:rsid w:val="00501AD1"/>
    <w:rsid w:val="00502DC6"/>
    <w:rsid w:val="005038DE"/>
    <w:rsid w:val="005045DB"/>
    <w:rsid w:val="00520BA8"/>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48A7"/>
    <w:rsid w:val="00625FEB"/>
    <w:rsid w:val="006276A2"/>
    <w:rsid w:val="0062791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4C75"/>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B38DE"/>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5ABF"/>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4D9"/>
    <w:rsid w:val="00867D9C"/>
    <w:rsid w:val="00871919"/>
    <w:rsid w:val="008724D3"/>
    <w:rsid w:val="0087532E"/>
    <w:rsid w:val="0087553A"/>
    <w:rsid w:val="008851F6"/>
    <w:rsid w:val="0088735F"/>
    <w:rsid w:val="00890C44"/>
    <w:rsid w:val="008A1040"/>
    <w:rsid w:val="008A4082"/>
    <w:rsid w:val="008A72DB"/>
    <w:rsid w:val="008B3FE7"/>
    <w:rsid w:val="008B7C49"/>
    <w:rsid w:val="008B7EC4"/>
    <w:rsid w:val="008D01D2"/>
    <w:rsid w:val="008D0AA2"/>
    <w:rsid w:val="008D3A6F"/>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53CF1"/>
    <w:rsid w:val="00956465"/>
    <w:rsid w:val="00963A9A"/>
    <w:rsid w:val="0096487D"/>
    <w:rsid w:val="00970598"/>
    <w:rsid w:val="00970823"/>
    <w:rsid w:val="009749F0"/>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6E9A"/>
    <w:rsid w:val="00A41F88"/>
    <w:rsid w:val="00A41FE9"/>
    <w:rsid w:val="00A426BE"/>
    <w:rsid w:val="00A53E8A"/>
    <w:rsid w:val="00A54736"/>
    <w:rsid w:val="00A55590"/>
    <w:rsid w:val="00A577A7"/>
    <w:rsid w:val="00A60EC8"/>
    <w:rsid w:val="00A634A1"/>
    <w:rsid w:val="00A64340"/>
    <w:rsid w:val="00A72882"/>
    <w:rsid w:val="00A846D4"/>
    <w:rsid w:val="00A870DD"/>
    <w:rsid w:val="00A87470"/>
    <w:rsid w:val="00A9670C"/>
    <w:rsid w:val="00A97ED3"/>
    <w:rsid w:val="00AA0F08"/>
    <w:rsid w:val="00AA26C6"/>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14E2"/>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1A0D"/>
    <w:rsid w:val="00C36EFB"/>
    <w:rsid w:val="00C375DB"/>
    <w:rsid w:val="00C44C84"/>
    <w:rsid w:val="00C512AE"/>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2664"/>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451E2"/>
    <w:rsid w:val="00F469B4"/>
    <w:rsid w:val="00F470EB"/>
    <w:rsid w:val="00F47E70"/>
    <w:rsid w:val="00F5282A"/>
    <w:rsid w:val="00F56703"/>
    <w:rsid w:val="00F60A52"/>
    <w:rsid w:val="00F60B8F"/>
    <w:rsid w:val="00F63E5F"/>
    <w:rsid w:val="00F63F61"/>
    <w:rsid w:val="00F6420C"/>
    <w:rsid w:val="00F74BA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C77C4"/>
    <w:rsid w:val="00FD336C"/>
    <w:rsid w:val="00FD5B66"/>
    <w:rsid w:val="00FD7F13"/>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85.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emf"/><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66" Type="http://schemas.openxmlformats.org/officeDocument/2006/relationships/hyperlink" Target="https://www.3gpp.org/ftp/TSG_RAN/WG1_RL1/TSGR1_108-e/Docs/R1-2201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78</Pages>
  <Words>30930</Words>
  <Characters>176304</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Ratasuk, Rapeepat (Nokia - US/Naperville)</cp:lastModifiedBy>
  <cp:revision>23</cp:revision>
  <dcterms:created xsi:type="dcterms:W3CDTF">2022-02-24T18:49:00Z</dcterms:created>
  <dcterms:modified xsi:type="dcterms:W3CDTF">2022-02-24T19:52:00Z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