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E25" w14:textId="77777777" w:rsidR="008A72DB" w:rsidRDefault="00B07C97">
      <w:pPr>
        <w:pStyle w:val="Header"/>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77777777"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7777777"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 xml:space="preserve">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51C5518" w14:textId="77777777" w:rsidR="008A72DB" w:rsidRDefault="00B07C97">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1F56AE3E"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13844EC6" w14:textId="77777777" w:rsidR="008A72DB" w:rsidRDefault="00B07C9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BEB68B4" w14:textId="77777777"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w:t>
            </w:r>
            <w:proofErr w:type="gramStart"/>
            <w:r>
              <w:rPr>
                <w:rFonts w:ascii="Times" w:eastAsiaTheme="minorEastAsia" w:hAnsi="Times"/>
                <w:sz w:val="21"/>
                <w:szCs w:val="21"/>
                <w:lang w:val="en-US" w:eastAsia="zh-CN"/>
              </w:rPr>
              <w:t>is  mandated</w:t>
            </w:r>
            <w:proofErr w:type="gramEnd"/>
            <w:r>
              <w:rPr>
                <w:rFonts w:ascii="Times" w:eastAsiaTheme="minorEastAsia" w:hAnsi="Times"/>
                <w:sz w:val="21"/>
                <w:szCs w:val="21"/>
                <w:lang w:val="en-US" w:eastAsia="zh-CN"/>
              </w:rPr>
              <w:t xml:space="preserve"> to configure separate </w:t>
            </w:r>
            <w:proofErr w:type="spellStart"/>
            <w:r>
              <w:rPr>
                <w:rFonts w:ascii="Times" w:eastAsiaTheme="minorEastAsia" w:hAnsi="Times"/>
                <w:sz w:val="21"/>
                <w:szCs w:val="21"/>
                <w:lang w:val="en-US" w:eastAsia="zh-CN"/>
              </w:rPr>
              <w:t>iDL</w:t>
            </w:r>
            <w:proofErr w:type="spellEnd"/>
            <w:r>
              <w:rPr>
                <w:rFonts w:ascii="Times" w:eastAsiaTheme="minorEastAsia" w:hAnsi="Times"/>
                <w:sz w:val="21"/>
                <w:szCs w:val="21"/>
                <w:lang w:val="en-US" w:eastAsia="zh-CN"/>
              </w:rPr>
              <w:t xml:space="preserve"> BWP.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77777777" w:rsidR="008A72DB" w:rsidRDefault="00B07C97">
            <w:pPr>
              <w:rPr>
                <w:rFonts w:eastAsia="SimSun"/>
                <w:lang w:val="en-US" w:eastAsia="ja-JP"/>
              </w:rPr>
            </w:pPr>
            <w:r>
              <w:rPr>
                <w:rFonts w:eastAsia="SimSun" w:hint="eastAsia"/>
                <w:lang w:val="en-US" w:eastAsia="zh-CN"/>
              </w:rPr>
              <w:t xml:space="preserve">Based on above </w:t>
            </w:r>
            <w:proofErr w:type="gramStart"/>
            <w:r>
              <w:rPr>
                <w:rFonts w:eastAsia="SimSun" w:hint="eastAsia"/>
                <w:lang w:val="en-US" w:eastAsia="zh-CN"/>
              </w:rPr>
              <w:t>( similar</w:t>
            </w:r>
            <w:proofErr w:type="gramEnd"/>
            <w:r>
              <w:rPr>
                <w:rFonts w:eastAsia="SimSun" w:hint="eastAsia"/>
                <w:lang w:val="en-US" w:eastAsia="zh-CN"/>
              </w:rPr>
              <w:t xml:space="preserve">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hint="eastAsia"/>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hint="eastAsia"/>
                <w:lang w:val="en-US" w:eastAsia="ko-KR"/>
              </w:rPr>
            </w:pPr>
            <w:r>
              <w:rPr>
                <w:rFonts w:eastAsiaTheme="minorEastAsia"/>
                <w:lang w:val="en-US" w:eastAsia="zh-CN"/>
              </w:rPr>
              <w:t>Prefer option 1</w:t>
            </w:r>
          </w:p>
        </w:tc>
      </w:tr>
    </w:tbl>
    <w:p w14:paraId="75941294" w14:textId="77777777" w:rsidR="008A72DB" w:rsidRDefault="008A72DB">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lastRenderedPageBreak/>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lastRenderedPageBreak/>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lastRenderedPageBreak/>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lastRenderedPageBreak/>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77777777" w:rsidR="008A72DB" w:rsidRDefault="00B07C97">
            <w:pPr>
              <w:rPr>
                <w:rFonts w:eastAsia="Malgun Gothic"/>
                <w:lang w:val="en-US" w:eastAsia="ko-KR"/>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lastRenderedPageBreak/>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77777777"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58.4pt" o:ole="">
                  <v:imagedata r:id="rId21" o:title=""/>
                </v:shape>
                <o:OLEObject Type="Embed" ProgID="Visio.Drawing.15" ShapeID="_x0000_i1025" DrawAspect="Content" ObjectID="_1707206921"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77777777" w:rsidR="008A72DB" w:rsidRDefault="00B07C9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hint="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hint="eastAsia"/>
                <w:lang w:val="en-US" w:eastAsia="zh-CN"/>
              </w:rPr>
            </w:pPr>
            <w:r>
              <w:rPr>
                <w:rFonts w:eastAsia="SimSun"/>
                <w:lang w:val="en-US" w:eastAsia="zh-CN"/>
              </w:rPr>
              <w:t>We are fine with the text proposal.</w:t>
            </w:r>
          </w:p>
        </w:tc>
      </w:tr>
    </w:tbl>
    <w:p w14:paraId="376335EB" w14:textId="77777777" w:rsidR="008A72DB" w:rsidRDefault="008A72DB">
      <w:pPr>
        <w:tabs>
          <w:tab w:val="left" w:pos="772"/>
        </w:tabs>
        <w:spacing w:after="100" w:afterAutospacing="1"/>
        <w:rPr>
          <w:rStyle w:val="ListLabel115"/>
          <w:lang w:val="en-US"/>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77777777" w:rsidR="008A72DB" w:rsidRDefault="00B07C9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 xml:space="preserve">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w:t>
            </w:r>
            <w:r>
              <w:lastRenderedPageBreak/>
              <w:t>(i.e.,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lastRenderedPageBreak/>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8ADA2FE" w14:textId="77777777" w:rsidR="008A72DB" w:rsidRDefault="008A72DB">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w:t>
            </w:r>
            <w:r>
              <w:rPr>
                <w:rFonts w:ascii="Times New Roman" w:hAnsi="Times New Roman" w:cs="Times New Roman"/>
                <w:color w:val="000000"/>
                <w:sz w:val="20"/>
                <w:szCs w:val="20"/>
                <w:lang w:val="en-US" w:eastAsia="ko-KR"/>
              </w:rPr>
              <w:lastRenderedPageBreak/>
              <w:t>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77777777"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lastRenderedPageBreak/>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1908BACF"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 xml:space="preserve">If the proposal were to be agreed, RAN1 is essentially agreeing to have the possibility to provide NCD-SSB-related information in SI. Considering that RAN2 has already agreed to provide configuration of NCD-SSB in a dedicated BWP (see </w:t>
            </w:r>
            <w:r>
              <w:rPr>
                <w:lang w:val="en-US" w:eastAsia="ko-KR"/>
              </w:rPr>
              <w:lastRenderedPageBreak/>
              <w:t>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CAEA791"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3C194183" w14:textId="77777777"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2FF30147" w14:textId="77777777" w:rsidR="008A72DB" w:rsidRDefault="008A72DB">
            <w:pPr>
              <w:rPr>
                <w:rFonts w:eastAsiaTheme="minorEastAsia"/>
                <w:lang w:val="en-US" w:eastAsia="zh-CN"/>
              </w:rPr>
            </w:pP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16555DFC"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035826" w14:textId="77777777" w:rsidR="008A72DB" w:rsidRDefault="00B07C9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77777777" w:rsidR="008A72DB" w:rsidRDefault="00B07C97">
            <w:pPr>
              <w:rPr>
                <w:rFonts w:eastAsiaTheme="minorEastAsia"/>
                <w:lang w:val="en-US" w:eastAsia="zh-CN"/>
              </w:rPr>
            </w:pPr>
            <w:r>
              <w:rPr>
                <w:rFonts w:eastAsiaTheme="minorEastAsia"/>
                <w:lang w:val="en-US" w:eastAsia="zh-CN"/>
              </w:rPr>
              <w:t xml:space="preserve">As we commented before,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Default="00B07C9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605D3452" w14:textId="77777777" w:rsidR="008A72DB" w:rsidRDefault="008A72DB">
            <w:pPr>
              <w:tabs>
                <w:tab w:val="left" w:pos="551"/>
              </w:tabs>
              <w:rPr>
                <w:rFonts w:eastAsiaTheme="minorEastAsia"/>
                <w:lang w:val="en-US" w:eastAsia="zh-CN"/>
              </w:rPr>
            </w:pPr>
          </w:p>
        </w:tc>
        <w:tc>
          <w:tcPr>
            <w:tcW w:w="6780" w:type="dxa"/>
          </w:tcPr>
          <w:p w14:paraId="72AD2AD7" w14:textId="77777777" w:rsidR="008A72DB" w:rsidRDefault="00B07C97">
            <w:pPr>
              <w:rPr>
                <w:rFonts w:eastAsia="Malgun Gothic"/>
                <w:lang w:val="en-US" w:eastAsia="ko-KR"/>
              </w:rPr>
            </w:pPr>
            <w:r>
              <w:rPr>
                <w:rFonts w:ascii="Times" w:eastAsiaTheme="minorEastAsia" w:hAnsi="Times"/>
                <w:sz w:val="21"/>
                <w:szCs w:val="21"/>
                <w:lang w:val="en-US" w:eastAsia="zh-CN"/>
              </w:rPr>
              <w:t xml:space="preserve">We share similar view with CATT. For connected mode, paging reception is similar as normal PDCCH/PDSCH reception, so when UE supporting FG 6-1a, it will not expect NCD-SSB regardless paging is configured or </w:t>
            </w:r>
            <w:proofErr w:type="gramStart"/>
            <w:r>
              <w:rPr>
                <w:rFonts w:ascii="Times" w:eastAsiaTheme="minorEastAsia" w:hAnsi="Times"/>
                <w:sz w:val="21"/>
                <w:szCs w:val="21"/>
                <w:lang w:val="en-US" w:eastAsia="zh-CN"/>
              </w:rPr>
              <w:t>not..</w:t>
            </w:r>
            <w:proofErr w:type="gramEnd"/>
          </w:p>
        </w:tc>
      </w:tr>
      <w:tr w:rsidR="008A72DB" w14:paraId="039980FA" w14:textId="77777777">
        <w:tc>
          <w:tcPr>
            <w:tcW w:w="1479" w:type="dxa"/>
          </w:tcPr>
          <w:p w14:paraId="69B6CFE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52691F"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979770" w14:textId="77777777" w:rsidR="008A72DB" w:rsidRDefault="008A72DB">
            <w:pPr>
              <w:rPr>
                <w:rFonts w:ascii="Times" w:eastAsiaTheme="minorEastAsia" w:hAnsi="Times"/>
                <w:sz w:val="21"/>
                <w:szCs w:val="21"/>
                <w:lang w:val="en-US" w:eastAsia="zh-CN"/>
              </w:rPr>
            </w:pPr>
          </w:p>
        </w:tc>
      </w:tr>
      <w:tr w:rsidR="008A72DB" w14:paraId="1D248577" w14:textId="77777777">
        <w:tc>
          <w:tcPr>
            <w:tcW w:w="1479" w:type="dxa"/>
          </w:tcPr>
          <w:p w14:paraId="32F5AFC4"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4CDD8" w14:textId="77777777" w:rsidR="008A72DB" w:rsidRDefault="008A72DB">
            <w:pPr>
              <w:tabs>
                <w:tab w:val="left" w:pos="551"/>
              </w:tabs>
              <w:rPr>
                <w:rFonts w:eastAsiaTheme="minorEastAsia"/>
                <w:lang w:val="en-US" w:eastAsia="ja-JP"/>
              </w:rPr>
            </w:pPr>
          </w:p>
        </w:tc>
        <w:tc>
          <w:tcPr>
            <w:tcW w:w="6780" w:type="dxa"/>
          </w:tcPr>
          <w:p w14:paraId="34399091"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14:paraId="1F6BCDE4"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For the interpretation (2) from CATT, it is same understanding with Samsung, which is </w:t>
            </w:r>
            <w:proofErr w:type="gramStart"/>
            <w:r>
              <w:rPr>
                <w:rFonts w:ascii="Times" w:eastAsiaTheme="minorEastAsia" w:hAnsi="Times" w:hint="eastAsia"/>
                <w:sz w:val="21"/>
                <w:szCs w:val="21"/>
                <w:lang w:val="en-US" w:eastAsia="zh-CN"/>
              </w:rPr>
              <w:t>actually based</w:t>
            </w:r>
            <w:proofErr w:type="gramEnd"/>
            <w:r>
              <w:rPr>
                <w:rFonts w:ascii="Times" w:eastAsiaTheme="minorEastAsia" w:hAnsi="Times" w:hint="eastAsia"/>
                <w:sz w:val="21"/>
                <w:szCs w:val="21"/>
                <w:lang w:val="en-US" w:eastAsia="zh-CN"/>
              </w:rPr>
              <w:t xml:space="preserve"> on the UE capability 6-1 or 6-1a.</w:t>
            </w:r>
          </w:p>
          <w:p w14:paraId="05C654AF"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14:paraId="24AB8189" w14:textId="77777777"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t xml:space="preserve">For BWP#0 configuration option 1, </w:t>
            </w:r>
          </w:p>
          <w:p w14:paraId="629534F1"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lastRenderedPageBreak/>
              <w:t xml:space="preserve">If only RACH is configured in separate initial DL </w:t>
            </w:r>
            <w:proofErr w:type="gramStart"/>
            <w:r>
              <w:rPr>
                <w:rFonts w:ascii="Times" w:eastAsiaTheme="minorEastAsia" w:hAnsi="Times" w:hint="eastAsia"/>
                <w:b/>
                <w:bCs/>
                <w:sz w:val="21"/>
                <w:szCs w:val="21"/>
                <w:lang w:val="en-US" w:eastAsia="zh-CN"/>
              </w:rPr>
              <w:t>BWP ,</w:t>
            </w:r>
            <w:proofErr w:type="gramEnd"/>
            <w:r>
              <w:rPr>
                <w:rFonts w:ascii="Times" w:eastAsiaTheme="minorEastAsia" w:hAnsi="Times" w:hint="eastAsia"/>
                <w:b/>
                <w:bCs/>
                <w:sz w:val="21"/>
                <w:szCs w:val="21"/>
                <w:lang w:val="en-US" w:eastAsia="zh-CN"/>
              </w:rPr>
              <w:t xml:space="preserve"> RedCap UE does not expects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14:paraId="111CE908"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w:t>
            </w:r>
            <w:proofErr w:type="gramStart"/>
            <w:r>
              <w:rPr>
                <w:rFonts w:ascii="Times" w:eastAsiaTheme="minorEastAsia" w:hAnsi="Times" w:hint="eastAsia"/>
                <w:b/>
                <w:bCs/>
                <w:sz w:val="21"/>
                <w:szCs w:val="21"/>
                <w:lang w:val="en-US" w:eastAsia="zh-CN"/>
              </w:rPr>
              <w:t>BWP ,</w:t>
            </w:r>
            <w:proofErr w:type="gramEnd"/>
            <w:r>
              <w:rPr>
                <w:rFonts w:ascii="Times" w:eastAsiaTheme="minorEastAsia" w:hAnsi="Times" w:hint="eastAsia"/>
                <w:b/>
                <w:bCs/>
                <w:sz w:val="21"/>
                <w:szCs w:val="21"/>
                <w:lang w:val="en-US" w:eastAsia="zh-CN"/>
              </w:rPr>
              <w:t xml:space="preserve"> whether RedCap UE expects it to contain NCD-SSB for serving cell depends on  </w:t>
            </w:r>
            <w:r>
              <w:rPr>
                <w:rFonts w:eastAsia="Microsoft YaHei UI" w:hint="eastAsia"/>
                <w:b/>
                <w:bCs/>
                <w:lang w:val="en-US" w:eastAsia="zh-CN"/>
              </w:rPr>
              <w:t>the UE capability 6-1 or 6-1a</w:t>
            </w:r>
          </w:p>
        </w:tc>
      </w:tr>
      <w:tr w:rsidR="00374BCB" w14:paraId="60DC118E" w14:textId="77777777">
        <w:tc>
          <w:tcPr>
            <w:tcW w:w="1479" w:type="dxa"/>
          </w:tcPr>
          <w:p w14:paraId="1D20EA7E"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12D0A976"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0" w:type="dxa"/>
          </w:tcPr>
          <w:p w14:paraId="6A01C47E" w14:textId="77777777" w:rsidR="00374BCB" w:rsidRPr="00E16407" w:rsidRDefault="00374BCB" w:rsidP="00374BCB">
            <w:pPr>
              <w:rPr>
                <w:rFonts w:ascii="Times" w:eastAsiaTheme="minorEastAsia" w:hAnsi="Times"/>
                <w:sz w:val="21"/>
                <w:szCs w:val="21"/>
                <w:lang w:val="en-US" w:eastAsia="zh-CN"/>
              </w:rPr>
            </w:pPr>
          </w:p>
        </w:tc>
      </w:tr>
      <w:tr w:rsidR="00641A85" w14:paraId="736BCAC3" w14:textId="77777777">
        <w:tc>
          <w:tcPr>
            <w:tcW w:w="1479" w:type="dxa"/>
          </w:tcPr>
          <w:p w14:paraId="54954FD9" w14:textId="71812411" w:rsidR="00641A85" w:rsidRDefault="00641A85" w:rsidP="00374BCB">
            <w:pPr>
              <w:rPr>
                <w:rFonts w:eastAsia="Malgun Gothic" w:hint="eastAsia"/>
                <w:lang w:val="en-US" w:eastAsia="ko-KR"/>
              </w:rPr>
            </w:pPr>
            <w:r>
              <w:rPr>
                <w:rFonts w:eastAsia="Malgun Gothic"/>
                <w:lang w:val="en-US" w:eastAsia="ko-KR"/>
              </w:rPr>
              <w:t>IDCC</w:t>
            </w:r>
          </w:p>
        </w:tc>
        <w:tc>
          <w:tcPr>
            <w:tcW w:w="1372" w:type="dxa"/>
          </w:tcPr>
          <w:p w14:paraId="7F2520F4" w14:textId="0251A70D" w:rsidR="00641A85" w:rsidRDefault="00641A85" w:rsidP="00374BCB">
            <w:pPr>
              <w:tabs>
                <w:tab w:val="left" w:pos="551"/>
              </w:tabs>
              <w:rPr>
                <w:rFonts w:eastAsia="Malgun Gothic" w:hint="eastAsia"/>
                <w:lang w:val="en-US" w:eastAsia="ko-KR"/>
              </w:rPr>
            </w:pPr>
            <w:r>
              <w:rPr>
                <w:rFonts w:eastAsia="Malgun Gothic"/>
                <w:lang w:val="en-US" w:eastAsia="ko-KR"/>
              </w:rPr>
              <w:t>Y</w:t>
            </w:r>
          </w:p>
        </w:tc>
        <w:tc>
          <w:tcPr>
            <w:tcW w:w="6780" w:type="dxa"/>
          </w:tcPr>
          <w:p w14:paraId="4E6E2AC6" w14:textId="77777777" w:rsidR="00641A85" w:rsidRPr="00E16407" w:rsidRDefault="00641A85" w:rsidP="00374BCB">
            <w:pPr>
              <w:rPr>
                <w:rFonts w:ascii="Times" w:eastAsiaTheme="minorEastAsia" w:hAnsi="Times"/>
                <w:sz w:val="21"/>
                <w:szCs w:val="21"/>
                <w:lang w:val="en-US" w:eastAsia="zh-CN"/>
              </w:rPr>
            </w:pP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lastRenderedPageBreak/>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Default="00B07C97">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7572CC12" w14:textId="77777777" w:rsidR="008A72DB" w:rsidRDefault="00B07C97">
            <w:pPr>
              <w:rPr>
                <w:rFonts w:eastAsiaTheme="minorEastAsia"/>
                <w:lang w:val="en-US" w:eastAsia="zh-CN"/>
              </w:rPr>
            </w:pPr>
            <w:r>
              <w:rPr>
                <w:rFonts w:eastAsiaTheme="minorEastAsia"/>
                <w:lang w:val="en-US" w:eastAsia="zh-CN"/>
              </w:rPr>
              <w:t>@Ericsson</w:t>
            </w:r>
          </w:p>
          <w:p w14:paraId="500BC1DA" w14:textId="77777777"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6E18B703" w14:textId="77777777"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14:paraId="4531E0BB" w14:textId="77777777"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 xml:space="preserve">The network may provide </w:t>
            </w:r>
            <w:proofErr w:type="spellStart"/>
            <w:r>
              <w:rPr>
                <w:rFonts w:eastAsia="MS Mincho"/>
                <w:sz w:val="21"/>
                <w:szCs w:val="21"/>
                <w:lang w:eastAsia="en-GB"/>
              </w:rPr>
              <w:t>absoluteFrequencySSB</w:t>
            </w:r>
            <w:proofErr w:type="spellEnd"/>
            <w:r>
              <w:rPr>
                <w:rFonts w:eastAsia="MS Mincho"/>
                <w:sz w:val="21"/>
                <w:szCs w:val="21"/>
                <w:lang w:eastAsia="en-GB"/>
              </w:rPr>
              <w:t xml:space="preserve"> and </w:t>
            </w:r>
            <w:proofErr w:type="spellStart"/>
            <w:r>
              <w:rPr>
                <w:rFonts w:eastAsia="MS Mincho"/>
                <w:sz w:val="21"/>
                <w:szCs w:val="21"/>
                <w:lang w:eastAsia="en-GB"/>
              </w:rPr>
              <w:t>ssb</w:t>
            </w:r>
            <w:proofErr w:type="spellEnd"/>
            <w:r>
              <w:rPr>
                <w:rFonts w:eastAsia="MS Mincho"/>
                <w:sz w:val="21"/>
                <w:szCs w:val="21"/>
                <w:lang w:eastAsia="en-GB"/>
              </w:rPr>
              <w:t xml:space="preserve">-periodicity explicitly for NCD-SSB, i.e., other properties such as PCI, </w:t>
            </w:r>
            <w:proofErr w:type="spellStart"/>
            <w:r>
              <w:rPr>
                <w:rFonts w:eastAsia="MS Mincho"/>
                <w:sz w:val="21"/>
                <w:szCs w:val="21"/>
                <w:lang w:eastAsia="en-GB"/>
              </w:rPr>
              <w:t>ssb</w:t>
            </w:r>
            <w:proofErr w:type="spellEnd"/>
            <w:r>
              <w:rPr>
                <w:rFonts w:eastAsia="MS Mincho"/>
                <w:sz w:val="21"/>
                <w:szCs w:val="21"/>
                <w:lang w:eastAsia="en-GB"/>
              </w:rPr>
              <w:t>-PBCH-</w:t>
            </w:r>
            <w:proofErr w:type="spellStart"/>
            <w:r>
              <w:rPr>
                <w:rFonts w:eastAsia="MS Mincho"/>
                <w:sz w:val="21"/>
                <w:szCs w:val="21"/>
                <w:lang w:eastAsia="en-GB"/>
              </w:rPr>
              <w:t>BlockPower</w:t>
            </w:r>
            <w:proofErr w:type="spellEnd"/>
            <w:r>
              <w:rPr>
                <w:rFonts w:eastAsia="MS Mincho"/>
                <w:sz w:val="21"/>
                <w:szCs w:val="21"/>
                <w:lang w:eastAsia="en-GB"/>
              </w:rPr>
              <w:t xml:space="preserve">, </w:t>
            </w:r>
            <w:proofErr w:type="spellStart"/>
            <w:r>
              <w:rPr>
                <w:rFonts w:eastAsia="MS Mincho"/>
                <w:sz w:val="21"/>
                <w:szCs w:val="21"/>
                <w:lang w:eastAsia="en-GB"/>
              </w:rPr>
              <w:t>ssb-PositionsInBurst</w:t>
            </w:r>
            <w:proofErr w:type="spellEnd"/>
            <w:r>
              <w:rPr>
                <w:rFonts w:eastAsia="MS Mincho"/>
                <w:sz w:val="21"/>
                <w:szCs w:val="21"/>
                <w:lang w:eastAsia="en-GB"/>
              </w:rPr>
              <w:t xml:space="preserve"> are configured with the same values from serving cell's CD-SSB</w:t>
            </w:r>
            <w:r>
              <w:rPr>
                <w:rFonts w:eastAsia="MS Mincho"/>
                <w:sz w:val="21"/>
                <w:szCs w:val="21"/>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Pr>
                <w:rFonts w:eastAsiaTheme="minorEastAsia"/>
                <w:lang w:eastAsia="zh-CN"/>
              </w:rPr>
              <w:lastRenderedPageBreak/>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38A8DD8" w14:textId="77777777" w:rsidR="008A72DB" w:rsidRDefault="00B07C97">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5704D31" w14:textId="77777777" w:rsidR="008A72DB" w:rsidRDefault="008A72DB">
            <w:pPr>
              <w:rPr>
                <w:rFonts w:eastAsiaTheme="minorEastAsia"/>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hint="eastAsia"/>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hint="eastAsia"/>
                <w:lang w:val="en-US" w:eastAsia="ko-KR"/>
              </w:rPr>
            </w:pP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lastRenderedPageBreak/>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C4F1CFD"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lastRenderedPageBreak/>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w:t>
            </w:r>
            <w:r>
              <w:rPr>
                <w:rFonts w:eastAsiaTheme="minorEastAsia"/>
                <w:lang w:val="en-US" w:eastAsia="zh-CN"/>
              </w:rPr>
              <w:lastRenderedPageBreak/>
              <w:t>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lastRenderedPageBreak/>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14:paraId="021F3BA5" w14:textId="77777777">
        <w:tc>
          <w:tcPr>
            <w:tcW w:w="1479" w:type="dxa"/>
          </w:tcPr>
          <w:p w14:paraId="6017B3A3"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08536390" w14:textId="77777777" w:rsidR="008A72DB" w:rsidRDefault="00B07C97">
            <w:pPr>
              <w:rPr>
                <w:lang w:val="en-US" w:eastAsia="ko-KR"/>
              </w:rPr>
            </w:pPr>
            <w:r>
              <w:rPr>
                <w:rFonts w:eastAsiaTheme="minorEastAsia"/>
                <w:lang w:val="en-US" w:eastAsia="zh-CN"/>
              </w:rPr>
              <w:t>Y</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lastRenderedPageBreak/>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lastRenderedPageBreak/>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5928C90C" w14:textId="77777777" w:rsidR="008A72DB" w:rsidRDefault="00B07C97">
            <w:pPr>
              <w:rPr>
                <w:rFonts w:eastAsiaTheme="minorEastAsia"/>
                <w:lang w:val="en-US" w:eastAsia="zh-CN"/>
              </w:rPr>
            </w:pPr>
            <w:r>
              <w:rPr>
                <w:rFonts w:eastAsiaTheme="minorEastAsia"/>
                <w:lang w:val="en-US" w:eastAsia="zh-CN"/>
              </w:rPr>
              <w:t>We do not see hard conditions. If not clear, we can ask RAN4 to clarify.</w:t>
            </w:r>
          </w:p>
          <w:p w14:paraId="0CB5C9C6" w14:textId="77777777" w:rsidR="008A72DB" w:rsidRDefault="00B07C97">
            <w:pPr>
              <w:rPr>
                <w:rFonts w:eastAsiaTheme="minorEastAsia"/>
                <w:lang w:val="en-US" w:eastAsia="zh-CN"/>
              </w:rPr>
            </w:pPr>
            <w:r>
              <w:rPr>
                <w:rFonts w:eastAsiaTheme="minorEastAsia"/>
                <w:lang w:val="en-US" w:eastAsia="zh-CN"/>
              </w:rPr>
              <w:t>@ Nordic</w:t>
            </w:r>
          </w:p>
          <w:p w14:paraId="350A606F" w14:textId="77777777"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4223E53" w14:textId="77777777" w:rsidR="008A72DB"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1"/>
                <w:szCs w:val="21"/>
                <w:lang w:eastAsia="en-GB"/>
              </w:rPr>
            </w:pPr>
            <w:r>
              <w:rPr>
                <w:rFonts w:ascii="Arial" w:hAnsi="Arial" w:cs="Arial"/>
                <w:i/>
                <w:lang w:eastAsia="en-GB"/>
              </w:rPr>
              <w:t>A RedCap UE that supports FG 6-1a but NOT support CSI-RS based L3 measurement operates in the BWP</w:t>
            </w:r>
          </w:p>
          <w:p w14:paraId="70BDD6E2" w14:textId="77777777" w:rsidR="008A72DB"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eastAsia="en-GB"/>
              </w:rPr>
            </w:pPr>
            <w:r>
              <w:rPr>
                <w:rFonts w:ascii="Arial" w:hAnsi="Arial" w:cs="Arial"/>
                <w:i/>
                <w:lang w:eastAsia="en-GB"/>
              </w:rPr>
              <w:t xml:space="preserve">the UE can support RLM, BFD, CBD and L1 RSRP measurement based on CSI-RS </w:t>
            </w:r>
            <w:r>
              <w:rPr>
                <w:rFonts w:ascii="Arial" w:eastAsiaTheme="minorEastAsia" w:hAnsi="Arial" w:cs="Arial" w:hint="eastAsia"/>
                <w:i/>
                <w:lang w:eastAsia="zh-CN"/>
              </w:rPr>
              <w:t xml:space="preserve">if UE reports the corresponding </w:t>
            </w:r>
            <w:r>
              <w:rPr>
                <w:rFonts w:ascii="Arial" w:eastAsiaTheme="minorEastAsia" w:hAnsi="Arial" w:cs="Arial"/>
                <w:i/>
                <w:lang w:eastAsia="zh-CN"/>
              </w:rPr>
              <w:t>capabilities</w:t>
            </w:r>
            <w:r>
              <w:rPr>
                <w:rFonts w:ascii="Arial" w:eastAsiaTheme="minorEastAsia" w:hAnsi="Arial" w:cs="Arial" w:hint="eastAsia"/>
                <w:i/>
                <w:lang w:eastAsia="zh-CN"/>
              </w:rPr>
              <w:t>.</w:t>
            </w:r>
          </w:p>
          <w:p w14:paraId="3DE9890C" w14:textId="77777777" w:rsidR="008A72DB"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eastAsia="en-GB"/>
              </w:rPr>
            </w:pPr>
            <w:r>
              <w:rPr>
                <w:rFonts w:ascii="Arial" w:hAnsi="Arial" w:cs="Arial"/>
                <w:i/>
                <w:lang w:eastAsia="en-GB"/>
              </w:rPr>
              <w:t>the UE can support SSB based L3 measurement, but cannot support CSI-RS based L3 measurement.</w:t>
            </w:r>
          </w:p>
          <w:p w14:paraId="433B6F65" w14:textId="77777777" w:rsidR="008A72DB" w:rsidRDefault="008A72DB">
            <w:pPr>
              <w:rPr>
                <w:rFonts w:eastAsiaTheme="minorEastAsia"/>
                <w:lang w:val="sv-SE" w:eastAsia="zh-CN"/>
              </w:rPr>
            </w:pPr>
          </w:p>
          <w:p w14:paraId="5A2D4DF5" w14:textId="77777777" w:rsidR="008A72DB" w:rsidRDefault="00B07C9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171488CC" w14:textId="77777777" w:rsidR="008A72DB" w:rsidRDefault="00B07C97">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ko-KR"/>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7777777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proofErr w:type="spellStart"/>
            <w:r>
              <w:rPr>
                <w:rFonts w:eastAsiaTheme="minorEastAsia" w:hint="eastAsia"/>
                <w:lang w:val="en-US" w:eastAsia="zh-CN"/>
              </w:rPr>
              <w:t>measurment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444E1749" w14:textId="77777777" w:rsidR="008A72DB" w:rsidRDefault="00B07C97">
            <w:pPr>
              <w:rPr>
                <w:rFonts w:eastAsiaTheme="minorEastAsia"/>
                <w:lang w:val="en-US" w:eastAsia="zh-CN"/>
              </w:rPr>
            </w:pPr>
            <w:r>
              <w:rPr>
                <w:rFonts w:eastAsiaTheme="minorEastAsia"/>
                <w:lang w:val="en-US" w:eastAsia="zh-CN"/>
              </w:rPr>
              <w:t>FL5</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A72DB" w14:paraId="05CA783E" w14:textId="77777777">
        <w:tc>
          <w:tcPr>
            <w:tcW w:w="1372" w:type="dxa"/>
          </w:tcPr>
          <w:p w14:paraId="6B447305" w14:textId="77777777" w:rsidR="008A72DB" w:rsidRDefault="008A72DB">
            <w:pPr>
              <w:rPr>
                <w:rFonts w:eastAsiaTheme="minorEastAsia"/>
                <w:lang w:val="en-US" w:eastAsia="zh-CN"/>
              </w:rPr>
            </w:pPr>
          </w:p>
        </w:tc>
        <w:tc>
          <w:tcPr>
            <w:tcW w:w="8262" w:type="dxa"/>
            <w:gridSpan w:val="2"/>
          </w:tcPr>
          <w:p w14:paraId="3BFD76FC" w14:textId="77777777" w:rsidR="008A72DB" w:rsidRDefault="008A72DB">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lastRenderedPageBreak/>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lastRenderedPageBreak/>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lastRenderedPageBreak/>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14B21781" w14:textId="77777777" w:rsidR="008A72DB" w:rsidRDefault="00B07C97">
            <w:pPr>
              <w:rPr>
                <w:rFonts w:eastAsia="Yu Mincho"/>
                <w:lang w:val="en-US" w:eastAsia="ja-JP"/>
              </w:rPr>
            </w:pPr>
            <w:r>
              <w:rPr>
                <w:rFonts w:eastAsia="Yu Mincho"/>
                <w:noProof/>
                <w:lang w:val="en-US" w:eastAsia="ko-KR"/>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072345B1" w14:textId="77777777" w:rsidR="008A72DB" w:rsidRDefault="00B07C97">
            <w:pPr>
              <w:rPr>
                <w:rFonts w:eastAsia="Yu Mincho"/>
                <w:lang w:val="en-US" w:eastAsia="ja-JP"/>
              </w:rPr>
            </w:pPr>
            <w:r>
              <w:rPr>
                <w:rFonts w:eastAsia="Yu Mincho"/>
                <w:noProof/>
                <w:lang w:val="en-US" w:eastAsia="ko-KR"/>
              </w:rPr>
              <w:lastRenderedPageBreak/>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85772B">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85772B">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lastRenderedPageBreak/>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77777777" w:rsidR="008A72DB" w:rsidRDefault="00B07C97">
            <w:pPr>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7777777"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proofErr w:type="spellStart"/>
            <w:r>
              <w:rPr>
                <w:rFonts w:eastAsiaTheme="minorEastAsia" w:hint="eastAsia"/>
                <w:lang w:val="en-US" w:eastAsia="zh-CN"/>
              </w:rPr>
              <w:t>vaules</w:t>
            </w:r>
            <w:proofErr w:type="spellEnd"/>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lastRenderedPageBreak/>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2902F396" w14:textId="77777777" w:rsidR="008A72DB" w:rsidRDefault="00B07C97">
            <w:pPr>
              <w:rPr>
                <w:rFonts w:eastAsia="Yu Mincho"/>
                <w:lang w:val="en-US" w:eastAsia="ja-JP"/>
              </w:rPr>
            </w:pPr>
            <w:r>
              <w:rPr>
                <w:rFonts w:eastAsia="Yu Mincho"/>
                <w:noProof/>
                <w:lang w:val="en-US" w:eastAsia="ko-KR"/>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8.1pt;height:150.1pt" o:ole="">
                  <v:imagedata r:id="rId31" o:title=""/>
                  <o:lock v:ext="edit" aspectratio="f"/>
                </v:shape>
                <o:OLEObject Type="Embed" ProgID="Visio.Drawing.15" ShapeID="_x0000_i1026" DrawAspect="Content" ObjectID="_1707206922" r:id="rId32"/>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w:t>
            </w:r>
            <w:r>
              <w:rPr>
                <w:rFonts w:eastAsia="Yu Mincho"/>
                <w:lang w:val="en-US" w:eastAsia="ja-JP"/>
              </w:rPr>
              <w:lastRenderedPageBreak/>
              <w:t>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bl>
    <w:p w14:paraId="15FF6716" w14:textId="77777777" w:rsidR="008A72DB" w:rsidRDefault="008A72DB">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lastRenderedPageBreak/>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85772B">
            <w:pPr>
              <w:rPr>
                <w:color w:val="0000FF"/>
                <w:u w:val="single"/>
                <w:lang w:val="en-US"/>
              </w:rPr>
            </w:pPr>
            <w:hyperlink r:id="rId35"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85772B">
            <w:pPr>
              <w:rPr>
                <w:color w:val="0000FF"/>
                <w:u w:val="single"/>
                <w:lang w:val="en-US"/>
              </w:rPr>
            </w:pPr>
            <w:hyperlink r:id="rId36"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85772B">
            <w:pPr>
              <w:rPr>
                <w:lang w:val="en-US"/>
              </w:rPr>
            </w:pPr>
            <w:hyperlink r:id="rId37"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85772B">
            <w:pPr>
              <w:rPr>
                <w:lang w:val="en-US"/>
              </w:rPr>
            </w:pPr>
            <w:hyperlink r:id="rId38"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85772B">
            <w:pPr>
              <w:rPr>
                <w:lang w:val="en-US"/>
              </w:rPr>
            </w:pPr>
            <w:hyperlink r:id="rId39"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85772B">
            <w:pPr>
              <w:rPr>
                <w:lang w:val="en-US"/>
              </w:rPr>
            </w:pPr>
            <w:hyperlink r:id="rId40"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85772B">
            <w:pPr>
              <w:rPr>
                <w:lang w:val="en-US"/>
              </w:rPr>
            </w:pPr>
            <w:hyperlink r:id="rId41"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85772B">
            <w:pPr>
              <w:rPr>
                <w:lang w:val="en-US"/>
              </w:rPr>
            </w:pPr>
            <w:hyperlink r:id="rId42"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85772B">
            <w:pPr>
              <w:rPr>
                <w:lang w:val="en-US"/>
              </w:rPr>
            </w:pPr>
            <w:hyperlink r:id="rId43"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lastRenderedPageBreak/>
              <w:t>[10]</w:t>
            </w:r>
          </w:p>
        </w:tc>
        <w:tc>
          <w:tcPr>
            <w:tcW w:w="1456" w:type="dxa"/>
            <w:tcMar>
              <w:top w:w="0" w:type="dxa"/>
              <w:left w:w="70" w:type="dxa"/>
              <w:bottom w:w="0" w:type="dxa"/>
              <w:right w:w="70" w:type="dxa"/>
            </w:tcMar>
          </w:tcPr>
          <w:p w14:paraId="3C6D1CFA" w14:textId="77777777" w:rsidR="008A72DB" w:rsidRDefault="0085772B">
            <w:pPr>
              <w:rPr>
                <w:lang w:val="en-US"/>
              </w:rPr>
            </w:pPr>
            <w:hyperlink r:id="rId44"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85772B">
            <w:pPr>
              <w:rPr>
                <w:lang w:val="en-US"/>
              </w:rPr>
            </w:pPr>
            <w:hyperlink r:id="rId45"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85772B">
            <w:pPr>
              <w:rPr>
                <w:lang w:val="en-US"/>
              </w:rPr>
            </w:pPr>
            <w:hyperlink r:id="rId46"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85772B">
            <w:pPr>
              <w:rPr>
                <w:lang w:val="en-US"/>
              </w:rPr>
            </w:pPr>
            <w:hyperlink r:id="rId47"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proofErr w:type="spellStart"/>
            <w:r>
              <w:rPr>
                <w:lang w:val="en-US" w:eastAsia="sv-SE"/>
              </w:rPr>
              <w:t>Spreadtrum</w:t>
            </w:r>
            <w:proofErr w:type="spellEnd"/>
            <w:r>
              <w:rPr>
                <w:lang w:val="en-US" w:eastAsia="sv-SE"/>
              </w:rPr>
              <w:t xml:space="preserve">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85772B">
            <w:pPr>
              <w:rPr>
                <w:lang w:val="en-US"/>
              </w:rPr>
            </w:pPr>
            <w:hyperlink r:id="rId48"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85772B">
            <w:pPr>
              <w:rPr>
                <w:lang w:val="en-US"/>
              </w:rPr>
            </w:pPr>
            <w:hyperlink r:id="rId49"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85772B">
            <w:pPr>
              <w:rPr>
                <w:lang w:val="en-US"/>
              </w:rPr>
            </w:pPr>
            <w:hyperlink r:id="rId50"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85772B">
            <w:pPr>
              <w:rPr>
                <w:lang w:val="en-US"/>
              </w:rPr>
            </w:pPr>
            <w:hyperlink r:id="rId51"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85772B">
            <w:pPr>
              <w:rPr>
                <w:lang w:val="en-US"/>
              </w:rPr>
            </w:pPr>
            <w:hyperlink r:id="rId52"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85772B">
            <w:pPr>
              <w:rPr>
                <w:lang w:val="en-US"/>
              </w:rPr>
            </w:pPr>
            <w:hyperlink r:id="rId53"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85772B">
            <w:pPr>
              <w:rPr>
                <w:lang w:val="en-US"/>
              </w:rPr>
            </w:pPr>
            <w:hyperlink r:id="rId54"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85772B">
            <w:pPr>
              <w:rPr>
                <w:lang w:val="en-US"/>
              </w:rPr>
            </w:pPr>
            <w:hyperlink r:id="rId55"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85772B">
            <w:pPr>
              <w:rPr>
                <w:lang w:val="en-US"/>
              </w:rPr>
            </w:pPr>
            <w:hyperlink r:id="rId56"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85772B">
            <w:pPr>
              <w:rPr>
                <w:lang w:val="en-US"/>
              </w:rPr>
            </w:pPr>
            <w:hyperlink r:id="rId57"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85772B">
            <w:pPr>
              <w:rPr>
                <w:lang w:val="en-US"/>
              </w:rPr>
            </w:pPr>
            <w:hyperlink r:id="rId58"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85772B">
            <w:pPr>
              <w:rPr>
                <w:lang w:val="en-US"/>
              </w:rPr>
            </w:pPr>
            <w:hyperlink r:id="rId59"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85772B">
            <w:pPr>
              <w:rPr>
                <w:lang w:val="en-US"/>
              </w:rPr>
            </w:pPr>
            <w:hyperlink r:id="rId60"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85772B">
            <w:pPr>
              <w:rPr>
                <w:lang w:val="en-US"/>
              </w:rPr>
            </w:pPr>
            <w:hyperlink r:id="rId61"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85772B">
            <w:pPr>
              <w:rPr>
                <w:lang w:val="en-US"/>
              </w:rPr>
            </w:pPr>
            <w:hyperlink r:id="rId62"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85772B">
            <w:pPr>
              <w:rPr>
                <w:lang w:val="en-US"/>
              </w:rPr>
            </w:pPr>
            <w:hyperlink r:id="rId63"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 xml:space="preserve">Huawei, </w:t>
            </w:r>
            <w:proofErr w:type="spellStart"/>
            <w:r>
              <w:rPr>
                <w:lang w:val="en-US"/>
              </w:rPr>
              <w:t>HiSilicon</w:t>
            </w:r>
            <w:proofErr w:type="spellEnd"/>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85772B">
            <w:pPr>
              <w:rPr>
                <w:lang w:val="en-US"/>
              </w:rPr>
            </w:pPr>
            <w:hyperlink r:id="rId64"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 xml:space="preserve">ZTE, </w:t>
            </w:r>
            <w:proofErr w:type="spellStart"/>
            <w:r>
              <w:rPr>
                <w:lang w:val="en-US"/>
              </w:rPr>
              <w:t>Sanechips</w:t>
            </w:r>
            <w:proofErr w:type="spellEnd"/>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85772B">
            <w:pPr>
              <w:rPr>
                <w:lang w:val="en-US"/>
              </w:rPr>
            </w:pPr>
            <w:hyperlink r:id="rId65"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85772B">
            <w:pPr>
              <w:rPr>
                <w:lang w:val="en-US"/>
              </w:rPr>
            </w:pPr>
            <w:hyperlink r:id="rId66"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85772B">
            <w:pPr>
              <w:rPr>
                <w:lang w:val="en-US"/>
              </w:rPr>
            </w:pPr>
            <w:hyperlink r:id="rId67"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85772B">
            <w:pPr>
              <w:rPr>
                <w:lang w:val="en-US"/>
              </w:rPr>
            </w:pPr>
            <w:hyperlink r:id="rId68"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85772B">
            <w:pPr>
              <w:rPr>
                <w:lang w:val="en-US"/>
              </w:rPr>
            </w:pPr>
            <w:hyperlink r:id="rId69"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85772B">
            <w:pPr>
              <w:rPr>
                <w:lang w:val="en-US"/>
              </w:rPr>
            </w:pPr>
            <w:hyperlink r:id="rId70"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85772B">
            <w:pPr>
              <w:rPr>
                <w:lang w:val="en-US"/>
              </w:rPr>
            </w:pPr>
            <w:hyperlink r:id="rId71"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445076A9" w14:textId="77777777" w:rsidR="008A72DB" w:rsidRDefault="0085772B">
            <w:pPr>
              <w:rPr>
                <w:rStyle w:val="Hyperlink"/>
                <w:color w:val="0000FF"/>
                <w:lang w:val="en-US"/>
              </w:rPr>
            </w:pPr>
            <w:hyperlink r:id="rId72"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85772B">
            <w:pPr>
              <w:rPr>
                <w:rStyle w:val="Hyperlink"/>
                <w:color w:val="0000FF"/>
                <w:lang w:val="en-US"/>
              </w:rPr>
            </w:pPr>
            <w:hyperlink r:id="rId73"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85772B">
            <w:pPr>
              <w:rPr>
                <w:rStyle w:val="Hyperlink"/>
                <w:color w:val="0000FF"/>
                <w:lang w:val="en-US"/>
              </w:rPr>
            </w:pPr>
            <w:hyperlink r:id="rId74"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85772B">
            <w:pPr>
              <w:rPr>
                <w:rStyle w:val="Hyperlink"/>
                <w:color w:val="0000FF"/>
                <w:lang w:val="en-US"/>
              </w:rPr>
            </w:pPr>
            <w:hyperlink r:id="rId75"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 xml:space="preserve">RAN4, </w:t>
            </w:r>
            <w:proofErr w:type="gramStart"/>
            <w:r>
              <w:rPr>
                <w:lang w:val="en-US" w:eastAsia="zh-CN"/>
              </w:rPr>
              <w:t>Vivo</w:t>
            </w:r>
            <w:proofErr w:type="gramEnd"/>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85772B">
            <w:pPr>
              <w:rPr>
                <w:color w:val="0000FF"/>
                <w:u w:val="single"/>
                <w:lang w:val="en-US" w:eastAsia="sv-SE"/>
              </w:rPr>
            </w:pPr>
            <w:hyperlink r:id="rId76" w:history="1">
              <w:r w:rsidR="00B07C97">
                <w:rPr>
                  <w:rStyle w:val="Hyperlink"/>
                  <w:color w:val="0000FF"/>
                  <w:lang w:val="en-US" w:eastAsia="sv-SE"/>
                </w:rPr>
                <w:t>R1-2202528</w:t>
              </w:r>
            </w:hyperlink>
            <w:r w:rsidR="00B07C97">
              <w:rPr>
                <w:lang w:val="en-US"/>
              </w:rPr>
              <w:br/>
              <w:t>(</w:t>
            </w:r>
            <w:hyperlink r:id="rId77"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85772B">
            <w:hyperlink r:id="rId78" w:history="1">
              <w:r w:rsidR="00B07C97">
                <w:rPr>
                  <w:rStyle w:val="Hyperlink"/>
                  <w:color w:val="0000FF"/>
                  <w:lang w:val="en-US" w:eastAsia="sv-SE"/>
                </w:rPr>
                <w:t>R1-2202529</w:t>
              </w:r>
            </w:hyperlink>
            <w:r w:rsidR="00B07C97">
              <w:rPr>
                <w:lang w:val="en-US"/>
              </w:rPr>
              <w:br/>
              <w:t>(</w:t>
            </w:r>
            <w:hyperlink r:id="rId79"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2C37" w14:textId="77777777" w:rsidR="0085772B" w:rsidRDefault="0085772B" w:rsidP="00374BCB">
      <w:pPr>
        <w:spacing w:after="0" w:line="240" w:lineRule="auto"/>
      </w:pPr>
      <w:r>
        <w:separator/>
      </w:r>
    </w:p>
  </w:endnote>
  <w:endnote w:type="continuationSeparator" w:id="0">
    <w:p w14:paraId="27F11221" w14:textId="77777777" w:rsidR="0085772B" w:rsidRDefault="0085772B"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07A6" w14:textId="77777777" w:rsidR="0085772B" w:rsidRDefault="0085772B" w:rsidP="00374BCB">
      <w:pPr>
        <w:spacing w:after="0" w:line="240" w:lineRule="auto"/>
      </w:pPr>
      <w:r>
        <w:separator/>
      </w:r>
    </w:p>
  </w:footnote>
  <w:footnote w:type="continuationSeparator" w:id="0">
    <w:p w14:paraId="0249A1D9" w14:textId="77777777" w:rsidR="0085772B" w:rsidRDefault="0085772B"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2"/>
  </w:num>
  <w:num w:numId="9">
    <w:abstractNumId w:val="28"/>
  </w:num>
  <w:num w:numId="10">
    <w:abstractNumId w:val="19"/>
  </w:num>
  <w:num w:numId="11">
    <w:abstractNumId w:val="13"/>
  </w:num>
  <w:num w:numId="12">
    <w:abstractNumId w:val="37"/>
  </w:num>
  <w:num w:numId="13">
    <w:abstractNumId w:val="9"/>
  </w:num>
  <w:num w:numId="14">
    <w:abstractNumId w:val="26"/>
  </w:num>
  <w:num w:numId="15">
    <w:abstractNumId w:val="27"/>
  </w:num>
  <w:num w:numId="16">
    <w:abstractNumId w:val="39"/>
  </w:num>
  <w:num w:numId="17">
    <w:abstractNumId w:val="15"/>
  </w:num>
  <w:num w:numId="18">
    <w:abstractNumId w:val="46"/>
  </w:num>
  <w:num w:numId="19">
    <w:abstractNumId w:val="22"/>
  </w:num>
  <w:num w:numId="20">
    <w:abstractNumId w:val="10"/>
  </w:num>
  <w:num w:numId="21">
    <w:abstractNumId w:val="41"/>
  </w:num>
  <w:num w:numId="22">
    <w:abstractNumId w:val="43"/>
  </w:num>
  <w:num w:numId="23">
    <w:abstractNumId w:val="11"/>
  </w:num>
  <w:num w:numId="24">
    <w:abstractNumId w:val="31"/>
  </w:num>
  <w:num w:numId="25">
    <w:abstractNumId w:val="40"/>
  </w:num>
  <w:num w:numId="26">
    <w:abstractNumId w:val="3"/>
  </w:num>
  <w:num w:numId="27">
    <w:abstractNumId w:val="30"/>
  </w:num>
  <w:num w:numId="28">
    <w:abstractNumId w:val="36"/>
  </w:num>
  <w:num w:numId="29">
    <w:abstractNumId w:val="4"/>
  </w:num>
  <w:num w:numId="30">
    <w:abstractNumId w:val="8"/>
  </w:num>
  <w:num w:numId="31">
    <w:abstractNumId w:val="6"/>
  </w:num>
  <w:num w:numId="32">
    <w:abstractNumId w:val="18"/>
  </w:num>
  <w:num w:numId="33">
    <w:abstractNumId w:val="44"/>
  </w:num>
  <w:num w:numId="34">
    <w:abstractNumId w:val="29"/>
  </w:num>
  <w:num w:numId="35">
    <w:abstractNumId w:val="38"/>
  </w:num>
  <w:num w:numId="36">
    <w:abstractNumId w:val="7"/>
  </w:num>
  <w:num w:numId="37">
    <w:abstractNumId w:val="5"/>
  </w:num>
  <w:num w:numId="38">
    <w:abstractNumId w:val="23"/>
  </w:num>
  <w:num w:numId="39">
    <w:abstractNumId w:val="35"/>
  </w:num>
  <w:num w:numId="40">
    <w:abstractNumId w:val="17"/>
  </w:num>
  <w:num w:numId="41">
    <w:abstractNumId w:val="21"/>
  </w:num>
  <w:num w:numId="42">
    <w:abstractNumId w:val="33"/>
  </w:num>
  <w:num w:numId="43">
    <w:abstractNumId w:val="34"/>
  </w:num>
  <w:num w:numId="44">
    <w:abstractNumId w:val="45"/>
  </w:num>
  <w:num w:numId="45">
    <w:abstractNumId w:val="14"/>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1C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045DB"/>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675"/>
    <w:rsid w:val="0063399F"/>
    <w:rsid w:val="00640C55"/>
    <w:rsid w:val="00641A8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72B"/>
    <w:rsid w:val="0085793F"/>
    <w:rsid w:val="008604D9"/>
    <w:rsid w:val="00867D9C"/>
    <w:rsid w:val="00871919"/>
    <w:rsid w:val="0087532E"/>
    <w:rsid w:val="0087553A"/>
    <w:rsid w:val="008851F6"/>
    <w:rsid w:val="0088735F"/>
    <w:rsid w:val="00890C44"/>
    <w:rsid w:val="008A1040"/>
    <w:rsid w:val="008A4082"/>
    <w:rsid w:val="008A72DB"/>
    <w:rsid w:val="008B3FE7"/>
    <w:rsid w:val="008B7C49"/>
    <w:rsid w:val="008B7EC4"/>
    <w:rsid w:val="008D01D2"/>
    <w:rsid w:val="008D0AA2"/>
    <w:rsid w:val="008E28E9"/>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34A1"/>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20F2"/>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09BC"/>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9.wmf"/><Relationship Id="rId39" Type="http://schemas.openxmlformats.org/officeDocument/2006/relationships/hyperlink" Target="https://www.3gpp.org/ftp/TSG_RAN/WG1_RL1/TSGR1_108-e/Docs/R1-2200985.zip" TargetMode="External"/><Relationship Id="rId21" Type="http://schemas.openxmlformats.org/officeDocument/2006/relationships/image" Target="media/image6.emf"/><Relationship Id="rId34" Type="http://schemas.openxmlformats.org/officeDocument/2006/relationships/image" Target="media/image15.png"/><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package" Target="embeddings/Microsoft_Visio_Drawing1.vsdx"/><Relationship Id="rId37" Type="http://schemas.openxmlformats.org/officeDocument/2006/relationships/hyperlink" Target="https://www.3gpp.org/ftp/tsg_ran/WG1_RL1/TSGR1_107-e/Docs/R1-2112501.zip" TargetMode="External"/><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66" Type="http://schemas.openxmlformats.org/officeDocument/2006/relationships/hyperlink" Target="https://www.3gpp.org/ftp/TSG_RAN/WG1_RL1/TSGR1_108-e/Docs/R1-2201864.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74</Pages>
  <Words>29478</Words>
  <Characters>168030</Characters>
  <Application>Microsoft Office Word</Application>
  <DocSecurity>0</DocSecurity>
  <Lines>1400</Lines>
  <Paragraphs>394</Paragraphs>
  <ScaleCrop>false</ScaleCrop>
  <Company>Panasonic Corporation</Company>
  <LinksUpToDate>false</LinksUpToDate>
  <CharactersWithSpaces>197114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Erdem Bala</cp:lastModifiedBy>
  <cp:revision>6</cp:revision>
  <dcterms:created xsi:type="dcterms:W3CDTF">2022-02-24T16:10:00Z</dcterms:created>
  <dcterms:modified xsi:type="dcterms:W3CDTF">2022-02-24T16:22:00Z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