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SimSun"/>
                <w:bCs/>
                <w:sz w:val="18"/>
                <w:lang w:eastAsia="zh-CN"/>
              </w:rPr>
              <w:t>or DCI indicating a TCI state after the RA procedure.]</w:t>
            </w:r>
          </w:p>
          <w:p w14:paraId="291DD35C" w14:textId="77777777" w:rsidR="004578F3" w:rsidRDefault="004578F3">
            <w:pPr>
              <w:snapToGrid w:val="0"/>
              <w:jc w:val="both"/>
              <w:rPr>
                <w:rFonts w:eastAsia="바탕"/>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바탕"/>
                <w:sz w:val="18"/>
                <w:szCs w:val="18"/>
              </w:rPr>
            </w:pPr>
            <w:r w:rsidRPr="00BF6F17">
              <w:rPr>
                <w:sz w:val="18"/>
                <w:szCs w:val="18"/>
              </w:rPr>
              <w:t>-</w:t>
            </w:r>
            <w:r w:rsidRPr="00BF6F17">
              <w:rPr>
                <w:sz w:val="18"/>
                <w:szCs w:val="18"/>
              </w:rPr>
              <w:tab/>
            </w:r>
            <w:r>
              <w:rPr>
                <w:rFonts w:eastAsia="바탕"/>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바탕"/>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바탕"/>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바탕"/>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바탕"/>
                <w:sz w:val="18"/>
                <w:szCs w:val="18"/>
              </w:rPr>
            </w:pPr>
            <w:r w:rsidRPr="00BF6F17">
              <w:rPr>
                <w:sz w:val="18"/>
                <w:szCs w:val="18"/>
              </w:rPr>
              <w:t>-</w:t>
            </w:r>
            <w:r w:rsidRPr="00BF6F17">
              <w:rPr>
                <w:sz w:val="18"/>
                <w:szCs w:val="18"/>
              </w:rPr>
              <w:tab/>
            </w:r>
            <w:r>
              <w:rPr>
                <w:rFonts w:eastAsia="바탕"/>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lastRenderedPageBreak/>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맑은 고딕" w:hAnsi="Arial" w:cs="Arial"/>
                <w:bCs/>
                <w:color w:val="FF0000"/>
                <w:sz w:val="18"/>
                <w:szCs w:val="18"/>
                <w:lang w:val="en-US" w:eastAsia="ko-KR"/>
              </w:rPr>
            </w:pPr>
            <w:r w:rsidRPr="00B27540">
              <w:rPr>
                <w:rFonts w:ascii="Arial" w:eastAsia="맑은 고딕" w:hAnsi="Arial" w:cs="Arial"/>
                <w:bCs/>
                <w:color w:val="FF0000"/>
                <w:sz w:val="18"/>
                <w:szCs w:val="18"/>
                <w:lang w:val="en-US" w:eastAsia="ko-KR"/>
              </w:rPr>
              <w:t xml:space="preserve">Support of indication/configuration of R17 TCI states for </w:t>
            </w:r>
            <w:r w:rsidRPr="00862C70">
              <w:rPr>
                <w:rFonts w:ascii="Arial" w:eastAsia="맑은 고딕" w:hAnsi="Arial" w:cs="Arial"/>
                <w:bCs/>
                <w:color w:val="FF0000"/>
                <w:sz w:val="18"/>
                <w:szCs w:val="18"/>
                <w:lang w:val="en-US" w:eastAsia="ko-KR"/>
              </w:rPr>
              <w:t xml:space="preserve">CORESET 0 and </w:t>
            </w:r>
            <w:r w:rsidR="00B27540">
              <w:rPr>
                <w:rFonts w:ascii="Arial" w:eastAsia="맑은 고딕" w:hAnsi="Arial" w:cs="Arial"/>
                <w:bCs/>
                <w:color w:val="FF0000"/>
                <w:sz w:val="18"/>
                <w:szCs w:val="18"/>
                <w:lang w:val="en-US" w:eastAsia="ko-KR"/>
              </w:rPr>
              <w:t xml:space="preserve">the respective </w:t>
            </w:r>
            <w:r w:rsidRPr="00862C70">
              <w:rPr>
                <w:rFonts w:ascii="Arial" w:eastAsia="맑은 고딕" w:hAnsi="Arial" w:cs="Arial"/>
                <w:bCs/>
                <w:color w:val="FF0000"/>
                <w:sz w:val="18"/>
                <w:szCs w:val="18"/>
                <w:lang w:val="en-US" w:eastAsia="ko-KR"/>
              </w:rPr>
              <w:t>PDSCH</w:t>
            </w:r>
            <w:r w:rsidR="00B27540" w:rsidRPr="00B27540">
              <w:rPr>
                <w:rFonts w:ascii="Arial" w:eastAsia="맑은 고딕" w:hAnsi="Arial" w:cs="Arial"/>
                <w:bCs/>
                <w:color w:val="FF0000"/>
                <w:sz w:val="18"/>
                <w:szCs w:val="18"/>
                <w:lang w:val="en-US" w:eastAsia="ko-KR"/>
              </w:rPr>
              <w:t xml:space="preserve"> </w:t>
            </w:r>
            <w:r w:rsidR="00B27540">
              <w:rPr>
                <w:rFonts w:ascii="Arial" w:eastAsia="맑은 고딕" w:hAnsi="Arial" w:cs="Arial"/>
                <w:bCs/>
                <w:color w:val="FF0000"/>
                <w:sz w:val="18"/>
                <w:szCs w:val="18"/>
                <w:lang w:val="en-US" w:eastAsia="ko-KR"/>
              </w:rPr>
              <w:t xml:space="preserve">reception </w:t>
            </w:r>
            <w:r w:rsidR="00B27540" w:rsidRPr="00B27540">
              <w:rPr>
                <w:rFonts w:ascii="Arial" w:eastAsia="맑은 고딕"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맑은 고딕"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맑은 고딕"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맑은 고딕" w:hAnsi="Arial" w:cs="Arial"/>
                <w:bCs/>
                <w:color w:val="000000"/>
                <w:sz w:val="18"/>
                <w:szCs w:val="18"/>
                <w:lang w:val="en-US" w:eastAsia="ko-KR"/>
              </w:rPr>
              <w:t>PDCCH, PDSCH, and SRS reusing the Rel-15/16 signaling/configuration design(s)</w:t>
            </w:r>
            <w:r w:rsidR="00B27540" w:rsidRPr="00B27540">
              <w:rPr>
                <w:rFonts w:ascii="Arial" w:eastAsia="맑은 고딕"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ac"/>
              <w:tblW w:w="0" w:type="auto"/>
              <w:tblLayout w:type="fixed"/>
              <w:tblLook w:val="04A0" w:firstRow="1" w:lastRow="0" w:firstColumn="1" w:lastColumn="0" w:noHBand="0" w:noVBand="1"/>
            </w:tblPr>
            <w:tblGrid>
              <w:gridCol w:w="8748"/>
            </w:tblGrid>
            <w:tr w:rsidR="008A2BB6" w:rsidRPr="00494792" w14:paraId="2B575FDD" w14:textId="77777777" w:rsidTr="00557A8D">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맑은 고딕" w:hAnsi="Arial" w:cs="Arial"/>
                <w:bCs/>
                <w:color w:val="FF0000"/>
                <w:sz w:val="18"/>
                <w:szCs w:val="18"/>
                <w:lang w:val="en-US" w:eastAsia="ko-KR"/>
              </w:rPr>
            </w:pPr>
            <w:r w:rsidRPr="00B27540">
              <w:rPr>
                <w:rFonts w:ascii="Arial" w:eastAsia="맑은 고딕" w:hAnsi="Arial" w:cs="Arial"/>
                <w:bCs/>
                <w:color w:val="FF0000"/>
                <w:sz w:val="18"/>
                <w:szCs w:val="18"/>
                <w:lang w:val="en-US" w:eastAsia="ko-KR"/>
              </w:rPr>
              <w:t xml:space="preserve">Support of indication/configuration of R17 TCI states for </w:t>
            </w:r>
            <w:r w:rsidRPr="00862C70">
              <w:rPr>
                <w:rFonts w:ascii="Arial" w:eastAsia="맑은 고딕" w:hAnsi="Arial" w:cs="Arial"/>
                <w:bCs/>
                <w:color w:val="FF0000"/>
                <w:sz w:val="18"/>
                <w:szCs w:val="18"/>
                <w:lang w:val="en-US" w:eastAsia="ko-KR"/>
              </w:rPr>
              <w:t xml:space="preserve">CORESET 0 and </w:t>
            </w:r>
            <w:r>
              <w:rPr>
                <w:rFonts w:ascii="Arial" w:eastAsia="맑은 고딕" w:hAnsi="Arial" w:cs="Arial"/>
                <w:bCs/>
                <w:color w:val="FF0000"/>
                <w:sz w:val="18"/>
                <w:szCs w:val="18"/>
                <w:lang w:val="en-US" w:eastAsia="ko-KR"/>
              </w:rPr>
              <w:t xml:space="preserve">the respective </w:t>
            </w:r>
            <w:r w:rsidRPr="00862C70">
              <w:rPr>
                <w:rFonts w:ascii="Arial" w:eastAsia="맑은 고딕" w:hAnsi="Arial" w:cs="Arial"/>
                <w:bCs/>
                <w:color w:val="FF0000"/>
                <w:sz w:val="18"/>
                <w:szCs w:val="18"/>
                <w:lang w:val="en-US" w:eastAsia="ko-KR"/>
              </w:rPr>
              <w:t>PDSCH</w:t>
            </w:r>
            <w:r w:rsidRPr="00B27540">
              <w:rPr>
                <w:rFonts w:ascii="Arial" w:eastAsia="맑은 고딕" w:hAnsi="Arial" w:cs="Arial"/>
                <w:bCs/>
                <w:color w:val="FF0000"/>
                <w:sz w:val="18"/>
                <w:szCs w:val="18"/>
                <w:lang w:val="en-US" w:eastAsia="ko-KR"/>
              </w:rPr>
              <w:t xml:space="preserve"> </w:t>
            </w:r>
            <w:r>
              <w:rPr>
                <w:rFonts w:ascii="Arial" w:eastAsia="맑은 고딕" w:hAnsi="Arial" w:cs="Arial"/>
                <w:bCs/>
                <w:color w:val="FF0000"/>
                <w:sz w:val="18"/>
                <w:szCs w:val="18"/>
                <w:lang w:val="en-US" w:eastAsia="ko-KR"/>
              </w:rPr>
              <w:t xml:space="preserve">reception </w:t>
            </w:r>
            <w:r w:rsidRPr="00B27540">
              <w:rPr>
                <w:rFonts w:ascii="Arial" w:eastAsia="맑은 고딕"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맑은 고딕"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맑은 고딕"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맑은 고딕" w:hAnsi="Arial" w:cs="Arial"/>
                <w:bCs/>
                <w:color w:val="000000"/>
                <w:sz w:val="18"/>
                <w:szCs w:val="18"/>
                <w:lang w:val="en-US" w:eastAsia="ko-KR"/>
              </w:rPr>
              <w:t>PDCCH, PDSCH, and SRS reusing the Rel-15/16 signaling/configuration design(s)</w:t>
            </w:r>
            <w:r w:rsidRPr="00B27540">
              <w:rPr>
                <w:rFonts w:ascii="Arial" w:eastAsia="맑은 고딕"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hint="eastAsia"/>
                <w:sz w:val="18"/>
                <w:szCs w:val="18"/>
                <w:lang w:eastAsia="zh-CN"/>
              </w:rPr>
            </w:pPr>
            <w:r>
              <w:rPr>
                <w:rFonts w:eastAsia="맑은 고딕"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맑은 고딕"/>
                <w:bCs/>
                <w:sz w:val="18"/>
                <w:szCs w:val="18"/>
                <w:lang w:eastAsia="ko-KR"/>
              </w:rPr>
            </w:pPr>
            <w:r>
              <w:rPr>
                <w:rFonts w:eastAsia="맑은 고딕"/>
                <w:bCs/>
                <w:sz w:val="18"/>
                <w:szCs w:val="18"/>
                <w:lang w:eastAsia="ko-KR"/>
              </w:rPr>
              <w:t>1.G: As mentioned that the behaviour is already in par</w:t>
            </w:r>
            <w:r>
              <w:rPr>
                <w:rFonts w:eastAsia="맑은 고딕" w:hint="eastAsia"/>
                <w:bCs/>
                <w:sz w:val="18"/>
                <w:szCs w:val="18"/>
                <w:lang w:eastAsia="ko-KR"/>
              </w:rPr>
              <w:t>t</w:t>
            </w:r>
            <w:r>
              <w:rPr>
                <w:rFonts w:eastAsia="맑은 고딕"/>
                <w:bCs/>
                <w:sz w:val="18"/>
                <w:szCs w:val="18"/>
                <w:lang w:eastAsia="ko-KR"/>
              </w:rPr>
              <w:t xml:space="preserve"> of legacy behaviour, it seems redundant where the proposal is to determine initial beam as similar to the agreement in the last week.</w:t>
            </w:r>
          </w:p>
          <w:p w14:paraId="6C83D71A" w14:textId="77777777" w:rsidR="00E52F74" w:rsidRDefault="00E52F74" w:rsidP="00E52F74">
            <w:pPr>
              <w:pStyle w:val="0Maintext"/>
              <w:snapToGrid w:val="0"/>
              <w:spacing w:after="0" w:line="240" w:lineRule="auto"/>
              <w:ind w:firstLine="0"/>
              <w:rPr>
                <w:rFonts w:eastAsia="맑은 고딕"/>
                <w:bCs/>
                <w:sz w:val="18"/>
                <w:szCs w:val="18"/>
                <w:lang w:eastAsia="ko-KR"/>
              </w:rPr>
            </w:pPr>
          </w:p>
          <w:p w14:paraId="18DFE8D3" w14:textId="77777777" w:rsidR="00E52F74" w:rsidRDefault="00E52F74" w:rsidP="00E52F74">
            <w:pPr>
              <w:pStyle w:val="0Maintext"/>
              <w:snapToGrid w:val="0"/>
              <w:spacing w:after="0" w:line="240" w:lineRule="auto"/>
              <w:ind w:firstLine="0"/>
              <w:rPr>
                <w:rFonts w:eastAsia="맑은 고딕"/>
                <w:bCs/>
                <w:sz w:val="18"/>
                <w:szCs w:val="18"/>
                <w:lang w:eastAsia="ko-KR"/>
              </w:rPr>
            </w:pPr>
            <w:r>
              <w:rPr>
                <w:rFonts w:eastAsia="맑은 고딕" w:hint="eastAsia"/>
                <w:bCs/>
                <w:sz w:val="18"/>
                <w:szCs w:val="18"/>
                <w:lang w:eastAsia="ko-KR"/>
              </w:rPr>
              <w:t xml:space="preserve">1.I: </w:t>
            </w:r>
            <w:r>
              <w:rPr>
                <w:rFonts w:eastAsia="맑은 고딕"/>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맑은 고딕"/>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맑은 고딕" w:hint="eastAsia"/>
                <w:bCs/>
                <w:sz w:val="18"/>
                <w:szCs w:val="18"/>
                <w:lang w:eastAsia="ko-KR"/>
              </w:rPr>
              <w:t xml:space="preserve">1.L: </w:t>
            </w:r>
            <w:r>
              <w:rPr>
                <w:rFonts w:eastAsia="맑은 고딕"/>
                <w:bCs/>
                <w:sz w:val="18"/>
                <w:szCs w:val="18"/>
                <w:lang w:eastAsia="ko-KR"/>
              </w:rPr>
              <w:t>Not support. The application flexibility is already given by RRC configuration on CORESET C as similar to CORESET B where gNB can choose whether to use the UE specific beam RS for those PDCCH transmitted via CORESET C. In this sense, it seems natural for UE not supporting this feature that it is not to be configured with this CORESET type.</w:t>
            </w:r>
          </w:p>
        </w:tc>
      </w:tr>
    </w:tbl>
    <w:p w14:paraId="61D859C4" w14:textId="77777777" w:rsidR="004578F3" w:rsidRDefault="004578F3">
      <w:pPr>
        <w:snapToGrid w:val="0"/>
        <w:spacing w:after="120" w:line="288" w:lineRule="auto"/>
        <w:jc w:val="both"/>
        <w:rPr>
          <w:rFonts w:eastAsia="맑은 고딕"/>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맑은 고딕"/>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lastRenderedPageBreak/>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맑은 고딕"/>
                <w:sz w:val="18"/>
                <w:szCs w:val="18"/>
              </w:rPr>
            </w:pPr>
            <w:r>
              <w:rPr>
                <w:rFonts w:eastAsia="맑은 고딕"/>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맑은 고딕" w:hAnsi="Times" w:cs="Times"/>
                <w:b/>
                <w:sz w:val="20"/>
                <w:szCs w:val="20"/>
              </w:rPr>
            </w:pPr>
            <w:r w:rsidRPr="00602412">
              <w:rPr>
                <w:rFonts w:ascii="Times" w:eastAsia="바탕" w:hAnsi="Times" w:cs="Times"/>
                <w:b/>
                <w:sz w:val="20"/>
                <w:szCs w:val="20"/>
                <w:highlight w:val="green"/>
                <w:lang w:val="en-GB" w:eastAsia="en-US"/>
              </w:rPr>
              <w:t>Agreement</w:t>
            </w:r>
          </w:p>
          <w:p w14:paraId="102DE6E7" w14:textId="77777777" w:rsidR="000565EF" w:rsidRPr="00602412" w:rsidRDefault="000565EF" w:rsidP="000565EF">
            <w:pPr>
              <w:rPr>
                <w:rFonts w:ascii="Times" w:eastAsia="바탕" w:hAnsi="Times" w:cs="Times"/>
                <w:sz w:val="20"/>
                <w:szCs w:val="20"/>
                <w:lang w:val="en-GB" w:eastAsia="en-US"/>
              </w:rPr>
            </w:pPr>
            <w:r w:rsidRPr="00602412">
              <w:rPr>
                <w:rFonts w:ascii="Times" w:eastAsia="바탕"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바탕" w:hAnsi="Times" w:cs="Times"/>
                      <w:sz w:val="20"/>
                      <w:szCs w:val="20"/>
                      <w:lang w:val="en-GB" w:eastAsia="en-US"/>
                    </w:rPr>
                    <w:t>If UE is receiving DL data from </w:t>
                  </w:r>
                  <w:r w:rsidRPr="00602412">
                    <w:rPr>
                      <w:rFonts w:ascii="Times" w:eastAsia="바탕" w:hAnsi="Times" w:cs="Times"/>
                      <w:i/>
                      <w:iCs/>
                      <w:sz w:val="20"/>
                      <w:szCs w:val="20"/>
                      <w:lang w:val="en-GB" w:eastAsia="en-US"/>
                    </w:rPr>
                    <w:t xml:space="preserve">TRP with different PCI </w:t>
                  </w:r>
                  <w:r w:rsidRPr="00602412">
                    <w:rPr>
                      <w:rFonts w:ascii="Times" w:eastAsia="바탕" w:hAnsi="Times" w:cs="Times"/>
                      <w:sz w:val="20"/>
                      <w:szCs w:val="20"/>
                      <w:lang w:val="en-GB" w:eastAsia="en-US"/>
                    </w:rPr>
                    <w:t>on dedicated channels, is the UE still able to receive short message (e.g. paging) and system information from </w:t>
                  </w:r>
                  <w:r w:rsidRPr="00602412">
                    <w:rPr>
                      <w:rFonts w:ascii="Times" w:eastAsia="바탕" w:hAnsi="Times" w:cs="Times"/>
                      <w:i/>
                      <w:iCs/>
                      <w:sz w:val="20"/>
                      <w:szCs w:val="20"/>
                      <w:lang w:val="en-GB" w:eastAsia="en-US"/>
                    </w:rPr>
                    <w:t>serving cell TRP </w:t>
                  </w:r>
                  <w:r w:rsidRPr="00602412">
                    <w:rPr>
                      <w:rFonts w:ascii="Times" w:eastAsia="바탕"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lastRenderedPageBreak/>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1" w:name="_Ref505248562"/>
            <w:bookmarkStart w:id="12" w:name="_Toc12021470"/>
            <w:bookmarkStart w:id="13" w:name="_Toc20311582"/>
            <w:bookmarkStart w:id="14" w:name="_Toc26719407"/>
            <w:bookmarkStart w:id="15" w:name="_Toc29894840"/>
            <w:bookmarkStart w:id="16" w:name="_Toc29899139"/>
            <w:bookmarkStart w:id="17" w:name="_Toc29899557"/>
            <w:bookmarkStart w:id="18" w:name="_Toc29917294"/>
            <w:bookmarkStart w:id="19" w:name="_Toc36498168"/>
            <w:bookmarkStart w:id="20" w:name="_Toc45699194"/>
            <w:bookmarkStart w:id="21"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1"/>
            <w:bookmarkEnd w:id="12"/>
            <w:bookmarkEnd w:id="13"/>
            <w:bookmarkEnd w:id="14"/>
            <w:bookmarkEnd w:id="15"/>
            <w:bookmarkEnd w:id="16"/>
            <w:bookmarkEnd w:id="17"/>
            <w:bookmarkEnd w:id="18"/>
            <w:bookmarkEnd w:id="19"/>
            <w:bookmarkEnd w:id="20"/>
            <w:bookmarkEnd w:id="21"/>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lastRenderedPageBreak/>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 xml:space="preserve">t receive the DCI correctly, the UE feedbacks a NACK bit.  In this case, the UE </w:t>
            </w:r>
            <w:bookmarkStart w:id="22" w:name="_GoBack"/>
            <w:bookmarkEnd w:id="22"/>
            <w:r w:rsidRPr="00D230DE">
              <w:rPr>
                <w:bCs/>
                <w:sz w:val="18"/>
                <w:szCs w:val="18"/>
                <w:lang w:eastAsia="zh-CN"/>
              </w:rPr>
              <w:t>does not receive the beam indication but the gNB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맑은 고딕" w:hint="eastAsia"/>
                <w:color w:val="000000" w:themeColor="text1"/>
                <w:sz w:val="18"/>
                <w:szCs w:val="18"/>
              </w:rPr>
            </w:pPr>
            <w:r>
              <w:rPr>
                <w:rFonts w:eastAsia="맑은 고딕"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맑은 고딕"/>
                <w:sz w:val="18"/>
                <w:szCs w:val="18"/>
              </w:rPr>
              <w:t xml:space="preserve">3.9: It is still unclear why this cannot be handled by NW implementation </w:t>
            </w:r>
            <w:r>
              <w:rPr>
                <w:rFonts w:eastAsia="맑은 고딕"/>
                <w:sz w:val="18"/>
                <w:szCs w:val="18"/>
              </w:rPr>
              <w:t>considering that</w:t>
            </w:r>
            <w:r>
              <w:rPr>
                <w:rFonts w:eastAsia="맑은 고딕"/>
                <w:sz w:val="18"/>
                <w:szCs w:val="18"/>
              </w:rPr>
              <w:t xml:space="preserve"> TDRA for a location for the ACK info in the HARQ-ACK codebook and k indicated by the PDSCH-to-HARQ_feedback timing indicator are </w:t>
            </w:r>
            <w:r>
              <w:rPr>
                <w:rFonts w:eastAsia="맑은 고딕"/>
                <w:sz w:val="18"/>
                <w:szCs w:val="18"/>
              </w:rPr>
              <w:t>in DCI altogether</w:t>
            </w:r>
            <w:r>
              <w:rPr>
                <w:rFonts w:eastAsia="맑은 고딕"/>
                <w:sz w:val="18"/>
                <w:szCs w:val="18"/>
              </w:rPr>
              <w:t>.</w:t>
            </w: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맑은 고딕"/>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5FBEABA0"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lastRenderedPageBreak/>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4DEAA" w14:textId="77777777" w:rsidR="0026488A" w:rsidRDefault="0026488A" w:rsidP="00B17B1D">
      <w:r>
        <w:separator/>
      </w:r>
    </w:p>
  </w:endnote>
  <w:endnote w:type="continuationSeparator" w:id="0">
    <w:p w14:paraId="64E4C561" w14:textId="77777777" w:rsidR="0026488A" w:rsidRDefault="0026488A"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785F8" w14:textId="77777777" w:rsidR="0026488A" w:rsidRDefault="0026488A" w:rsidP="00B17B1D">
      <w:r>
        <w:separator/>
      </w:r>
    </w:p>
  </w:footnote>
  <w:footnote w:type="continuationSeparator" w:id="0">
    <w:p w14:paraId="6C16223E" w14:textId="77777777" w:rsidR="0026488A" w:rsidRDefault="0026488A" w:rsidP="00B17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9"/>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0"/>
  </w:num>
  <w:num w:numId="18">
    <w:abstractNumId w:val="37"/>
  </w:num>
  <w:num w:numId="19">
    <w:abstractNumId w:val="11"/>
  </w:num>
  <w:num w:numId="20">
    <w:abstractNumId w:val="36"/>
  </w:num>
  <w:num w:numId="21">
    <w:abstractNumId w:val="34"/>
  </w:num>
  <w:num w:numId="22">
    <w:abstractNumId w:val="32"/>
  </w:num>
  <w:num w:numId="23">
    <w:abstractNumId w:val="31"/>
  </w:num>
  <w:num w:numId="24">
    <w:abstractNumId w:val="41"/>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38"/>
  </w:num>
  <w:num w:numId="40">
    <w:abstractNumId w:val="16"/>
  </w:num>
  <w:num w:numId="41">
    <w:abstractNumId w:val="25"/>
  </w:num>
  <w:num w:numId="42">
    <w:abstractNumId w:val="19"/>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DD7"/>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link w:val="2Char"/>
    <w:uiPriority w:val="9"/>
    <w:qFormat/>
    <w:pPr>
      <w:keepNext/>
      <w:keepLines/>
      <w:spacing w:before="40"/>
      <w:outlineLvl w:val="1"/>
    </w:pPr>
    <w:rPr>
      <w:rFonts w:eastAsia="DengXian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Char"/>
    <w:uiPriority w:val="9"/>
    <w:qFormat/>
    <w:pPr>
      <w:keepNext/>
      <w:keepLines/>
      <w:spacing w:before="40"/>
      <w:outlineLvl w:val="2"/>
    </w:pPr>
    <w:rPr>
      <w:rFonts w:eastAsia="DengXian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pPr>
      <w:spacing w:after="160"/>
    </w:pPr>
    <w:rPr>
      <w:rFonts w:eastAsia="SimSun"/>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SimSun"/>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
    <w:basedOn w:val="a"/>
    <w:link w:val="Char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Char0">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맑은 고딕"/>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paragraph" w:styleId="afe">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SimSun"/>
      <w:noProof/>
      <w:sz w:val="20"/>
      <w:szCs w:val="20"/>
      <w:lang w:val="en-GB" w:eastAsia="en-US"/>
    </w:rPr>
  </w:style>
  <w:style w:type="character" w:customStyle="1" w:styleId="2Char">
    <w:name w:val="제목 2 Char"/>
    <w:basedOn w:val="a0"/>
    <w:link w:val="2"/>
    <w:uiPriority w:val="9"/>
    <w:rsid w:val="002F33A3"/>
    <w:rPr>
      <w:rFonts w:ascii="Times New Roman" w:eastAsia="DengXian Light" w:hAnsi="Times New Roman"/>
      <w:sz w:val="28"/>
      <w:szCs w:val="26"/>
      <w:lang w:eastAsia="ko-KR"/>
    </w:rPr>
  </w:style>
  <w:style w:type="character" w:customStyle="1" w:styleId="aff">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SimSun" w:eastAsia="SimSun" w:hAnsi="SimSun"/>
      <w:lang w:eastAsia="en-US"/>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basedOn w:val="a0"/>
    <w:link w:val="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B4970-8854-46F7-83DB-B1C258BE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5581</Words>
  <Characters>31813</Characters>
  <Application>Microsoft Office Word</Application>
  <DocSecurity>0</DocSecurity>
  <Lines>265</Lines>
  <Paragraphs>74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2</cp:revision>
  <cp:lastPrinted>2021-10-06T09:28:00Z</cp:lastPrinted>
  <dcterms:created xsi:type="dcterms:W3CDTF">2022-03-01T08:00:00Z</dcterms:created>
  <dcterms:modified xsi:type="dcterms:W3CDTF">2022-03-01T08:00:00Z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