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BE47A" w14:textId="212314F4" w:rsidR="00F50DEC" w:rsidRPr="00C26821" w:rsidRDefault="0067209C" w:rsidP="00F50DEC">
      <w:pPr>
        <w:snapToGrid w:val="0"/>
        <w:rPr>
          <w:rFonts w:cs="Arial"/>
          <w:b/>
          <w:color w:val="000000"/>
          <w:sz w:val="28"/>
          <w:szCs w:val="28"/>
          <w:lang w:val="en-US"/>
        </w:rPr>
      </w:pPr>
      <w:bookmarkStart w:id="0" w:name="_GoBack"/>
      <w:bookmarkEnd w:id="0"/>
      <w:r>
        <w:rPr>
          <w:rFonts w:cs="Arial"/>
          <w:b/>
          <w:color w:val="000000"/>
          <w:sz w:val="28"/>
          <w:szCs w:val="28"/>
        </w:rPr>
        <w:t>3GPP TSG</w:t>
      </w:r>
      <w:r w:rsidR="00785D82">
        <w:rPr>
          <w:rFonts w:asciiTheme="minorEastAsia" w:eastAsiaTheme="minorEastAsia" w:hAnsiTheme="minorEastAsia" w:cs="Arial"/>
          <w:b/>
          <w:color w:val="000000"/>
          <w:sz w:val="28"/>
          <w:szCs w:val="28"/>
          <w:lang w:eastAsia="zh-CN"/>
        </w:rPr>
        <w:t>-</w:t>
      </w:r>
      <w:r>
        <w:rPr>
          <w:rFonts w:cs="Arial"/>
          <w:b/>
          <w:color w:val="000000"/>
          <w:sz w:val="28"/>
          <w:szCs w:val="28"/>
        </w:rPr>
        <w:t xml:space="preserve">RAN WG1 </w:t>
      </w:r>
      <w:r w:rsidR="009B56A2">
        <w:rPr>
          <w:rFonts w:cs="Arial"/>
          <w:b/>
          <w:color w:val="000000"/>
          <w:sz w:val="28"/>
          <w:szCs w:val="28"/>
        </w:rPr>
        <w:t xml:space="preserve">Meeting </w:t>
      </w:r>
      <w:r>
        <w:rPr>
          <w:rFonts w:cs="Arial"/>
          <w:b/>
          <w:color w:val="000000"/>
          <w:sz w:val="28"/>
          <w:szCs w:val="28"/>
        </w:rPr>
        <w:t>#10</w:t>
      </w:r>
      <w:r w:rsidR="00C5478D">
        <w:rPr>
          <w:rFonts w:cs="Arial"/>
          <w:b/>
          <w:color w:val="000000"/>
          <w:sz w:val="28"/>
          <w:szCs w:val="28"/>
        </w:rPr>
        <w:t>8</w:t>
      </w:r>
      <w:r w:rsidR="00F50DEC" w:rsidRPr="004D050E">
        <w:rPr>
          <w:rFonts w:cs="Arial"/>
          <w:b/>
          <w:color w:val="000000"/>
          <w:sz w:val="28"/>
          <w:szCs w:val="28"/>
        </w:rPr>
        <w:t>-e</w:t>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C26821">
        <w:rPr>
          <w:rFonts w:cs="Arial"/>
          <w:b/>
          <w:color w:val="000000"/>
          <w:sz w:val="28"/>
          <w:szCs w:val="28"/>
        </w:rPr>
        <w:t xml:space="preserve"> </w:t>
      </w:r>
      <w:r w:rsidR="009B56A2">
        <w:rPr>
          <w:rFonts w:cs="Arial"/>
          <w:b/>
          <w:color w:val="000000"/>
          <w:sz w:val="28"/>
          <w:szCs w:val="28"/>
        </w:rPr>
        <w:t xml:space="preserve"> </w:t>
      </w:r>
      <w:r w:rsidR="00C26821" w:rsidRPr="00C26821">
        <w:rPr>
          <w:rFonts w:cs="Arial"/>
          <w:b/>
          <w:color w:val="000000"/>
          <w:sz w:val="28"/>
          <w:szCs w:val="28"/>
        </w:rPr>
        <w:t>R1-2</w:t>
      </w:r>
      <w:r w:rsidR="00CA5D48">
        <w:rPr>
          <w:rFonts w:cs="Arial"/>
          <w:b/>
          <w:color w:val="000000"/>
          <w:sz w:val="28"/>
          <w:szCs w:val="28"/>
        </w:rPr>
        <w:t>20</w:t>
      </w:r>
      <w:r w:rsidR="00A065C5">
        <w:rPr>
          <w:rFonts w:cs="Arial"/>
          <w:b/>
          <w:color w:val="000000"/>
          <w:sz w:val="28"/>
          <w:szCs w:val="28"/>
        </w:rPr>
        <w:t>2447</w:t>
      </w:r>
    </w:p>
    <w:p w14:paraId="7BD8F69B" w14:textId="36237810" w:rsidR="00F50DEC" w:rsidRPr="0077181D" w:rsidRDefault="004969D3" w:rsidP="00F50DEC">
      <w:pPr>
        <w:snapToGrid w:val="0"/>
        <w:rPr>
          <w:rFonts w:cs="Arial"/>
          <w:b/>
          <w:color w:val="000000"/>
          <w:sz w:val="28"/>
          <w:szCs w:val="28"/>
        </w:rPr>
      </w:pPr>
      <w:r>
        <w:rPr>
          <w:rFonts w:cs="Arial"/>
          <w:b/>
          <w:color w:val="000000"/>
          <w:sz w:val="28"/>
          <w:szCs w:val="28"/>
        </w:rPr>
        <w:t>e</w:t>
      </w:r>
      <w:r w:rsidR="00F50DEC" w:rsidRPr="004D050E">
        <w:rPr>
          <w:rFonts w:cs="Arial"/>
          <w:b/>
          <w:color w:val="000000"/>
          <w:sz w:val="28"/>
          <w:szCs w:val="28"/>
        </w:rPr>
        <w:t>-</w:t>
      </w:r>
      <w:r>
        <w:rPr>
          <w:rFonts w:cs="Arial"/>
          <w:b/>
          <w:color w:val="000000"/>
          <w:sz w:val="28"/>
          <w:szCs w:val="28"/>
        </w:rPr>
        <w:t>M</w:t>
      </w:r>
      <w:r w:rsidR="00F50DEC" w:rsidRPr="004D050E">
        <w:rPr>
          <w:rFonts w:cs="Arial"/>
          <w:b/>
          <w:color w:val="000000"/>
          <w:sz w:val="28"/>
          <w:szCs w:val="28"/>
        </w:rPr>
        <w:t xml:space="preserve">eeting, </w:t>
      </w:r>
      <w:r>
        <w:rPr>
          <w:rFonts w:cs="Arial"/>
          <w:b/>
          <w:color w:val="000000"/>
          <w:sz w:val="28"/>
          <w:szCs w:val="28"/>
        </w:rPr>
        <w:t>Februray</w:t>
      </w:r>
      <w:r w:rsidR="0077181D" w:rsidRPr="0077181D">
        <w:rPr>
          <w:rFonts w:cs="Arial"/>
          <w:b/>
          <w:color w:val="000000"/>
          <w:sz w:val="28"/>
          <w:szCs w:val="28"/>
        </w:rPr>
        <w:t xml:space="preserve"> </w:t>
      </w:r>
      <w:r>
        <w:rPr>
          <w:rFonts w:cs="Arial"/>
          <w:b/>
          <w:color w:val="000000"/>
          <w:sz w:val="28"/>
          <w:szCs w:val="28"/>
        </w:rPr>
        <w:t>21</w:t>
      </w:r>
      <w:r w:rsidR="0077181D" w:rsidRPr="0077181D">
        <w:rPr>
          <w:rFonts w:cs="Arial"/>
          <w:b/>
          <w:color w:val="000000"/>
          <w:sz w:val="28"/>
          <w:szCs w:val="28"/>
        </w:rPr>
        <w:t xml:space="preserve"> – </w:t>
      </w:r>
      <w:r>
        <w:rPr>
          <w:rFonts w:cs="Arial"/>
          <w:b/>
          <w:color w:val="000000"/>
          <w:sz w:val="28"/>
          <w:szCs w:val="28"/>
        </w:rPr>
        <w:t>March 3</w:t>
      </w:r>
      <w:r w:rsidR="0077181D" w:rsidRPr="0077181D">
        <w:rPr>
          <w:rFonts w:cs="Arial"/>
          <w:b/>
          <w:color w:val="000000"/>
          <w:sz w:val="28"/>
          <w:szCs w:val="28"/>
        </w:rPr>
        <w:t>, 2022</w:t>
      </w:r>
    </w:p>
    <w:p w14:paraId="3B016A4E" w14:textId="77777777" w:rsidR="00F50DEC" w:rsidRPr="00B41C14" w:rsidRDefault="00F50DEC" w:rsidP="00F50DEC">
      <w:pPr>
        <w:snapToGrid w:val="0"/>
        <w:rPr>
          <w:rFonts w:cs="Arial"/>
          <w:b/>
          <w:color w:val="000000"/>
          <w:sz w:val="28"/>
          <w:szCs w:val="28"/>
        </w:rPr>
      </w:pPr>
    </w:p>
    <w:p w14:paraId="73C2CED2" w14:textId="77777777" w:rsidR="00B90350" w:rsidRPr="00F50DEC" w:rsidRDefault="00B90350" w:rsidP="00B90350">
      <w:pPr>
        <w:pBdr>
          <w:top w:val="single" w:sz="4" w:space="1" w:color="auto"/>
        </w:pBdr>
        <w:autoSpaceDE w:val="0"/>
        <w:autoSpaceDN w:val="0"/>
        <w:adjustRightInd w:val="0"/>
        <w:snapToGrid w:val="0"/>
        <w:rPr>
          <w:rFonts w:eastAsia="SimSun"/>
          <w:b/>
          <w:kern w:val="2"/>
          <w:sz w:val="16"/>
          <w:szCs w:val="16"/>
          <w:lang w:eastAsia="zh-CN"/>
        </w:rPr>
      </w:pPr>
    </w:p>
    <w:p w14:paraId="13853684" w14:textId="0187982F" w:rsidR="00B90350" w:rsidRPr="00367781" w:rsidRDefault="001817EF" w:rsidP="00B90350">
      <w:pPr>
        <w:autoSpaceDE w:val="0"/>
        <w:autoSpaceDN w:val="0"/>
        <w:adjustRightInd w:val="0"/>
        <w:snapToGrid w:val="0"/>
        <w:spacing w:after="60"/>
        <w:ind w:left="1555" w:hanging="1555"/>
        <w:rPr>
          <w:rFonts w:eastAsia="SimSun"/>
          <w:b/>
          <w:kern w:val="2"/>
          <w:sz w:val="22"/>
          <w:szCs w:val="22"/>
          <w:lang w:val="en-US" w:eastAsia="zh-CN"/>
        </w:rPr>
      </w:pPr>
      <w:r>
        <w:rPr>
          <w:rFonts w:eastAsia="SimSun"/>
          <w:b/>
          <w:kern w:val="2"/>
          <w:sz w:val="22"/>
          <w:szCs w:val="22"/>
          <w:lang w:val="en-US" w:eastAsia="zh-CN"/>
        </w:rPr>
        <w:t>Agenda Item:</w:t>
      </w:r>
      <w:r>
        <w:rPr>
          <w:rFonts w:eastAsia="SimSun"/>
          <w:b/>
          <w:kern w:val="2"/>
          <w:sz w:val="22"/>
          <w:szCs w:val="22"/>
          <w:lang w:val="en-US" w:eastAsia="zh-CN"/>
        </w:rPr>
        <w:tab/>
        <w:t>8.16</w:t>
      </w:r>
    </w:p>
    <w:p w14:paraId="788932E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Source:</w:t>
      </w:r>
      <w:r w:rsidRPr="00367781">
        <w:rPr>
          <w:rFonts w:eastAsia="SimSun"/>
          <w:b/>
          <w:kern w:val="2"/>
          <w:sz w:val="22"/>
          <w:szCs w:val="22"/>
          <w:lang w:val="en-US" w:eastAsia="zh-CN"/>
        </w:rPr>
        <w:tab/>
        <w:t>Huawei, HiSilicon</w:t>
      </w:r>
    </w:p>
    <w:p w14:paraId="4272B6AA" w14:textId="0C9C6380" w:rsidR="00B90350" w:rsidRPr="00462D76"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Title:</w:t>
      </w:r>
      <w:r w:rsidRPr="00367781">
        <w:rPr>
          <w:rFonts w:eastAsia="SimSun"/>
          <w:b/>
          <w:kern w:val="2"/>
          <w:sz w:val="22"/>
          <w:szCs w:val="22"/>
          <w:lang w:val="en-US" w:eastAsia="zh-CN"/>
        </w:rPr>
        <w:tab/>
      </w:r>
      <w:r w:rsidR="00462D76" w:rsidRPr="00462D76">
        <w:rPr>
          <w:rFonts w:eastAsia="SimSun"/>
          <w:b/>
          <w:kern w:val="2"/>
          <w:sz w:val="22"/>
          <w:szCs w:val="22"/>
          <w:lang w:val="en-US" w:eastAsia="zh-CN"/>
        </w:rPr>
        <w:t>On support of UE feature(s) for 32 HARQ processes in Rel-17 work items</w:t>
      </w:r>
    </w:p>
    <w:p w14:paraId="45D65D3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Document for:</w:t>
      </w:r>
      <w:r w:rsidRPr="00367781">
        <w:rPr>
          <w:rFonts w:eastAsia="SimSun"/>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SimSun"/>
          <w:b/>
          <w:kern w:val="2"/>
          <w:sz w:val="16"/>
          <w:szCs w:val="16"/>
          <w:lang w:val="en-US" w:eastAsia="zh-CN"/>
        </w:rPr>
      </w:pPr>
    </w:p>
    <w:p w14:paraId="5D4C471D" w14:textId="7FA51FC5" w:rsidR="00A54177" w:rsidRPr="00556D0E" w:rsidRDefault="00A54177"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Introduction</w:t>
      </w:r>
    </w:p>
    <w:p w14:paraId="24A0C08C" w14:textId="5C0BEA21" w:rsidR="00A02E5F" w:rsidRPr="00CA5D48" w:rsidRDefault="00A02E5F" w:rsidP="00A02E5F">
      <w:pPr>
        <w:pStyle w:val="BodyText"/>
        <w:rPr>
          <w:sz w:val="22"/>
          <w:szCs w:val="22"/>
        </w:rPr>
      </w:pPr>
      <w:r w:rsidRPr="00171E8A">
        <w:rPr>
          <w:sz w:val="22"/>
          <w:szCs w:val="22"/>
        </w:rPr>
        <w:t>In RAN1</w:t>
      </w:r>
      <w:r w:rsidRPr="00E60CBA">
        <w:rPr>
          <w:sz w:val="22"/>
          <w:szCs w:val="22"/>
        </w:rPr>
        <w:t>#</w:t>
      </w:r>
      <w:r w:rsidRPr="00E60CBA">
        <w:rPr>
          <w:rFonts w:eastAsia="Malgun Gothic"/>
          <w:sz w:val="22"/>
          <w:szCs w:val="22"/>
          <w:lang w:val="en-US" w:eastAsia="en-US"/>
        </w:rPr>
        <w:t>10</w:t>
      </w:r>
      <w:r w:rsidR="00462D76">
        <w:rPr>
          <w:rFonts w:eastAsia="Malgun Gothic"/>
          <w:sz w:val="22"/>
          <w:szCs w:val="22"/>
          <w:lang w:val="en-US" w:eastAsia="en-US"/>
        </w:rPr>
        <w:t>7</w:t>
      </w:r>
      <w:r w:rsidRPr="00E60CBA">
        <w:rPr>
          <w:rFonts w:eastAsia="Malgun Gothic"/>
          <w:sz w:val="22"/>
          <w:szCs w:val="22"/>
          <w:lang w:val="en-US" w:eastAsia="en-US"/>
        </w:rPr>
        <w:t>-e,</w:t>
      </w:r>
      <w:r w:rsidR="00E60CBA" w:rsidRPr="00E60CBA">
        <w:rPr>
          <w:rFonts w:eastAsia="Malgun Gothic"/>
          <w:sz w:val="22"/>
          <w:szCs w:val="22"/>
          <w:lang w:val="en-US" w:eastAsia="en-US"/>
        </w:rPr>
        <w:t xml:space="preserve"> </w:t>
      </w:r>
      <w:r w:rsidR="00CA5D48">
        <w:rPr>
          <w:rFonts w:eastAsia="Malgun Gothic"/>
          <w:sz w:val="22"/>
          <w:szCs w:val="22"/>
          <w:lang w:val="en-US" w:eastAsia="en-US"/>
        </w:rPr>
        <w:t>the support of</w:t>
      </w:r>
      <w:r w:rsidR="00462D76" w:rsidRPr="00462D76">
        <w:rPr>
          <w:rFonts w:eastAsia="Malgun Gothic"/>
          <w:sz w:val="22"/>
          <w:szCs w:val="22"/>
          <w:lang w:val="en-US" w:eastAsia="en-US"/>
        </w:rPr>
        <w:t xml:space="preserve"> </w:t>
      </w:r>
      <w:r w:rsidR="002D03DB">
        <w:rPr>
          <w:rFonts w:eastAsia="Malgun Gothic"/>
          <w:sz w:val="22"/>
          <w:szCs w:val="22"/>
          <w:lang w:val="en-US" w:eastAsia="en-US"/>
        </w:rPr>
        <w:t xml:space="preserve">UE feature </w:t>
      </w:r>
      <w:r w:rsidR="00D833BD">
        <w:rPr>
          <w:rFonts w:eastAsia="Malgun Gothic"/>
          <w:sz w:val="22"/>
          <w:szCs w:val="22"/>
          <w:lang w:val="en-US" w:eastAsia="en-US"/>
        </w:rPr>
        <w:t xml:space="preserve">for </w:t>
      </w:r>
      <w:r w:rsidR="00462D76" w:rsidRPr="00462D76">
        <w:rPr>
          <w:rFonts w:eastAsia="Malgun Gothic"/>
          <w:sz w:val="22"/>
          <w:szCs w:val="22"/>
          <w:lang w:val="en-US" w:eastAsia="en-US"/>
        </w:rPr>
        <w:t>32 HARQ processes</w:t>
      </w:r>
      <w:r w:rsidR="00CA5D48">
        <w:rPr>
          <w:rFonts w:eastAsia="Malgun Gothic"/>
          <w:sz w:val="22"/>
          <w:szCs w:val="22"/>
          <w:lang w:val="en-US" w:eastAsia="en-US"/>
        </w:rPr>
        <w:t xml:space="preserve"> </w:t>
      </w:r>
      <w:r w:rsidR="00D833BD">
        <w:rPr>
          <w:rFonts w:eastAsia="Malgun Gothic"/>
          <w:sz w:val="22"/>
          <w:szCs w:val="22"/>
          <w:lang w:val="en-US" w:eastAsia="en-US"/>
        </w:rPr>
        <w:t>was</w:t>
      </w:r>
      <w:r w:rsidR="00CA5D48">
        <w:rPr>
          <w:rFonts w:eastAsia="Malgun Gothic"/>
          <w:sz w:val="22"/>
          <w:szCs w:val="22"/>
          <w:lang w:val="en-US" w:eastAsia="en-US"/>
        </w:rPr>
        <w:t xml:space="preserve"> discussed </w:t>
      </w:r>
      <w:r w:rsidR="009E49C6">
        <w:rPr>
          <w:rFonts w:eastAsia="Malgun Gothic"/>
          <w:sz w:val="22"/>
          <w:szCs w:val="22"/>
          <w:lang w:val="en-US" w:eastAsia="en-US"/>
        </w:rPr>
        <w:t>in</w:t>
      </w:r>
      <w:r w:rsidR="00CA5D48">
        <w:rPr>
          <w:rFonts w:eastAsia="Malgun Gothic"/>
          <w:sz w:val="22"/>
          <w:szCs w:val="22"/>
          <w:lang w:val="en-US" w:eastAsia="en-US"/>
        </w:rPr>
        <w:t xml:space="preserve"> </w:t>
      </w:r>
      <w:r w:rsidR="009E49C6">
        <w:rPr>
          <w:rFonts w:eastAsia="Malgun Gothic"/>
          <w:sz w:val="22"/>
          <w:szCs w:val="22"/>
          <w:lang w:val="en-US" w:eastAsia="en-US"/>
        </w:rPr>
        <w:t xml:space="preserve">three different </w:t>
      </w:r>
      <w:r w:rsidR="00CA5D48">
        <w:rPr>
          <w:rFonts w:eastAsia="Malgun Gothic"/>
          <w:sz w:val="22"/>
          <w:szCs w:val="22"/>
          <w:lang w:val="en-US" w:eastAsia="en-US"/>
        </w:rPr>
        <w:t>WIs</w:t>
      </w:r>
      <w:r w:rsidR="00462D76" w:rsidRPr="00462D76">
        <w:rPr>
          <w:rFonts w:eastAsia="Malgun Gothic"/>
          <w:sz w:val="22"/>
          <w:szCs w:val="22"/>
          <w:lang w:val="en-US" w:eastAsia="en-US"/>
        </w:rPr>
        <w:t xml:space="preserve">, </w:t>
      </w:r>
      <w:r w:rsidR="00CA5D48">
        <w:rPr>
          <w:rFonts w:eastAsia="Malgun Gothic"/>
          <w:sz w:val="22"/>
          <w:szCs w:val="22"/>
          <w:lang w:val="en-US" w:eastAsia="en-US"/>
        </w:rPr>
        <w:t>e.g.</w:t>
      </w:r>
      <w:r w:rsidR="00462D76" w:rsidRPr="00462D76">
        <w:rPr>
          <w:rFonts w:eastAsia="Malgun Gothic"/>
          <w:sz w:val="22"/>
          <w:szCs w:val="22"/>
          <w:lang w:val="en-US" w:eastAsia="en-US"/>
        </w:rPr>
        <w:t xml:space="preserve"> </w:t>
      </w:r>
      <w:r w:rsidR="00CA5D48">
        <w:rPr>
          <w:rFonts w:eastAsia="Malgun Gothic"/>
          <w:sz w:val="22"/>
          <w:szCs w:val="22"/>
          <w:lang w:val="en-US" w:eastAsia="en-US"/>
        </w:rPr>
        <w:t xml:space="preserve">above </w:t>
      </w:r>
      <w:r w:rsidR="00CA5D48" w:rsidRPr="00CA5D48">
        <w:rPr>
          <w:rFonts w:eastAsia="Malgun Gothic"/>
          <w:sz w:val="22"/>
          <w:szCs w:val="22"/>
          <w:lang w:val="en-US" w:eastAsia="en-US"/>
        </w:rPr>
        <w:t>52.6GHz</w:t>
      </w:r>
      <w:r w:rsidR="00CA5D48">
        <w:rPr>
          <w:rFonts w:eastAsia="Malgun Gothic"/>
          <w:sz w:val="22"/>
          <w:szCs w:val="22"/>
          <w:lang w:val="en-US" w:eastAsia="en-US"/>
        </w:rPr>
        <w:t xml:space="preserve">, NTN and MBS. </w:t>
      </w:r>
      <w:r w:rsidR="00D833BD">
        <w:rPr>
          <w:rFonts w:eastAsia="Malgun Gothic"/>
          <w:sz w:val="22"/>
          <w:szCs w:val="22"/>
          <w:lang w:val="en-US" w:eastAsia="en-US"/>
        </w:rPr>
        <w:t>In this contribution, we provide our views on</w:t>
      </w:r>
      <w:r w:rsidR="001A7CFD">
        <w:rPr>
          <w:rFonts w:eastAsia="Malgun Gothic"/>
          <w:sz w:val="22"/>
          <w:szCs w:val="22"/>
          <w:lang w:val="en-US" w:eastAsia="en-US"/>
        </w:rPr>
        <w:t xml:space="preserve"> how to handle</w:t>
      </w:r>
      <w:r w:rsidR="00D833BD">
        <w:rPr>
          <w:rFonts w:eastAsia="Malgun Gothic"/>
          <w:sz w:val="22"/>
          <w:szCs w:val="22"/>
          <w:lang w:val="en-US" w:eastAsia="en-US"/>
        </w:rPr>
        <w:t xml:space="preserve"> this feature in Rel-17.</w:t>
      </w:r>
    </w:p>
    <w:p w14:paraId="1B01AFBB" w14:textId="16527CE7" w:rsidR="00D833BD" w:rsidRPr="00D833BD" w:rsidRDefault="001D7368" w:rsidP="00D833BD">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 xml:space="preserve">Discussion </w:t>
      </w:r>
    </w:p>
    <w:p w14:paraId="6197E38E" w14:textId="0F826A42" w:rsidR="00D833BD" w:rsidRDefault="00D833BD" w:rsidP="00D833BD">
      <w:pPr>
        <w:pStyle w:val="maintext"/>
        <w:ind w:firstLineChars="0" w:firstLine="0"/>
        <w:rPr>
          <w:rFonts w:ascii="Calibri" w:hAnsi="Calibri" w:cs="Arial"/>
          <w:b/>
          <w:color w:val="000000"/>
          <w:highlight w:val="green"/>
        </w:rPr>
      </w:pPr>
      <w:r>
        <w:rPr>
          <w:sz w:val="22"/>
          <w:szCs w:val="22"/>
        </w:rPr>
        <w:t>For NR NTN, the following FG was agreed on the support of 32 HARQ processes</w:t>
      </w:r>
      <w:r w:rsidR="009D6DCC">
        <w:rPr>
          <w:sz w:val="22"/>
          <w:szCs w:val="22"/>
        </w:rPr>
        <w:t xml:space="preserve"> </w:t>
      </w:r>
      <w:r w:rsidR="009D6DCC">
        <w:rPr>
          <w:sz w:val="22"/>
          <w:szCs w:val="22"/>
        </w:rPr>
        <w:fldChar w:fldCharType="begin"/>
      </w:r>
      <w:r w:rsidR="009D6DCC">
        <w:rPr>
          <w:sz w:val="22"/>
          <w:szCs w:val="22"/>
        </w:rPr>
        <w:instrText xml:space="preserve"> REF _Ref92791690 \r \h </w:instrText>
      </w:r>
      <w:r w:rsidR="009D6DCC">
        <w:rPr>
          <w:sz w:val="22"/>
          <w:szCs w:val="22"/>
        </w:rPr>
      </w:r>
      <w:r w:rsidR="009D6DCC">
        <w:rPr>
          <w:sz w:val="22"/>
          <w:szCs w:val="22"/>
        </w:rPr>
        <w:fldChar w:fldCharType="separate"/>
      </w:r>
      <w:r w:rsidR="009D6DCC">
        <w:rPr>
          <w:sz w:val="22"/>
          <w:szCs w:val="22"/>
        </w:rPr>
        <w:t>[1]</w:t>
      </w:r>
      <w:r w:rsidR="009D6DCC">
        <w:rPr>
          <w:sz w:val="22"/>
          <w:szCs w:val="22"/>
        </w:rPr>
        <w:fldChar w:fldCharType="end"/>
      </w:r>
    </w:p>
    <w:p w14:paraId="755132E0" w14:textId="77777777" w:rsidR="00CA5D48" w:rsidRDefault="00CA5D48" w:rsidP="00CA5D48">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A5D48" w14:paraId="277355DF" w14:textId="77777777" w:rsidTr="00D833BD">
        <w:trPr>
          <w:trHeight w:val="20"/>
        </w:trPr>
        <w:tc>
          <w:tcPr>
            <w:tcW w:w="1130" w:type="dxa"/>
            <w:tcBorders>
              <w:top w:val="single" w:sz="4" w:space="0" w:color="auto"/>
              <w:left w:val="single" w:sz="4" w:space="0" w:color="auto"/>
              <w:bottom w:val="single" w:sz="4" w:space="0" w:color="auto"/>
              <w:right w:val="single" w:sz="4" w:space="0" w:color="auto"/>
            </w:tcBorders>
            <w:hideMark/>
          </w:tcPr>
          <w:p w14:paraId="4719ADCA" w14:textId="77777777" w:rsidR="00CA5D48" w:rsidRDefault="00CA5D48">
            <w:pPr>
              <w:pStyle w:val="TAL"/>
              <w:rPr>
                <w:rFonts w:cs="Arial"/>
                <w:color w:val="000000"/>
                <w:szCs w:val="18"/>
              </w:rPr>
            </w:pPr>
            <w:r>
              <w:rPr>
                <w:rFonts w:cs="Arial"/>
                <w:color w:val="000000"/>
                <w:szCs w:val="18"/>
              </w:rPr>
              <w:t>26. NR_NTN_solutions</w:t>
            </w:r>
          </w:p>
        </w:tc>
        <w:tc>
          <w:tcPr>
            <w:tcW w:w="710" w:type="dxa"/>
            <w:tcBorders>
              <w:top w:val="single" w:sz="4" w:space="0" w:color="auto"/>
              <w:left w:val="single" w:sz="4" w:space="0" w:color="auto"/>
              <w:bottom w:val="single" w:sz="4" w:space="0" w:color="auto"/>
              <w:right w:val="single" w:sz="4" w:space="0" w:color="auto"/>
            </w:tcBorders>
            <w:hideMark/>
          </w:tcPr>
          <w:p w14:paraId="3F2D064F" w14:textId="77777777" w:rsidR="00CA5D48" w:rsidRDefault="00CA5D48">
            <w:pPr>
              <w:pStyle w:val="TAL"/>
              <w:rPr>
                <w:rFonts w:cs="Arial"/>
                <w:color w:val="000000"/>
                <w:szCs w:val="18"/>
              </w:rPr>
            </w:pPr>
            <w:r>
              <w:rPr>
                <w:rFonts w:cs="Arial"/>
                <w:color w:val="000000"/>
                <w:szCs w:val="18"/>
              </w:rPr>
              <w:t>26-5</w:t>
            </w:r>
          </w:p>
        </w:tc>
        <w:tc>
          <w:tcPr>
            <w:tcW w:w="1559" w:type="dxa"/>
            <w:tcBorders>
              <w:top w:val="single" w:sz="4" w:space="0" w:color="auto"/>
              <w:left w:val="single" w:sz="4" w:space="0" w:color="auto"/>
              <w:bottom w:val="single" w:sz="4" w:space="0" w:color="auto"/>
              <w:right w:val="single" w:sz="4" w:space="0" w:color="auto"/>
            </w:tcBorders>
            <w:hideMark/>
          </w:tcPr>
          <w:p w14:paraId="3D57DC11" w14:textId="77777777" w:rsidR="00CA5D48" w:rsidRDefault="00CA5D48">
            <w:pPr>
              <w:pStyle w:val="TAL"/>
              <w:rPr>
                <w:rFonts w:eastAsia="SimSun" w:cs="Arial"/>
                <w:color w:val="000000"/>
                <w:szCs w:val="18"/>
                <w:lang w:eastAsia="zh-CN"/>
              </w:rPr>
            </w:pPr>
            <w:r>
              <w:rPr>
                <w:rFonts w:eastAsia="SimSun" w:cs="Arial"/>
                <w:color w:val="000000"/>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hideMark/>
          </w:tcPr>
          <w:p w14:paraId="6EA24A12" w14:textId="77777777" w:rsidR="00CA5D48" w:rsidRDefault="00CA5D48" w:rsidP="00CA5D48">
            <w:pPr>
              <w:pStyle w:val="ListParagraph"/>
              <w:numPr>
                <w:ilvl w:val="0"/>
                <w:numId w:val="42"/>
              </w:numPr>
              <w:spacing w:afterLines="50" w:after="120"/>
              <w:ind w:leftChars="0" w:left="1080"/>
              <w:contextualSpacing/>
              <w:rPr>
                <w:rFonts w:eastAsia="Times New Roman" w:cs="Arial"/>
                <w:color w:val="000000"/>
                <w:sz w:val="18"/>
                <w:szCs w:val="18"/>
                <w:lang w:eastAsia="zh-CN"/>
              </w:rPr>
            </w:pPr>
            <w:r>
              <w:rPr>
                <w:rFonts w:cs="Arial"/>
                <w:color w:val="000000"/>
                <w:sz w:val="18"/>
                <w:szCs w:val="18"/>
              </w:rPr>
              <w:t xml:space="preserve">The maximal supported HARQ process number is </w:t>
            </w:r>
            <w:r>
              <w:rPr>
                <w:rFonts w:cs="Arial"/>
                <w:color w:val="FF0000"/>
                <w:sz w:val="18"/>
                <w:szCs w:val="18"/>
              </w:rPr>
              <w:t>X</w:t>
            </w:r>
            <w:r>
              <w:rPr>
                <w:rFonts w:cs="Arial"/>
                <w:strike/>
                <w:color w:val="FF0000"/>
                <w:sz w:val="18"/>
                <w:szCs w:val="18"/>
              </w:rPr>
              <w:t>32</w:t>
            </w:r>
            <w:r>
              <w:rPr>
                <w:rFonts w:cs="Arial"/>
                <w:color w:val="000000"/>
                <w:sz w:val="18"/>
                <w:szCs w:val="18"/>
              </w:rPr>
              <w:t xml:space="preserve"> for </w:t>
            </w:r>
            <w:r>
              <w:rPr>
                <w:rFonts w:cs="Arial"/>
                <w:strike/>
                <w:color w:val="FF0000"/>
                <w:sz w:val="18"/>
                <w:szCs w:val="18"/>
              </w:rPr>
              <w:t>both</w:t>
            </w:r>
            <w:r>
              <w:rPr>
                <w:rFonts w:cs="Arial"/>
                <w:color w:val="000000"/>
                <w:sz w:val="18"/>
                <w:szCs w:val="18"/>
              </w:rPr>
              <w:t xml:space="preserve"> UL and </w:t>
            </w:r>
            <w:r>
              <w:rPr>
                <w:rFonts w:cs="Arial"/>
                <w:color w:val="FF0000"/>
                <w:sz w:val="18"/>
                <w:szCs w:val="18"/>
              </w:rPr>
              <w:t xml:space="preserve">Y </w:t>
            </w:r>
            <w:r>
              <w:rPr>
                <w:rFonts w:cs="Arial"/>
                <w:color w:val="000000"/>
                <w:sz w:val="18"/>
                <w:szCs w:val="18"/>
              </w:rPr>
              <w:t xml:space="preserve">DL </w:t>
            </w:r>
          </w:p>
          <w:p w14:paraId="630082D5" w14:textId="77777777" w:rsidR="00CA5D48" w:rsidRDefault="00CA5D48" w:rsidP="00CA5D48">
            <w:pPr>
              <w:pStyle w:val="ListParagraph"/>
              <w:numPr>
                <w:ilvl w:val="0"/>
                <w:numId w:val="42"/>
              </w:numPr>
              <w:spacing w:afterLines="50" w:after="120"/>
              <w:ind w:leftChars="0" w:left="1080"/>
              <w:contextualSpacing/>
              <w:rPr>
                <w:rFonts w:cs="Arial"/>
                <w:strike/>
                <w:color w:val="FF0000"/>
                <w:sz w:val="18"/>
                <w:szCs w:val="18"/>
              </w:rPr>
            </w:pPr>
            <w:r>
              <w:rPr>
                <w:rFonts w:eastAsia="SimSun" w:cs="Arial"/>
                <w:strike/>
                <w:color w:val="FF0000"/>
                <w:sz w:val="18"/>
                <w:szCs w:val="18"/>
              </w:rPr>
              <w:t>FFS: Support on the maximal HARQ process number is up to UE capability</w:t>
            </w:r>
          </w:p>
          <w:p w14:paraId="25A80D9B" w14:textId="77777777" w:rsidR="00CA5D48" w:rsidRDefault="00CA5D48" w:rsidP="00CA5D48">
            <w:pPr>
              <w:pStyle w:val="ListParagraph"/>
              <w:numPr>
                <w:ilvl w:val="0"/>
                <w:numId w:val="42"/>
              </w:numPr>
              <w:spacing w:afterLines="50" w:after="120"/>
              <w:ind w:leftChars="0" w:left="1080"/>
              <w:contextualSpacing/>
              <w:rPr>
                <w:rFonts w:cs="Arial"/>
                <w:strike/>
                <w:color w:val="FF0000"/>
                <w:sz w:val="18"/>
                <w:szCs w:val="18"/>
              </w:rPr>
            </w:pPr>
            <w:r>
              <w:rPr>
                <w:rFonts w:cs="Arial"/>
                <w:strike/>
                <w:color w:val="FF0000"/>
                <w:sz w:val="18"/>
                <w:szCs w:val="18"/>
              </w:rPr>
              <w:t>FFS: separate features for DL and UL</w:t>
            </w:r>
          </w:p>
        </w:tc>
        <w:tc>
          <w:tcPr>
            <w:tcW w:w="1277" w:type="dxa"/>
            <w:tcBorders>
              <w:top w:val="single" w:sz="4" w:space="0" w:color="auto"/>
              <w:left w:val="single" w:sz="4" w:space="0" w:color="auto"/>
              <w:bottom w:val="single" w:sz="4" w:space="0" w:color="auto"/>
              <w:right w:val="single" w:sz="4" w:space="0" w:color="auto"/>
            </w:tcBorders>
          </w:tcPr>
          <w:p w14:paraId="3B1EC030" w14:textId="77777777" w:rsidR="00CA5D48" w:rsidRDefault="00CA5D48">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hideMark/>
          </w:tcPr>
          <w:p w14:paraId="25BFB2DA" w14:textId="77777777" w:rsidR="00CA5D48" w:rsidRDefault="00CA5D48">
            <w:pPr>
              <w:pStyle w:val="TAL"/>
              <w:rPr>
                <w:rFonts w:eastAsia="SimSun" w:cs="Arial"/>
                <w:color w:val="000000"/>
                <w:szCs w:val="18"/>
                <w:lang w:eastAsia="zh-CN"/>
              </w:rPr>
            </w:pPr>
            <w:r>
              <w:rPr>
                <w:rFonts w:eastAsia="SimSun"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63D1EA0" w14:textId="77777777" w:rsidR="00CA5D48" w:rsidRDefault="00CA5D48">
            <w:pPr>
              <w:pStyle w:val="TAL"/>
              <w:rPr>
                <w:rFonts w:eastAsia="Times New Roman" w:cs="Arial"/>
                <w:color w:val="000000"/>
                <w:szCs w:val="18"/>
                <w:lang w:eastAsia="ja-JP"/>
              </w:rPr>
            </w:pPr>
            <w:r>
              <w:rPr>
                <w:rFonts w:cs="Arial"/>
                <w:color w:val="000000"/>
                <w:szCs w:val="18"/>
              </w:rPr>
              <w:t>No</w:t>
            </w:r>
          </w:p>
        </w:tc>
        <w:tc>
          <w:tcPr>
            <w:tcW w:w="1417" w:type="dxa"/>
            <w:tcBorders>
              <w:top w:val="single" w:sz="4" w:space="0" w:color="auto"/>
              <w:left w:val="single" w:sz="4" w:space="0" w:color="auto"/>
              <w:bottom w:val="single" w:sz="4" w:space="0" w:color="auto"/>
              <w:right w:val="single" w:sz="4" w:space="0" w:color="auto"/>
            </w:tcBorders>
            <w:hideMark/>
          </w:tcPr>
          <w:p w14:paraId="31CCBA44" w14:textId="77777777" w:rsidR="00CA5D48" w:rsidRDefault="00CA5D48">
            <w:pPr>
              <w:pStyle w:val="TAL"/>
              <w:rPr>
                <w:rFonts w:eastAsia="SimSun" w:cs="Arial"/>
                <w:color w:val="FF0000"/>
                <w:szCs w:val="18"/>
                <w:lang w:eastAsia="zh-CN"/>
              </w:rPr>
            </w:pPr>
            <w:r>
              <w:rPr>
                <w:rFonts w:eastAsia="SimSun" w:cs="Arial"/>
                <w:strike/>
                <w:color w:val="FF0000"/>
                <w:szCs w:val="18"/>
                <w:lang w:eastAsia="zh-CN"/>
              </w:rPr>
              <w:t>[Increasing the number of HARQ processes avoids HARQ stalling]</w:t>
            </w:r>
            <w:r>
              <w:rPr>
                <w:rFonts w:eastAsia="SimSun" w:cs="Arial"/>
                <w:color w:val="FF0000"/>
                <w:szCs w:val="18"/>
                <w:lang w:eastAsia="zh-CN"/>
              </w:rPr>
              <w:t xml:space="preserve"> Increased number of HARQ processes is not supported </w:t>
            </w:r>
          </w:p>
        </w:tc>
        <w:tc>
          <w:tcPr>
            <w:tcW w:w="1276" w:type="dxa"/>
            <w:tcBorders>
              <w:top w:val="single" w:sz="4" w:space="0" w:color="auto"/>
              <w:left w:val="single" w:sz="4" w:space="0" w:color="auto"/>
              <w:bottom w:val="single" w:sz="4" w:space="0" w:color="auto"/>
              <w:right w:val="single" w:sz="4" w:space="0" w:color="auto"/>
            </w:tcBorders>
            <w:hideMark/>
          </w:tcPr>
          <w:p w14:paraId="161289E3" w14:textId="77777777" w:rsidR="00CA5D48" w:rsidRDefault="00CA5D48">
            <w:pPr>
              <w:pStyle w:val="TAL"/>
              <w:rPr>
                <w:rFonts w:eastAsia="Times New Roman" w:cs="Arial"/>
                <w:color w:val="FF0000"/>
                <w:szCs w:val="18"/>
                <w:lang w:eastAsia="ja-JP"/>
              </w:rPr>
            </w:pPr>
            <w:r>
              <w:rPr>
                <w:rFonts w:cs="Arial"/>
                <w:strike/>
                <w:color w:val="FF0000"/>
                <w:szCs w:val="18"/>
              </w:rPr>
              <w:t xml:space="preserve">FFS </w:t>
            </w:r>
            <w:r>
              <w:rPr>
                <w:rFonts w:cs="Arial"/>
                <w:strike/>
                <w:color w:val="FF0000"/>
                <w:szCs w:val="18"/>
                <w:highlight w:val="yellow"/>
              </w:rPr>
              <w:t>[</w:t>
            </w:r>
            <w:r>
              <w:rPr>
                <w:rFonts w:cs="Arial"/>
                <w:color w:val="FF0000"/>
                <w:szCs w:val="18"/>
                <w:highlight w:val="yellow"/>
              </w:rPr>
              <w:t xml:space="preserve">Per band or per FSPC </w:t>
            </w:r>
            <w:r>
              <w:rPr>
                <w:rFonts w:cs="Arial"/>
                <w:color w:val="0070C0"/>
                <w:szCs w:val="18"/>
                <w:highlight w:val="yellow"/>
              </w:rPr>
              <w:t>or per UE</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hideMark/>
          </w:tcPr>
          <w:p w14:paraId="6040925E" w14:textId="77777777" w:rsidR="00CA5D48" w:rsidRDefault="00CA5D48">
            <w:pPr>
              <w:pStyle w:val="TAL"/>
              <w:rPr>
                <w:rFonts w:cs="Arial"/>
                <w:color w:val="000000"/>
                <w:szCs w:val="18"/>
              </w:rPr>
            </w:pPr>
            <w:r>
              <w:rPr>
                <w:rFonts w:cs="Arial"/>
                <w:color w:val="000000"/>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83C163D" w14:textId="77777777" w:rsidR="00CA5D48" w:rsidRDefault="00CA5D48">
            <w:pPr>
              <w:pStyle w:val="TAL"/>
              <w:rPr>
                <w:rFonts w:cs="Arial"/>
                <w:color w:val="000000"/>
                <w:szCs w:val="18"/>
              </w:rPr>
            </w:pPr>
            <w:r>
              <w:rPr>
                <w:rFonts w:cs="Arial"/>
                <w:color w:val="000000"/>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242DDFD4" w14:textId="77777777" w:rsidR="00CA5D48" w:rsidRDefault="00CA5D48">
            <w:pPr>
              <w:pStyle w:val="TAL"/>
              <w:rPr>
                <w:rFonts w:cs="Arial"/>
                <w:strike/>
                <w:color w:val="FF0000"/>
                <w:szCs w:val="18"/>
              </w:rPr>
            </w:pPr>
            <w:r>
              <w:rPr>
                <w:rFonts w:cs="Arial"/>
                <w:strike/>
                <w:color w:val="FF0000"/>
                <w:szCs w:val="18"/>
              </w:rPr>
              <w:t>[support mixture of FDD/TDD (for HAPS and/or STG) and/or FR1/FR] </w:t>
            </w:r>
          </w:p>
        </w:tc>
        <w:tc>
          <w:tcPr>
            <w:tcW w:w="2696" w:type="dxa"/>
            <w:tcBorders>
              <w:top w:val="single" w:sz="4" w:space="0" w:color="auto"/>
              <w:left w:val="single" w:sz="4" w:space="0" w:color="auto"/>
              <w:bottom w:val="single" w:sz="4" w:space="0" w:color="auto"/>
              <w:right w:val="single" w:sz="4" w:space="0" w:color="auto"/>
            </w:tcBorders>
          </w:tcPr>
          <w:p w14:paraId="0EF08E4D" w14:textId="77777777" w:rsidR="00CA5D48" w:rsidRDefault="00CA5D48">
            <w:pPr>
              <w:pStyle w:val="TAL"/>
              <w:rPr>
                <w:rFonts w:cs="Arial"/>
                <w:color w:val="FF0000"/>
                <w:szCs w:val="18"/>
              </w:rPr>
            </w:pPr>
            <w:r>
              <w:rPr>
                <w:rFonts w:cs="Arial"/>
                <w:strike/>
                <w:color w:val="FF0000"/>
                <w:szCs w:val="18"/>
              </w:rPr>
              <w:t>FFS: whether this FG gets merged with FG 26-1 if the note “For UE supports NR [NTN/ satellite/HAPS/ATG], UE must indicate this FG is supported” is confirmed in the positive</w:t>
            </w:r>
          </w:p>
          <w:p w14:paraId="3D8FE1FC" w14:textId="77777777" w:rsidR="00CA5D48" w:rsidRDefault="00CA5D48">
            <w:pPr>
              <w:pStyle w:val="TAL"/>
              <w:rPr>
                <w:rFonts w:cs="Arial"/>
                <w:color w:val="FF0000"/>
                <w:szCs w:val="18"/>
              </w:rPr>
            </w:pPr>
          </w:p>
          <w:p w14:paraId="53DD5B5C" w14:textId="77777777" w:rsidR="00CA5D48" w:rsidRDefault="00CA5D48">
            <w:pPr>
              <w:pStyle w:val="TAL"/>
              <w:rPr>
                <w:rFonts w:cs="Arial"/>
                <w:color w:val="FF0000"/>
                <w:szCs w:val="18"/>
              </w:rPr>
            </w:pPr>
            <w:r>
              <w:rPr>
                <w:rFonts w:cs="Arial"/>
                <w:color w:val="FF0000"/>
                <w:szCs w:val="18"/>
              </w:rPr>
              <w:t xml:space="preserve">Candidate component values for </w:t>
            </w:r>
            <w:r>
              <w:rPr>
                <w:rFonts w:cs="Arial"/>
                <w:color w:val="0070C0"/>
                <w:szCs w:val="18"/>
              </w:rPr>
              <w:t>(</w:t>
            </w:r>
            <w:r>
              <w:rPr>
                <w:rFonts w:cs="Arial"/>
                <w:color w:val="FF0000"/>
                <w:szCs w:val="18"/>
              </w:rPr>
              <w:t>X</w:t>
            </w:r>
            <w:r>
              <w:rPr>
                <w:rFonts w:cs="Arial"/>
                <w:color w:val="0070C0"/>
                <w:szCs w:val="18"/>
              </w:rPr>
              <w:t>,Y)</w:t>
            </w:r>
            <w:r>
              <w:rPr>
                <w:rFonts w:cs="Arial"/>
                <w:color w:val="FF0000"/>
                <w:szCs w:val="18"/>
              </w:rPr>
              <w:t>: {</w:t>
            </w:r>
            <w:r>
              <w:rPr>
                <w:rFonts w:cs="Arial"/>
                <w:color w:val="0070C0"/>
                <w:szCs w:val="18"/>
              </w:rPr>
              <w:t>(</w:t>
            </w:r>
            <w:r>
              <w:rPr>
                <w:rFonts w:cs="Arial"/>
                <w:color w:val="FF0000"/>
                <w:szCs w:val="18"/>
              </w:rPr>
              <w:t>16,32</w:t>
            </w:r>
            <w:r>
              <w:rPr>
                <w:rFonts w:cs="Arial"/>
                <w:color w:val="0070C0"/>
                <w:szCs w:val="18"/>
              </w:rPr>
              <w:t>),(32,16),(32,32)</w:t>
            </w:r>
            <w:r>
              <w:rPr>
                <w:rFonts w:cs="Arial"/>
                <w:color w:val="FF0000"/>
                <w:szCs w:val="18"/>
              </w:rPr>
              <w:t>}</w:t>
            </w:r>
          </w:p>
          <w:p w14:paraId="6E06B7F4" w14:textId="77777777" w:rsidR="00CA5D48" w:rsidRDefault="00CA5D48">
            <w:pPr>
              <w:pStyle w:val="TAL"/>
              <w:rPr>
                <w:rFonts w:cs="Arial"/>
                <w:color w:val="FF0000"/>
                <w:szCs w:val="18"/>
              </w:rPr>
            </w:pPr>
          </w:p>
          <w:p w14:paraId="12CBFC30" w14:textId="77777777" w:rsidR="00CA5D48" w:rsidRDefault="00CA5D48">
            <w:pPr>
              <w:pStyle w:val="TAL"/>
              <w:rPr>
                <w:rFonts w:cs="Arial"/>
                <w:strike/>
                <w:color w:val="0070C0"/>
                <w:szCs w:val="18"/>
              </w:rPr>
            </w:pPr>
            <w:r>
              <w:rPr>
                <w:rFonts w:cs="Arial"/>
                <w:strike/>
                <w:color w:val="0070C0"/>
                <w:szCs w:val="18"/>
              </w:rPr>
              <w:t>Candidate component values for Y: {16,32}</w:t>
            </w:r>
          </w:p>
        </w:tc>
        <w:tc>
          <w:tcPr>
            <w:tcW w:w="1276" w:type="dxa"/>
            <w:tcBorders>
              <w:top w:val="single" w:sz="4" w:space="0" w:color="auto"/>
              <w:left w:val="single" w:sz="4" w:space="0" w:color="auto"/>
              <w:bottom w:val="single" w:sz="4" w:space="0" w:color="auto"/>
              <w:right w:val="single" w:sz="4" w:space="0" w:color="auto"/>
            </w:tcBorders>
          </w:tcPr>
          <w:p w14:paraId="36966A52" w14:textId="77777777" w:rsidR="00CA5D48" w:rsidRDefault="00CA5D48">
            <w:pPr>
              <w:pStyle w:val="TAL"/>
              <w:rPr>
                <w:rFonts w:cs="Arial"/>
                <w:color w:val="000000"/>
                <w:szCs w:val="18"/>
              </w:rPr>
            </w:pPr>
            <w:r>
              <w:rPr>
                <w:rFonts w:cs="Arial"/>
                <w:color w:val="000000"/>
                <w:szCs w:val="18"/>
              </w:rPr>
              <w:t>Optional with capability signalling</w:t>
            </w:r>
          </w:p>
          <w:p w14:paraId="43799E0F" w14:textId="77777777" w:rsidR="00CA5D48" w:rsidRDefault="00CA5D48">
            <w:pPr>
              <w:pStyle w:val="TAL"/>
              <w:rPr>
                <w:rFonts w:cs="Arial"/>
                <w:color w:val="000000"/>
                <w:szCs w:val="18"/>
              </w:rPr>
            </w:pPr>
          </w:p>
          <w:p w14:paraId="2BB19039" w14:textId="77777777" w:rsidR="00CA5D48" w:rsidRDefault="00CA5D48">
            <w:pPr>
              <w:pStyle w:val="TAL"/>
              <w:rPr>
                <w:rFonts w:cs="Arial"/>
                <w:strike/>
                <w:color w:val="FF0000"/>
                <w:szCs w:val="18"/>
              </w:rPr>
            </w:pPr>
            <w:r>
              <w:rPr>
                <w:rFonts w:cs="Arial"/>
                <w:strike/>
                <w:color w:val="FF0000"/>
                <w:szCs w:val="18"/>
              </w:rPr>
              <w:t>[For UE supports NR [NTN/ satellite/HAPS/ATG], UE must indicate this FG is supported]</w:t>
            </w:r>
          </w:p>
          <w:p w14:paraId="55F6AE53" w14:textId="77777777" w:rsidR="00CA5D48" w:rsidRDefault="00CA5D48">
            <w:pPr>
              <w:pStyle w:val="TAL"/>
              <w:rPr>
                <w:rFonts w:cs="Arial"/>
                <w:color w:val="000000"/>
                <w:szCs w:val="18"/>
              </w:rPr>
            </w:pPr>
          </w:p>
          <w:p w14:paraId="738A9B43" w14:textId="77777777" w:rsidR="00CA5D48" w:rsidRDefault="00CA5D48">
            <w:pPr>
              <w:pStyle w:val="TAL"/>
              <w:rPr>
                <w:rFonts w:cs="Arial"/>
                <w:color w:val="000000"/>
                <w:szCs w:val="18"/>
              </w:rPr>
            </w:pPr>
            <w:r>
              <w:rPr>
                <w:rFonts w:cs="Arial"/>
                <w:color w:val="000000"/>
                <w:szCs w:val="18"/>
                <w:highlight w:val="yellow"/>
              </w:rPr>
              <w:t xml:space="preserve">[Note: This UE feature group is applicable only for NR NTN cell </w:t>
            </w:r>
            <w:r>
              <w:rPr>
                <w:rFonts w:cs="Arial"/>
                <w:color w:val="0070C0"/>
                <w:szCs w:val="18"/>
                <w:highlight w:val="yellow"/>
              </w:rPr>
              <w:t>and ATG cell</w:t>
            </w:r>
            <w:r>
              <w:rPr>
                <w:rFonts w:cs="Arial"/>
                <w:color w:val="000000"/>
                <w:szCs w:val="18"/>
                <w:highlight w:val="yellow"/>
              </w:rPr>
              <w:t xml:space="preserve">, for terrestrial cell </w:t>
            </w:r>
            <w:r>
              <w:rPr>
                <w:rFonts w:cs="Arial"/>
                <w:color w:val="0070C0"/>
                <w:szCs w:val="18"/>
                <w:highlight w:val="yellow"/>
              </w:rPr>
              <w:t>except for ATG cell</w:t>
            </w:r>
            <w:r>
              <w:rPr>
                <w:rFonts w:cs="Arial"/>
                <w:color w:val="0070C0"/>
                <w:szCs w:val="18"/>
              </w:rPr>
              <w:t xml:space="preserve"> </w:t>
            </w:r>
            <w:r>
              <w:rPr>
                <w:rFonts w:cs="Arial"/>
                <w:color w:val="000000"/>
                <w:szCs w:val="18"/>
                <w:highlight w:val="yellow"/>
              </w:rPr>
              <w:t>this feature is not supported]</w:t>
            </w:r>
          </w:p>
        </w:tc>
      </w:tr>
    </w:tbl>
    <w:p w14:paraId="5C4220C5" w14:textId="77777777" w:rsidR="00D833BD" w:rsidRDefault="00D833BD" w:rsidP="00D833BD">
      <w:pPr>
        <w:pStyle w:val="maintext"/>
        <w:ind w:firstLineChars="0" w:firstLine="0"/>
        <w:rPr>
          <w:sz w:val="22"/>
          <w:szCs w:val="22"/>
        </w:rPr>
      </w:pPr>
    </w:p>
    <w:p w14:paraId="758E5898" w14:textId="6A7EB015" w:rsidR="00D833BD" w:rsidRDefault="00D833BD" w:rsidP="00D833BD">
      <w:pPr>
        <w:pStyle w:val="maintext"/>
        <w:ind w:firstLineChars="0" w:firstLine="0"/>
        <w:rPr>
          <w:rFonts w:ascii="Calibri" w:hAnsi="Calibri" w:cs="Arial"/>
          <w:b/>
          <w:color w:val="000000"/>
          <w:highlight w:val="green"/>
        </w:rPr>
      </w:pPr>
      <w:r>
        <w:rPr>
          <w:sz w:val="22"/>
          <w:szCs w:val="22"/>
        </w:rPr>
        <w:t>For above 52.6GHz, the following two FGs were agreed on the support of 32 HARQ processes</w:t>
      </w:r>
      <w:r w:rsidR="009D6DCC">
        <w:rPr>
          <w:sz w:val="22"/>
          <w:szCs w:val="22"/>
        </w:rPr>
        <w:t xml:space="preserve"> </w:t>
      </w:r>
      <w:r w:rsidR="009D6DCC">
        <w:rPr>
          <w:sz w:val="22"/>
          <w:szCs w:val="22"/>
        </w:rPr>
        <w:fldChar w:fldCharType="begin"/>
      </w:r>
      <w:r w:rsidR="009D6DCC">
        <w:rPr>
          <w:sz w:val="22"/>
          <w:szCs w:val="22"/>
        </w:rPr>
        <w:instrText xml:space="preserve"> REF _Ref92791696 \r \h </w:instrText>
      </w:r>
      <w:r w:rsidR="009D6DCC">
        <w:rPr>
          <w:sz w:val="22"/>
          <w:szCs w:val="22"/>
        </w:rPr>
      </w:r>
      <w:r w:rsidR="009D6DCC">
        <w:rPr>
          <w:sz w:val="22"/>
          <w:szCs w:val="22"/>
        </w:rPr>
        <w:fldChar w:fldCharType="separate"/>
      </w:r>
      <w:r w:rsidR="009D6DCC">
        <w:rPr>
          <w:sz w:val="22"/>
          <w:szCs w:val="22"/>
        </w:rPr>
        <w:t>[2]</w:t>
      </w:r>
      <w:r w:rsidR="009D6DCC">
        <w:rPr>
          <w:sz w:val="22"/>
          <w:szCs w:val="22"/>
        </w:rPr>
        <w:fldChar w:fldCharType="end"/>
      </w:r>
      <w:r w:rsidR="0030180F">
        <w:rPr>
          <w:sz w:val="22"/>
          <w:szCs w:val="22"/>
        </w:rPr>
        <w:t xml:space="preserve"> in RAN1#107-e and one more relevant agreement achieved in RAN1#107b-e:</w:t>
      </w:r>
    </w:p>
    <w:p w14:paraId="70E9C5A3" w14:textId="60526907" w:rsidR="00D833BD" w:rsidRPr="0030180F" w:rsidRDefault="00D833BD" w:rsidP="00D833BD">
      <w:pPr>
        <w:pStyle w:val="maintext"/>
        <w:ind w:firstLineChars="90" w:firstLine="198"/>
        <w:rPr>
          <w:b/>
          <w:color w:val="000000"/>
          <w:sz w:val="22"/>
          <w:szCs w:val="22"/>
        </w:rPr>
      </w:pPr>
      <w:r w:rsidRPr="0030180F">
        <w:rPr>
          <w:b/>
          <w:color w:val="000000"/>
          <w:sz w:val="22"/>
          <w:szCs w:val="22"/>
          <w:highlight w:val="green"/>
        </w:rPr>
        <w:t>Agreement:</w:t>
      </w:r>
      <w:r w:rsidRPr="0030180F">
        <w:rPr>
          <w:b/>
          <w:color w:val="000000"/>
          <w:sz w:val="22"/>
          <w:szCs w:val="22"/>
        </w:rPr>
        <w:t xml:space="preserve"> </w:t>
      </w:r>
      <w:r w:rsidR="0030180F" w:rsidRPr="0030180F">
        <w:rPr>
          <w:color w:val="000000"/>
          <w:sz w:val="22"/>
          <w:szCs w:val="22"/>
        </w:rPr>
        <w:t>(from RAN1#107-e)</w:t>
      </w:r>
    </w:p>
    <w:p w14:paraId="534FF952" w14:textId="77777777" w:rsidR="00D833BD" w:rsidRPr="0030180F" w:rsidRDefault="00D833BD" w:rsidP="00D833BD">
      <w:pPr>
        <w:pStyle w:val="maintext"/>
        <w:numPr>
          <w:ilvl w:val="0"/>
          <w:numId w:val="41"/>
        </w:numPr>
        <w:ind w:firstLineChars="0"/>
        <w:rPr>
          <w:b/>
          <w:color w:val="000000"/>
          <w:sz w:val="22"/>
          <w:szCs w:val="22"/>
        </w:rPr>
      </w:pPr>
      <w:r w:rsidRPr="0030180F">
        <w:rPr>
          <w:b/>
          <w:color w:val="000000"/>
          <w:sz w:val="22"/>
          <w:szCs w:val="22"/>
        </w:rPr>
        <w:t>Confirm FGs 24-8 and 24-9 as separate rows</w:t>
      </w:r>
    </w:p>
    <w:p w14:paraId="3E1CA96A" w14:textId="77777777" w:rsidR="00D833BD" w:rsidRPr="0030180F" w:rsidRDefault="00D833BD" w:rsidP="00D833BD">
      <w:pPr>
        <w:pStyle w:val="maintext"/>
        <w:numPr>
          <w:ilvl w:val="0"/>
          <w:numId w:val="41"/>
        </w:numPr>
        <w:ind w:firstLineChars="0"/>
        <w:rPr>
          <w:b/>
          <w:color w:val="000000"/>
          <w:sz w:val="22"/>
          <w:szCs w:val="22"/>
        </w:rPr>
      </w:pPr>
      <w:r w:rsidRPr="0030180F">
        <w:rPr>
          <w:b/>
          <w:color w:val="000000"/>
          <w:sz w:val="22"/>
          <w:szCs w:val="22"/>
        </w:rPr>
        <w:t>Adopt the following changes highlighted in chromatic fonts, while keeping the yellow highlighting as shown</w:t>
      </w:r>
    </w:p>
    <w:p w14:paraId="6C9C0D30" w14:textId="77777777" w:rsidR="00D833BD" w:rsidRPr="0030180F" w:rsidRDefault="00D833BD" w:rsidP="00D833BD">
      <w:pPr>
        <w:pStyle w:val="maintext"/>
        <w:numPr>
          <w:ilvl w:val="0"/>
          <w:numId w:val="41"/>
        </w:numPr>
        <w:ind w:firstLineChars="0"/>
        <w:rPr>
          <w:b/>
          <w:color w:val="000000"/>
          <w:sz w:val="22"/>
          <w:szCs w:val="22"/>
        </w:rPr>
      </w:pPr>
      <w:r w:rsidRPr="0030180F">
        <w:rPr>
          <w:b/>
          <w:color w:val="000000"/>
          <w:sz w:val="22"/>
          <w:szCs w:val="22"/>
        </w:rPr>
        <w:t>Discuss FR1 and FR2-1 support in NR NTN as part of FG 26-5 and update this FG if needed based on the outcome in NR NTN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833BD" w14:paraId="5BDD99FF" w14:textId="77777777" w:rsidTr="00701320">
        <w:trPr>
          <w:trHeight w:val="20"/>
        </w:trPr>
        <w:tc>
          <w:tcPr>
            <w:tcW w:w="1130" w:type="dxa"/>
            <w:tcBorders>
              <w:top w:val="single" w:sz="4" w:space="0" w:color="auto"/>
              <w:left w:val="single" w:sz="4" w:space="0" w:color="auto"/>
              <w:bottom w:val="single" w:sz="4" w:space="0" w:color="auto"/>
              <w:right w:val="single" w:sz="4" w:space="0" w:color="auto"/>
            </w:tcBorders>
            <w:hideMark/>
          </w:tcPr>
          <w:p w14:paraId="39B2E7CB" w14:textId="77777777" w:rsidR="00D833BD" w:rsidRDefault="00D833BD" w:rsidP="00701320">
            <w:pPr>
              <w:pStyle w:val="TAL"/>
              <w:rPr>
                <w:rFonts w:cs="Arial"/>
                <w:color w:val="000000"/>
                <w:szCs w:val="18"/>
              </w:rPr>
            </w:pPr>
            <w:r>
              <w:rPr>
                <w:rFonts w:cs="Arial"/>
                <w:color w:val="00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1F732C3E" w14:textId="77777777" w:rsidR="00D833BD" w:rsidRDefault="00D833BD" w:rsidP="00701320">
            <w:pPr>
              <w:pStyle w:val="TAL"/>
              <w:rPr>
                <w:rFonts w:cs="Arial"/>
                <w:color w:val="000000"/>
                <w:szCs w:val="18"/>
              </w:rPr>
            </w:pPr>
            <w:r>
              <w:rPr>
                <w:rFonts w:cs="Arial"/>
                <w:color w:val="000000"/>
                <w:szCs w:val="18"/>
              </w:rPr>
              <w:t>24-8</w:t>
            </w:r>
          </w:p>
        </w:tc>
        <w:tc>
          <w:tcPr>
            <w:tcW w:w="1559" w:type="dxa"/>
            <w:tcBorders>
              <w:top w:val="single" w:sz="4" w:space="0" w:color="auto"/>
              <w:left w:val="single" w:sz="4" w:space="0" w:color="auto"/>
              <w:bottom w:val="single" w:sz="4" w:space="0" w:color="auto"/>
              <w:right w:val="single" w:sz="4" w:space="0" w:color="auto"/>
            </w:tcBorders>
            <w:hideMark/>
          </w:tcPr>
          <w:p w14:paraId="207503AB" w14:textId="77777777" w:rsidR="00D833BD" w:rsidRDefault="00D833BD" w:rsidP="00701320">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hideMark/>
          </w:tcPr>
          <w:p w14:paraId="441A72FD" w14:textId="77777777" w:rsidR="00D833BD" w:rsidRDefault="00D833BD" w:rsidP="00701320">
            <w:pPr>
              <w:autoSpaceDE w:val="0"/>
              <w:autoSpaceDN w:val="0"/>
              <w:adjustRightInd w:val="0"/>
              <w:snapToGrid w:val="0"/>
              <w:rPr>
                <w:rFonts w:eastAsia="Times New Roman" w:cs="Arial"/>
                <w:color w:val="000000"/>
                <w:sz w:val="18"/>
                <w:szCs w:val="18"/>
                <w:lang w:eastAsia="en-US"/>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45BA32C5" w14:textId="77777777" w:rsidR="00D833BD" w:rsidRDefault="00D833BD" w:rsidP="00701320">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133A87C3" w14:textId="77777777" w:rsidR="00D833BD" w:rsidRDefault="00D833BD" w:rsidP="00701320">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776EF4C" w14:textId="77777777" w:rsidR="00D833BD" w:rsidRDefault="00D833BD" w:rsidP="00701320">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C71DF0" w14:textId="77777777" w:rsidR="00D833BD" w:rsidRDefault="00D833BD" w:rsidP="00701320">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9D4462C" w14:textId="77777777" w:rsidR="00D833BD" w:rsidRDefault="00D833BD" w:rsidP="00701320">
            <w:pPr>
              <w:pStyle w:val="TAL"/>
              <w:rPr>
                <w:rFonts w:eastAsia="Times New Roman" w:cs="Arial"/>
                <w:color w:val="FF0000"/>
                <w:szCs w:val="18"/>
                <w:lang w:eastAsia="ja-JP"/>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6F94D27C" w14:textId="77777777" w:rsidR="00D833BD" w:rsidRDefault="00D833BD" w:rsidP="00701320">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3B5BCA58" w14:textId="77777777" w:rsidR="00D833BD" w:rsidRDefault="00D833BD" w:rsidP="00701320">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4B6E7001" w14:textId="77777777" w:rsidR="00D833BD" w:rsidRDefault="00D833BD" w:rsidP="00701320">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66CBAEA0" w14:textId="77777777" w:rsidR="00D833BD" w:rsidRDefault="00D833BD" w:rsidP="00701320">
            <w:pPr>
              <w:pStyle w:val="TAL"/>
              <w:rPr>
                <w:rFonts w:cs="Arial"/>
                <w:color w:val="0070C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hideMark/>
          </w:tcPr>
          <w:p w14:paraId="2EF72F48" w14:textId="77777777" w:rsidR="00D833BD" w:rsidRDefault="00D833BD" w:rsidP="00701320">
            <w:pPr>
              <w:pStyle w:val="TAL"/>
              <w:rPr>
                <w:rFonts w:cs="Arial"/>
                <w:color w:val="000000"/>
                <w:szCs w:val="18"/>
              </w:rPr>
            </w:pPr>
            <w:r>
              <w:rPr>
                <w:rFonts w:cs="Arial"/>
                <w:color w:val="000000"/>
                <w:szCs w:val="18"/>
              </w:rPr>
              <w:t>Optional with capability signalling</w:t>
            </w:r>
          </w:p>
        </w:tc>
      </w:tr>
      <w:tr w:rsidR="00D833BD" w14:paraId="30C04C76" w14:textId="77777777" w:rsidTr="00701320">
        <w:trPr>
          <w:trHeight w:val="20"/>
        </w:trPr>
        <w:tc>
          <w:tcPr>
            <w:tcW w:w="1130" w:type="dxa"/>
            <w:tcBorders>
              <w:top w:val="single" w:sz="4" w:space="0" w:color="auto"/>
              <w:left w:val="single" w:sz="4" w:space="0" w:color="auto"/>
              <w:bottom w:val="single" w:sz="4" w:space="0" w:color="auto"/>
              <w:right w:val="single" w:sz="4" w:space="0" w:color="auto"/>
            </w:tcBorders>
            <w:hideMark/>
          </w:tcPr>
          <w:p w14:paraId="5F69B85B" w14:textId="77777777" w:rsidR="00D833BD" w:rsidRDefault="00D833BD" w:rsidP="00701320">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75D26A66" w14:textId="77777777" w:rsidR="00D833BD" w:rsidRDefault="00D833BD" w:rsidP="00701320">
            <w:pPr>
              <w:pStyle w:val="TAL"/>
              <w:rPr>
                <w:rFonts w:cs="Arial"/>
                <w:color w:val="000000"/>
                <w:szCs w:val="18"/>
              </w:rPr>
            </w:pPr>
            <w:r>
              <w:rPr>
                <w:rFonts w:cs="Arial"/>
                <w:color w:val="000000"/>
                <w:szCs w:val="18"/>
              </w:rPr>
              <w:t>24-9</w:t>
            </w:r>
          </w:p>
        </w:tc>
        <w:tc>
          <w:tcPr>
            <w:tcW w:w="1559" w:type="dxa"/>
            <w:tcBorders>
              <w:top w:val="single" w:sz="4" w:space="0" w:color="auto"/>
              <w:left w:val="single" w:sz="4" w:space="0" w:color="auto"/>
              <w:bottom w:val="single" w:sz="4" w:space="0" w:color="auto"/>
              <w:right w:val="single" w:sz="4" w:space="0" w:color="auto"/>
            </w:tcBorders>
            <w:hideMark/>
          </w:tcPr>
          <w:p w14:paraId="2448C81D" w14:textId="77777777" w:rsidR="00D833BD" w:rsidRDefault="00D833BD" w:rsidP="00701320">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hideMark/>
          </w:tcPr>
          <w:p w14:paraId="1731BA28" w14:textId="77777777" w:rsidR="00D833BD" w:rsidRDefault="00D833BD" w:rsidP="00701320">
            <w:pPr>
              <w:autoSpaceDE w:val="0"/>
              <w:autoSpaceDN w:val="0"/>
              <w:adjustRightInd w:val="0"/>
              <w:snapToGrid w:val="0"/>
              <w:rPr>
                <w:rFonts w:eastAsia="Times New Roman" w:cs="Arial"/>
                <w:color w:val="000000"/>
                <w:sz w:val="18"/>
                <w:szCs w:val="18"/>
                <w:lang w:eastAsia="en-US"/>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69BF5E28" w14:textId="77777777" w:rsidR="00D833BD" w:rsidRDefault="00D833BD" w:rsidP="00701320">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6D8C0543" w14:textId="77777777" w:rsidR="00D833BD" w:rsidRDefault="00D833BD" w:rsidP="00701320">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FB2C849" w14:textId="77777777" w:rsidR="00D833BD" w:rsidRDefault="00D833BD" w:rsidP="00701320">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BA768D" w14:textId="77777777" w:rsidR="00D833BD" w:rsidRDefault="00D833BD" w:rsidP="00701320">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62FDDA" w14:textId="77777777" w:rsidR="00D833BD" w:rsidRDefault="00D833BD" w:rsidP="00701320">
            <w:pPr>
              <w:pStyle w:val="TAL"/>
              <w:rPr>
                <w:rFonts w:eastAsia="Times New Roman" w:cs="Arial"/>
                <w:color w:val="FF0000"/>
                <w:szCs w:val="18"/>
                <w:lang w:eastAsia="ja-JP"/>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04B16D24" w14:textId="77777777" w:rsidR="00D833BD" w:rsidRDefault="00D833BD" w:rsidP="00701320">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5B4A27F" w14:textId="77777777" w:rsidR="00D833BD" w:rsidRDefault="00D833BD" w:rsidP="00701320">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1DCAA041" w14:textId="77777777" w:rsidR="00D833BD" w:rsidRDefault="00D833BD" w:rsidP="00701320">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0172A759" w14:textId="77777777" w:rsidR="00D833BD" w:rsidRDefault="00D833BD" w:rsidP="00701320">
            <w:pPr>
              <w:pStyle w:val="TAL"/>
              <w:rPr>
                <w:rFonts w:cs="Arial"/>
                <w:color w:val="00000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hideMark/>
          </w:tcPr>
          <w:p w14:paraId="268AAA9F" w14:textId="77777777" w:rsidR="00D833BD" w:rsidRDefault="00D833BD" w:rsidP="00701320">
            <w:pPr>
              <w:pStyle w:val="TAL"/>
              <w:rPr>
                <w:rFonts w:cs="Arial"/>
                <w:color w:val="000000"/>
                <w:szCs w:val="18"/>
              </w:rPr>
            </w:pPr>
            <w:r>
              <w:rPr>
                <w:rFonts w:cs="Arial"/>
                <w:color w:val="000000"/>
                <w:szCs w:val="18"/>
              </w:rPr>
              <w:t>Optional with capability signalling</w:t>
            </w:r>
          </w:p>
        </w:tc>
      </w:tr>
    </w:tbl>
    <w:p w14:paraId="29C4B738" w14:textId="77777777" w:rsidR="00D833BD" w:rsidRDefault="00D833BD" w:rsidP="00D833BD">
      <w:pPr>
        <w:pStyle w:val="maintext"/>
        <w:ind w:firstLineChars="0" w:firstLine="0"/>
        <w:rPr>
          <w:sz w:val="22"/>
          <w:szCs w:val="22"/>
        </w:rPr>
      </w:pPr>
    </w:p>
    <w:p w14:paraId="11539B6F" w14:textId="18FAC09C" w:rsidR="0030180F" w:rsidRPr="0030180F" w:rsidRDefault="0030180F" w:rsidP="0030180F">
      <w:pPr>
        <w:rPr>
          <w:rFonts w:eastAsia="Batang"/>
          <w:iCs/>
          <w:sz w:val="22"/>
          <w:szCs w:val="22"/>
          <w:lang w:eastAsia="x-none"/>
        </w:rPr>
      </w:pPr>
      <w:r w:rsidRPr="0030180F">
        <w:rPr>
          <w:rFonts w:eastAsia="Batang"/>
          <w:b/>
          <w:iCs/>
          <w:sz w:val="22"/>
          <w:szCs w:val="22"/>
          <w:highlight w:val="green"/>
          <w:lang w:eastAsia="x-none"/>
        </w:rPr>
        <w:t>Agreement</w:t>
      </w:r>
      <w:r w:rsidRPr="0030180F">
        <w:rPr>
          <w:rFonts w:eastAsia="Batang"/>
          <w:iCs/>
          <w:sz w:val="22"/>
          <w:szCs w:val="22"/>
          <w:lang w:eastAsia="x-none"/>
        </w:rPr>
        <w:t xml:space="preserve"> </w:t>
      </w:r>
      <w:r w:rsidRPr="0030180F">
        <w:rPr>
          <w:color w:val="000000"/>
          <w:sz w:val="22"/>
          <w:szCs w:val="22"/>
        </w:rPr>
        <w:t>(from RAN1#107b-e)</w:t>
      </w:r>
    </w:p>
    <w:p w14:paraId="4F7EAA7E" w14:textId="77777777" w:rsidR="0030180F" w:rsidRPr="0030180F" w:rsidRDefault="0030180F" w:rsidP="0030180F">
      <w:pPr>
        <w:numPr>
          <w:ilvl w:val="0"/>
          <w:numId w:val="45"/>
        </w:numPr>
        <w:overflowPunct w:val="0"/>
        <w:autoSpaceDE w:val="0"/>
        <w:autoSpaceDN w:val="0"/>
        <w:adjustRightInd w:val="0"/>
        <w:spacing w:after="180"/>
        <w:contextualSpacing/>
        <w:textAlignment w:val="baseline"/>
        <w:rPr>
          <w:rFonts w:eastAsia="SimSun"/>
          <w:sz w:val="22"/>
          <w:szCs w:val="22"/>
          <w:lang w:val="en-US"/>
        </w:rPr>
      </w:pPr>
      <w:r w:rsidRPr="0030180F">
        <w:rPr>
          <w:rFonts w:eastAsia="SimSun"/>
          <w:sz w:val="22"/>
          <w:szCs w:val="22"/>
        </w:rPr>
        <w:t>In NR FR2-2, a UE supporting 32 maximum number of HARQ processes for 480/960 kHz SCS for DL (or for UL) shall support 32 as the maximum number of HARQ processes for 120 kHz SCS for DL (or UL), subject to UE capability.</w:t>
      </w:r>
    </w:p>
    <w:p w14:paraId="4ADCBD36" w14:textId="77777777" w:rsidR="0030180F" w:rsidRPr="0030180F" w:rsidRDefault="0030180F" w:rsidP="0030180F">
      <w:pPr>
        <w:pStyle w:val="maintext"/>
        <w:spacing w:before="0" w:after="0"/>
        <w:ind w:firstLineChars="0" w:firstLine="0"/>
        <w:rPr>
          <w:sz w:val="22"/>
          <w:szCs w:val="22"/>
          <w:lang w:val="en-US"/>
        </w:rPr>
      </w:pPr>
    </w:p>
    <w:p w14:paraId="14803255" w14:textId="2B5C26DA" w:rsidR="00C70DA8" w:rsidRDefault="00D833BD" w:rsidP="00A51F75">
      <w:pPr>
        <w:pStyle w:val="maintext"/>
        <w:ind w:firstLineChars="0" w:firstLine="0"/>
        <w:rPr>
          <w:rFonts w:eastAsiaTheme="minorEastAsia"/>
          <w:sz w:val="22"/>
          <w:szCs w:val="22"/>
          <w:lang w:val="en-US" w:eastAsia="zh-CN"/>
        </w:rPr>
      </w:pPr>
      <w:r>
        <w:rPr>
          <w:sz w:val="22"/>
          <w:szCs w:val="22"/>
        </w:rPr>
        <w:t>For MBS,</w:t>
      </w:r>
      <w:r w:rsidR="00F551D8">
        <w:rPr>
          <w:sz w:val="22"/>
          <w:szCs w:val="22"/>
        </w:rPr>
        <w:t xml:space="preserve"> one conclusion was reached in RAN1#107bis-e meeting that</w:t>
      </w:r>
      <w:r w:rsidR="007A6514">
        <w:rPr>
          <w:sz w:val="22"/>
          <w:szCs w:val="22"/>
        </w:rPr>
        <w:t xml:space="preserve"> UE is not </w:t>
      </w:r>
      <w:r w:rsidR="007A6514" w:rsidRPr="007A6514">
        <w:rPr>
          <w:sz w:val="22"/>
          <w:szCs w:val="22"/>
        </w:rPr>
        <w:t>expected to support hardware for more HARQ processes for receiving broadcast in Rel-17 in addition to the maximum number of HARQ processes supported for receiving unicast in Rel-16, i.e. the HARQ process resources are shared between broadcast, unicast and multicast</w:t>
      </w:r>
      <w:r w:rsidR="007A6514">
        <w:rPr>
          <w:sz w:val="22"/>
          <w:szCs w:val="22"/>
        </w:rPr>
        <w:t>. However, if UE supports 32 HARQ process for unicast</w:t>
      </w:r>
      <w:r w:rsidR="009D1E75">
        <w:rPr>
          <w:sz w:val="22"/>
          <w:szCs w:val="22"/>
        </w:rPr>
        <w:t xml:space="preserve"> in Rel-17</w:t>
      </w:r>
      <w:r w:rsidR="007A6514">
        <w:rPr>
          <w:sz w:val="22"/>
          <w:szCs w:val="22"/>
        </w:rPr>
        <w:t>, the 32</w:t>
      </w:r>
      <w:r w:rsidR="00D670E9">
        <w:rPr>
          <w:sz w:val="22"/>
          <w:szCs w:val="22"/>
        </w:rPr>
        <w:t xml:space="preserve"> HARQ processes</w:t>
      </w:r>
      <w:r w:rsidR="007A6514">
        <w:rPr>
          <w:sz w:val="22"/>
          <w:szCs w:val="22"/>
        </w:rPr>
        <w:t xml:space="preserve"> can be shared as well by multicast/broadcast</w:t>
      </w:r>
      <w:r w:rsidR="00F551D8">
        <w:rPr>
          <w:sz w:val="22"/>
          <w:szCs w:val="22"/>
        </w:rPr>
        <w:t xml:space="preserve"> and there is no reason to precdule such sharing given the conclusion from NR MBS. </w:t>
      </w:r>
    </w:p>
    <w:p w14:paraId="1FFC05DE" w14:textId="5E75DE16" w:rsidR="003B26B3" w:rsidRDefault="003B26B3" w:rsidP="00D833BD">
      <w:pPr>
        <w:spacing w:after="120"/>
        <w:jc w:val="both"/>
        <w:rPr>
          <w:rFonts w:eastAsiaTheme="minorEastAsia"/>
          <w:sz w:val="22"/>
          <w:szCs w:val="22"/>
          <w:lang w:val="en-US" w:eastAsia="zh-CN"/>
        </w:rPr>
      </w:pPr>
      <w:r>
        <w:rPr>
          <w:rFonts w:eastAsiaTheme="minorEastAsia"/>
          <w:sz w:val="22"/>
          <w:szCs w:val="22"/>
          <w:lang w:val="en-US" w:eastAsia="zh-CN"/>
        </w:rPr>
        <w:t>It was</w:t>
      </w:r>
      <w:r w:rsidR="00AD729F">
        <w:rPr>
          <w:rFonts w:eastAsiaTheme="minorEastAsia"/>
          <w:sz w:val="22"/>
          <w:szCs w:val="22"/>
          <w:lang w:val="en-US" w:eastAsia="zh-CN"/>
        </w:rPr>
        <w:t xml:space="preserve"> also</w:t>
      </w:r>
      <w:r>
        <w:rPr>
          <w:rFonts w:eastAsiaTheme="minorEastAsia"/>
          <w:sz w:val="22"/>
          <w:szCs w:val="22"/>
          <w:lang w:val="en-US" w:eastAsia="zh-CN"/>
        </w:rPr>
        <w:t xml:space="preserve"> ackowleged that coordination between </w:t>
      </w:r>
      <w:r w:rsidR="000C1BB4" w:rsidRPr="000C1BB4">
        <w:rPr>
          <w:rFonts w:eastAsiaTheme="minorEastAsia"/>
          <w:sz w:val="22"/>
          <w:szCs w:val="22"/>
          <w:lang w:val="en-US" w:eastAsia="zh-CN"/>
        </w:rPr>
        <w:t>above 52.6GHz or NTN</w:t>
      </w:r>
      <w:r w:rsidR="002D03DB">
        <w:rPr>
          <w:rFonts w:eastAsiaTheme="minorEastAsia"/>
          <w:sz w:val="22"/>
          <w:szCs w:val="22"/>
          <w:lang w:val="en-US" w:eastAsia="zh-CN"/>
        </w:rPr>
        <w:t xml:space="preserve"> are needed on </w:t>
      </w:r>
      <w:r w:rsidR="002D03DB">
        <w:rPr>
          <w:rFonts w:eastAsia="Malgun Gothic"/>
          <w:sz w:val="22"/>
          <w:szCs w:val="22"/>
          <w:lang w:val="en-US" w:eastAsia="en-US"/>
        </w:rPr>
        <w:t xml:space="preserve">the </w:t>
      </w:r>
      <w:r w:rsidR="000C1BB4">
        <w:rPr>
          <w:rFonts w:eastAsia="Malgun Gothic"/>
          <w:sz w:val="22"/>
          <w:szCs w:val="22"/>
          <w:lang w:val="en-US" w:eastAsia="en-US"/>
        </w:rPr>
        <w:t xml:space="preserve">definition of </w:t>
      </w:r>
      <w:r w:rsidR="002D03DB">
        <w:rPr>
          <w:rFonts w:eastAsia="Malgun Gothic"/>
          <w:sz w:val="22"/>
          <w:szCs w:val="22"/>
          <w:lang w:val="en-US" w:eastAsia="en-US"/>
        </w:rPr>
        <w:t>support of</w:t>
      </w:r>
      <w:r w:rsidR="002D03DB" w:rsidRPr="00462D76">
        <w:rPr>
          <w:rFonts w:eastAsia="Malgun Gothic"/>
          <w:sz w:val="22"/>
          <w:szCs w:val="22"/>
          <w:lang w:val="en-US" w:eastAsia="en-US"/>
        </w:rPr>
        <w:t xml:space="preserve"> 32 HARQ processes</w:t>
      </w:r>
      <w:r w:rsidR="002D03DB">
        <w:rPr>
          <w:rFonts w:eastAsia="Malgun Gothic"/>
          <w:sz w:val="22"/>
          <w:szCs w:val="22"/>
          <w:lang w:val="en-US" w:eastAsia="en-US"/>
        </w:rPr>
        <w:t xml:space="preserve">. Our views on how to handle this </w:t>
      </w:r>
      <w:r w:rsidR="006C7F20">
        <w:rPr>
          <w:rFonts w:eastAsia="Malgun Gothic"/>
          <w:sz w:val="22"/>
          <w:szCs w:val="22"/>
          <w:lang w:val="en-US" w:eastAsia="en-US"/>
        </w:rPr>
        <w:t xml:space="preserve">UE </w:t>
      </w:r>
      <w:r w:rsidR="002D03DB">
        <w:rPr>
          <w:rFonts w:eastAsia="Malgun Gothic"/>
          <w:sz w:val="22"/>
          <w:szCs w:val="22"/>
          <w:lang w:val="en-US" w:eastAsia="en-US"/>
        </w:rPr>
        <w:t xml:space="preserve">feature </w:t>
      </w:r>
      <w:r w:rsidR="006C7F20">
        <w:rPr>
          <w:rFonts w:eastAsia="Malgun Gothic"/>
          <w:sz w:val="22"/>
          <w:szCs w:val="22"/>
          <w:lang w:val="en-US" w:eastAsia="en-US"/>
        </w:rPr>
        <w:t xml:space="preserve">in Rel-17 </w:t>
      </w:r>
      <w:r w:rsidR="00A16A01">
        <w:rPr>
          <w:rFonts w:eastAsia="Malgun Gothic"/>
          <w:sz w:val="22"/>
          <w:szCs w:val="22"/>
          <w:lang w:val="en-US" w:eastAsia="en-US"/>
        </w:rPr>
        <w:t xml:space="preserve">in a generic manner </w:t>
      </w:r>
      <w:r w:rsidR="002D03DB">
        <w:rPr>
          <w:rFonts w:eastAsia="Malgun Gothic"/>
          <w:sz w:val="22"/>
          <w:szCs w:val="22"/>
          <w:lang w:val="en-US" w:eastAsia="en-US"/>
        </w:rPr>
        <w:t xml:space="preserve">are provided </w:t>
      </w:r>
      <w:r w:rsidR="006E673D">
        <w:rPr>
          <w:rFonts w:eastAsia="Malgun Gothic"/>
          <w:sz w:val="22"/>
          <w:szCs w:val="22"/>
          <w:lang w:val="en-US" w:eastAsia="en-US"/>
        </w:rPr>
        <w:t>below</w:t>
      </w:r>
    </w:p>
    <w:p w14:paraId="69012282" w14:textId="3D0EFA1D" w:rsidR="00F545BD" w:rsidRPr="00F545BD" w:rsidRDefault="003B26B3" w:rsidP="0071759B">
      <w:pPr>
        <w:pStyle w:val="ListParagraph"/>
        <w:numPr>
          <w:ilvl w:val="0"/>
          <w:numId w:val="44"/>
        </w:numPr>
        <w:spacing w:after="120"/>
        <w:ind w:leftChars="0"/>
        <w:jc w:val="both"/>
        <w:rPr>
          <w:rFonts w:eastAsiaTheme="minorEastAsia"/>
          <w:sz w:val="22"/>
          <w:szCs w:val="22"/>
          <w:lang w:eastAsia="zh-CN"/>
        </w:rPr>
      </w:pPr>
      <w:r w:rsidRPr="005E328A">
        <w:rPr>
          <w:rFonts w:eastAsiaTheme="minorEastAsia"/>
          <w:sz w:val="22"/>
          <w:szCs w:val="22"/>
          <w:lang w:val="en-US" w:eastAsia="zh-CN"/>
        </w:rPr>
        <w:t xml:space="preserve">Comment 1: </w:t>
      </w:r>
      <w:r w:rsidR="002D03DB" w:rsidRPr="005E328A">
        <w:rPr>
          <w:rFonts w:eastAsiaTheme="minorEastAsia"/>
          <w:sz w:val="22"/>
          <w:szCs w:val="22"/>
          <w:lang w:val="en-US" w:eastAsia="zh-CN"/>
        </w:rPr>
        <w:t>T</w:t>
      </w:r>
      <w:r w:rsidR="00701320" w:rsidRPr="005E328A">
        <w:rPr>
          <w:rFonts w:eastAsiaTheme="minorEastAsia"/>
          <w:sz w:val="22"/>
          <w:szCs w:val="22"/>
          <w:lang w:val="en-US" w:eastAsia="zh-CN"/>
        </w:rPr>
        <w:t xml:space="preserve">here is </w:t>
      </w:r>
      <w:r w:rsidR="000C1BB4" w:rsidRPr="005E328A">
        <w:rPr>
          <w:rFonts w:eastAsiaTheme="minorEastAsia"/>
          <w:sz w:val="22"/>
          <w:szCs w:val="22"/>
          <w:lang w:val="en-US" w:eastAsia="zh-CN"/>
        </w:rPr>
        <w:t xml:space="preserve">no need to define duplicated FGs </w:t>
      </w:r>
      <w:r w:rsidR="002D03DB" w:rsidRPr="005E328A">
        <w:rPr>
          <w:rFonts w:eastAsiaTheme="minorEastAsia"/>
          <w:sz w:val="22"/>
          <w:szCs w:val="22"/>
          <w:lang w:val="en-US" w:eastAsia="zh-CN"/>
        </w:rPr>
        <w:t>in different WIs</w:t>
      </w:r>
      <w:r w:rsidR="00F545BD">
        <w:rPr>
          <w:rFonts w:eastAsiaTheme="minorEastAsia"/>
          <w:sz w:val="22"/>
          <w:szCs w:val="22"/>
          <w:lang w:val="en-US" w:eastAsia="zh-CN"/>
        </w:rPr>
        <w:t>.</w:t>
      </w:r>
      <w:r w:rsidR="002D03DB" w:rsidRPr="005E328A">
        <w:rPr>
          <w:rFonts w:eastAsiaTheme="minorEastAsia"/>
          <w:sz w:val="22"/>
          <w:szCs w:val="22"/>
          <w:lang w:val="en-US" w:eastAsia="zh-CN"/>
        </w:rPr>
        <w:t xml:space="preserve"> </w:t>
      </w:r>
    </w:p>
    <w:p w14:paraId="7FE9090A" w14:textId="21DADE30" w:rsidR="00F545BD" w:rsidRPr="00F545BD" w:rsidRDefault="00F545BD" w:rsidP="00F545BD">
      <w:pPr>
        <w:pStyle w:val="ListParagraph"/>
        <w:numPr>
          <w:ilvl w:val="1"/>
          <w:numId w:val="44"/>
        </w:numPr>
        <w:spacing w:after="120"/>
        <w:ind w:leftChars="0"/>
        <w:jc w:val="both"/>
        <w:rPr>
          <w:rFonts w:eastAsiaTheme="minorEastAsia"/>
          <w:sz w:val="22"/>
          <w:szCs w:val="22"/>
          <w:lang w:eastAsia="zh-CN"/>
        </w:rPr>
      </w:pPr>
      <w:r>
        <w:rPr>
          <w:rFonts w:eastAsiaTheme="minorEastAsia"/>
          <w:sz w:val="22"/>
          <w:szCs w:val="22"/>
          <w:lang w:val="en-US" w:eastAsia="zh-CN"/>
        </w:rPr>
        <w:t>T</w:t>
      </w:r>
      <w:r w:rsidR="002D03DB" w:rsidRPr="005E328A">
        <w:rPr>
          <w:rFonts w:eastAsiaTheme="minorEastAsia"/>
          <w:sz w:val="22"/>
          <w:szCs w:val="22"/>
          <w:lang w:val="en-US" w:eastAsia="zh-CN"/>
        </w:rPr>
        <w:t xml:space="preserve">he support of 32 HARQ processes can be defined </w:t>
      </w:r>
      <w:r>
        <w:rPr>
          <w:rFonts w:eastAsiaTheme="minorEastAsia"/>
          <w:sz w:val="22"/>
          <w:szCs w:val="22"/>
          <w:lang w:val="en-US" w:eastAsia="zh-CN"/>
        </w:rPr>
        <w:t>separately</w:t>
      </w:r>
      <w:r w:rsidR="000C1BB4" w:rsidRPr="005E328A">
        <w:rPr>
          <w:rFonts w:eastAsiaTheme="minorEastAsia"/>
          <w:sz w:val="22"/>
          <w:szCs w:val="22"/>
          <w:lang w:val="en-US" w:eastAsia="zh-CN"/>
        </w:rPr>
        <w:t xml:space="preserve"> </w:t>
      </w:r>
      <w:r w:rsidR="002D03DB" w:rsidRPr="005E328A">
        <w:rPr>
          <w:rFonts w:eastAsiaTheme="minorEastAsia"/>
          <w:sz w:val="22"/>
          <w:szCs w:val="22"/>
          <w:lang w:val="en-US" w:eastAsia="zh-CN"/>
        </w:rPr>
        <w:t xml:space="preserve">without tying it to </w:t>
      </w:r>
      <w:r w:rsidR="006C7F20" w:rsidRPr="005E328A">
        <w:rPr>
          <w:rFonts w:eastAsiaTheme="minorEastAsia"/>
          <w:sz w:val="22"/>
          <w:szCs w:val="22"/>
          <w:lang w:val="en-US" w:eastAsia="zh-CN"/>
        </w:rPr>
        <w:t>other capabilitie such as above 52.6GHz, NTN or MBS</w:t>
      </w:r>
      <w:r w:rsidR="002D03DB" w:rsidRPr="005E328A">
        <w:rPr>
          <w:rFonts w:eastAsiaTheme="minorEastAsia"/>
          <w:sz w:val="22"/>
          <w:szCs w:val="22"/>
          <w:lang w:val="en-US" w:eastAsia="zh-CN"/>
        </w:rPr>
        <w:t xml:space="preserve">. </w:t>
      </w:r>
    </w:p>
    <w:p w14:paraId="498DBDB3" w14:textId="77777777" w:rsidR="00DB08B9" w:rsidRPr="00DB08B9" w:rsidRDefault="00F545BD" w:rsidP="00F545BD">
      <w:pPr>
        <w:pStyle w:val="ListParagraph"/>
        <w:numPr>
          <w:ilvl w:val="1"/>
          <w:numId w:val="44"/>
        </w:numPr>
        <w:spacing w:after="120"/>
        <w:ind w:leftChars="0"/>
        <w:jc w:val="both"/>
        <w:rPr>
          <w:rFonts w:eastAsiaTheme="minorEastAsia"/>
          <w:sz w:val="22"/>
          <w:szCs w:val="22"/>
          <w:lang w:eastAsia="zh-CN"/>
        </w:rPr>
      </w:pPr>
      <w:r>
        <w:rPr>
          <w:rFonts w:eastAsiaTheme="minorEastAsia"/>
          <w:sz w:val="22"/>
          <w:szCs w:val="22"/>
          <w:lang w:val="en-US" w:eastAsia="zh-CN"/>
        </w:rPr>
        <w:t>T</w:t>
      </w:r>
      <w:r w:rsidR="002D03DB" w:rsidRPr="005E328A">
        <w:rPr>
          <w:rFonts w:eastAsiaTheme="minorEastAsia"/>
          <w:sz w:val="22"/>
          <w:szCs w:val="22"/>
          <w:lang w:val="en-US" w:eastAsia="zh-CN"/>
        </w:rPr>
        <w:t xml:space="preserve">he reporting </w:t>
      </w:r>
      <w:r w:rsidR="000C1BB4" w:rsidRPr="005E328A">
        <w:rPr>
          <w:rFonts w:eastAsiaTheme="minorEastAsia"/>
          <w:sz w:val="22"/>
          <w:szCs w:val="22"/>
          <w:lang w:val="en-US" w:eastAsia="zh-CN"/>
        </w:rPr>
        <w:t xml:space="preserve">type </w:t>
      </w:r>
      <w:r w:rsidR="005E328A" w:rsidRPr="005E328A">
        <w:rPr>
          <w:rFonts w:eastAsiaTheme="minorEastAsia"/>
          <w:sz w:val="22"/>
          <w:szCs w:val="22"/>
          <w:lang w:val="en-US" w:eastAsia="zh-CN"/>
        </w:rPr>
        <w:t xml:space="preserve">of this FG </w:t>
      </w:r>
      <w:r>
        <w:rPr>
          <w:rFonts w:eastAsiaTheme="minorEastAsia"/>
          <w:sz w:val="22"/>
          <w:szCs w:val="22"/>
          <w:lang w:val="en-US" w:eastAsia="zh-CN"/>
        </w:rPr>
        <w:t xml:space="preserve">can be defined </w:t>
      </w:r>
      <w:r w:rsidR="000C1BB4" w:rsidRPr="005E328A">
        <w:rPr>
          <w:rFonts w:eastAsiaTheme="minorEastAsia"/>
          <w:sz w:val="22"/>
          <w:szCs w:val="22"/>
          <w:lang w:val="en-US" w:eastAsia="zh-CN"/>
        </w:rPr>
        <w:t xml:space="preserve">as </w:t>
      </w:r>
      <w:r w:rsidR="002D03DB" w:rsidRPr="005E328A">
        <w:rPr>
          <w:rFonts w:eastAsiaTheme="minorEastAsia"/>
          <w:sz w:val="22"/>
          <w:szCs w:val="22"/>
          <w:lang w:val="en-US" w:eastAsia="zh-CN"/>
        </w:rPr>
        <w:t xml:space="preserve">per band or per FSBC. </w:t>
      </w:r>
    </w:p>
    <w:p w14:paraId="1F7DDC71" w14:textId="18807998" w:rsidR="00F545BD" w:rsidRPr="00F545BD" w:rsidRDefault="00605E9E" w:rsidP="00DB08B9">
      <w:pPr>
        <w:pStyle w:val="ListParagraph"/>
        <w:numPr>
          <w:ilvl w:val="2"/>
          <w:numId w:val="44"/>
        </w:numPr>
        <w:spacing w:after="120"/>
        <w:ind w:leftChars="0"/>
        <w:jc w:val="both"/>
        <w:rPr>
          <w:rFonts w:eastAsiaTheme="minorEastAsia"/>
          <w:sz w:val="22"/>
          <w:szCs w:val="22"/>
          <w:lang w:eastAsia="zh-CN"/>
        </w:rPr>
      </w:pPr>
      <w:r>
        <w:rPr>
          <w:rFonts w:eastAsiaTheme="minorEastAsia"/>
          <w:sz w:val="22"/>
          <w:szCs w:val="22"/>
          <w:lang w:val="en-US" w:eastAsia="zh-CN"/>
        </w:rPr>
        <w:t>As an example</w:t>
      </w:r>
      <w:r w:rsidR="00AC7170">
        <w:rPr>
          <w:rFonts w:eastAsiaTheme="minorEastAsia"/>
          <w:sz w:val="22"/>
          <w:szCs w:val="22"/>
          <w:lang w:val="en-US" w:eastAsia="zh-CN"/>
        </w:rPr>
        <w:t>,</w:t>
      </w:r>
      <w:r>
        <w:rPr>
          <w:rFonts w:eastAsiaTheme="minorEastAsia"/>
          <w:sz w:val="22"/>
          <w:szCs w:val="22"/>
          <w:lang w:val="en-US" w:eastAsia="zh-CN"/>
        </w:rPr>
        <w:t xml:space="preserve"> f</w:t>
      </w:r>
      <w:r w:rsidR="000C1BB4" w:rsidRPr="005E328A">
        <w:rPr>
          <w:rFonts w:eastAsiaTheme="minorEastAsia"/>
          <w:sz w:val="22"/>
          <w:szCs w:val="22"/>
          <w:lang w:val="en-US" w:eastAsia="zh-CN"/>
        </w:rPr>
        <w:t xml:space="preserve">or a UE support 52.6 GHz or NTN, it will </w:t>
      </w:r>
      <w:r w:rsidR="00F545BD">
        <w:rPr>
          <w:rFonts w:eastAsiaTheme="minorEastAsia"/>
          <w:sz w:val="22"/>
          <w:szCs w:val="22"/>
          <w:lang w:val="en-US" w:eastAsia="zh-CN"/>
        </w:rPr>
        <w:t xml:space="preserve">anyway </w:t>
      </w:r>
      <w:r w:rsidR="005E328A" w:rsidRPr="005E328A">
        <w:rPr>
          <w:rFonts w:eastAsiaTheme="minorEastAsia"/>
          <w:sz w:val="22"/>
          <w:szCs w:val="22"/>
          <w:lang w:val="en-US" w:eastAsia="zh-CN"/>
        </w:rPr>
        <w:t xml:space="preserve">need to </w:t>
      </w:r>
      <w:r w:rsidR="000C1BB4" w:rsidRPr="005E328A">
        <w:rPr>
          <w:rFonts w:eastAsiaTheme="minorEastAsia"/>
          <w:sz w:val="22"/>
          <w:szCs w:val="22"/>
          <w:lang w:val="en-US" w:eastAsia="zh-CN"/>
        </w:rPr>
        <w:t>report the supported band/band combinitions.</w:t>
      </w:r>
      <w:r w:rsidR="00F545BD">
        <w:rPr>
          <w:rFonts w:eastAsiaTheme="minorEastAsia"/>
          <w:sz w:val="22"/>
          <w:szCs w:val="22"/>
          <w:lang w:val="en-US" w:eastAsia="zh-CN"/>
        </w:rPr>
        <w:t xml:space="preserve"> </w:t>
      </w:r>
      <w:r w:rsidR="005E328A" w:rsidRPr="005E328A">
        <w:rPr>
          <w:rFonts w:eastAsiaTheme="minorEastAsia"/>
          <w:sz w:val="22"/>
          <w:szCs w:val="22"/>
          <w:lang w:val="en-US" w:eastAsia="zh-CN"/>
        </w:rPr>
        <w:t>As a result, the support of 52.6GHz</w:t>
      </w:r>
      <w:r w:rsidR="00F545BD">
        <w:rPr>
          <w:rFonts w:eastAsiaTheme="minorEastAsia"/>
          <w:sz w:val="22"/>
          <w:szCs w:val="22"/>
          <w:lang w:val="en-US" w:eastAsia="zh-CN"/>
        </w:rPr>
        <w:t xml:space="preserve"> or</w:t>
      </w:r>
      <w:r w:rsidR="005E328A" w:rsidRPr="005E328A">
        <w:rPr>
          <w:rFonts w:eastAsiaTheme="minorEastAsia"/>
          <w:sz w:val="22"/>
          <w:szCs w:val="22"/>
          <w:lang w:val="en-US" w:eastAsia="zh-CN"/>
        </w:rPr>
        <w:t xml:space="preserve"> NTN</w:t>
      </w:r>
      <w:r w:rsidR="00F545BD">
        <w:rPr>
          <w:rFonts w:eastAsiaTheme="minorEastAsia"/>
          <w:sz w:val="22"/>
          <w:szCs w:val="22"/>
          <w:lang w:val="en-US" w:eastAsia="zh-CN"/>
        </w:rPr>
        <w:t xml:space="preserve"> </w:t>
      </w:r>
      <w:r w:rsidR="005E328A" w:rsidRPr="005E328A">
        <w:rPr>
          <w:rFonts w:eastAsiaTheme="minorEastAsia"/>
          <w:sz w:val="22"/>
          <w:szCs w:val="22"/>
          <w:lang w:val="en-US" w:eastAsia="zh-CN"/>
        </w:rPr>
        <w:t xml:space="preserve">and the support of 32 HARQ processes </w:t>
      </w:r>
      <w:r w:rsidR="00F545BD">
        <w:rPr>
          <w:rFonts w:eastAsiaTheme="minorEastAsia"/>
          <w:sz w:val="22"/>
          <w:szCs w:val="22"/>
          <w:lang w:val="en-US" w:eastAsia="zh-CN"/>
        </w:rPr>
        <w:t>can be</w:t>
      </w:r>
      <w:r w:rsidR="005E328A" w:rsidRPr="005E328A">
        <w:rPr>
          <w:rFonts w:eastAsiaTheme="minorEastAsia"/>
          <w:sz w:val="22"/>
          <w:szCs w:val="22"/>
          <w:lang w:val="en-US" w:eastAsia="zh-CN"/>
        </w:rPr>
        <w:t xml:space="preserve"> naturally coupled together. </w:t>
      </w:r>
    </w:p>
    <w:p w14:paraId="6F470DBF" w14:textId="78FCCA8E" w:rsidR="00701320" w:rsidRPr="005E328A" w:rsidRDefault="005E328A" w:rsidP="00F545BD">
      <w:pPr>
        <w:pStyle w:val="ListParagraph"/>
        <w:numPr>
          <w:ilvl w:val="1"/>
          <w:numId w:val="44"/>
        </w:numPr>
        <w:spacing w:after="120"/>
        <w:ind w:leftChars="0"/>
        <w:jc w:val="both"/>
        <w:rPr>
          <w:rFonts w:eastAsiaTheme="minorEastAsia"/>
          <w:sz w:val="22"/>
          <w:szCs w:val="22"/>
          <w:lang w:eastAsia="zh-CN"/>
        </w:rPr>
      </w:pPr>
      <w:r>
        <w:rPr>
          <w:rFonts w:eastAsiaTheme="minorEastAsia"/>
          <w:sz w:val="22"/>
          <w:szCs w:val="22"/>
          <w:lang w:val="en-US" w:eastAsia="zh-CN"/>
        </w:rPr>
        <w:t xml:space="preserve">One </w:t>
      </w:r>
      <w:r w:rsidR="00DB08B9">
        <w:rPr>
          <w:rFonts w:eastAsiaTheme="minorEastAsia"/>
          <w:sz w:val="22"/>
          <w:szCs w:val="22"/>
          <w:lang w:val="en-US" w:eastAsia="zh-CN"/>
        </w:rPr>
        <w:t>addtional</w:t>
      </w:r>
      <w:r>
        <w:rPr>
          <w:rFonts w:eastAsiaTheme="minorEastAsia"/>
          <w:sz w:val="22"/>
          <w:szCs w:val="22"/>
          <w:lang w:val="en-US" w:eastAsia="zh-CN"/>
        </w:rPr>
        <w:t xml:space="preserve"> benefit by doing so is that the support of 32 HARQ processes can be extended</w:t>
      </w:r>
      <w:r w:rsidRPr="005E328A">
        <w:rPr>
          <w:rFonts w:eastAsiaTheme="minorEastAsia"/>
          <w:sz w:val="22"/>
          <w:szCs w:val="22"/>
          <w:lang w:val="en-US" w:eastAsia="zh-CN"/>
        </w:rPr>
        <w:t xml:space="preserve"> for licensed terrestrial bands</w:t>
      </w:r>
      <w:r>
        <w:rPr>
          <w:rFonts w:eastAsiaTheme="minorEastAsia"/>
          <w:sz w:val="22"/>
          <w:szCs w:val="22"/>
          <w:lang w:val="en-US" w:eastAsia="zh-CN"/>
        </w:rPr>
        <w:t>.</w:t>
      </w:r>
      <w:r w:rsidRPr="005E328A">
        <w:rPr>
          <w:rFonts w:eastAsiaTheme="minorEastAsia"/>
          <w:sz w:val="22"/>
          <w:szCs w:val="22"/>
          <w:lang w:val="en-US" w:eastAsia="zh-CN"/>
        </w:rPr>
        <w:t xml:space="preserve"> </w:t>
      </w:r>
    </w:p>
    <w:p w14:paraId="60070485" w14:textId="0E43FCB9" w:rsidR="001A7CFD" w:rsidRDefault="002D03DB" w:rsidP="005E328A">
      <w:pPr>
        <w:pStyle w:val="ListParagraph"/>
        <w:numPr>
          <w:ilvl w:val="0"/>
          <w:numId w:val="44"/>
        </w:numPr>
        <w:spacing w:after="120"/>
        <w:ind w:leftChars="0"/>
        <w:jc w:val="both"/>
        <w:rPr>
          <w:rFonts w:eastAsiaTheme="minorEastAsia"/>
          <w:sz w:val="22"/>
          <w:szCs w:val="22"/>
          <w:lang w:val="en-US" w:eastAsia="zh-CN"/>
        </w:rPr>
      </w:pPr>
      <w:r w:rsidRPr="005E328A">
        <w:rPr>
          <w:rFonts w:eastAsiaTheme="minorEastAsia"/>
          <w:sz w:val="22"/>
          <w:szCs w:val="22"/>
          <w:lang w:val="en-US" w:eastAsia="zh-CN"/>
        </w:rPr>
        <w:t xml:space="preserve">Comment 2: </w:t>
      </w:r>
      <w:r w:rsidR="00DB08B9">
        <w:rPr>
          <w:rFonts w:eastAsiaTheme="minorEastAsia"/>
          <w:sz w:val="22"/>
          <w:szCs w:val="22"/>
          <w:lang w:val="en-US" w:eastAsia="zh-CN"/>
        </w:rPr>
        <w:t>I</w:t>
      </w:r>
      <w:r w:rsidR="001A7CFD" w:rsidRPr="005E328A">
        <w:rPr>
          <w:rFonts w:eastAsiaTheme="minorEastAsia"/>
          <w:sz w:val="22"/>
          <w:szCs w:val="22"/>
          <w:lang w:val="en-US" w:eastAsia="zh-CN"/>
        </w:rPr>
        <w:t>n NTN and above 52.6GHz</w:t>
      </w:r>
      <w:r w:rsidR="001A7CFD" w:rsidRPr="005E328A">
        <w:rPr>
          <w:rFonts w:eastAsiaTheme="minorEastAsia" w:hint="eastAsia"/>
          <w:sz w:val="22"/>
          <w:szCs w:val="22"/>
          <w:lang w:val="en-US" w:eastAsia="zh-CN"/>
        </w:rPr>
        <w:t>,</w:t>
      </w:r>
      <w:r w:rsidR="001A7CFD" w:rsidRPr="005E328A">
        <w:rPr>
          <w:rFonts w:eastAsiaTheme="minorEastAsia"/>
          <w:sz w:val="22"/>
          <w:szCs w:val="22"/>
          <w:lang w:val="en-US" w:eastAsia="zh-CN"/>
        </w:rPr>
        <w:t xml:space="preserve"> the support of 32 HARQ processes are defined</w:t>
      </w:r>
      <w:r w:rsidR="00DB08B9">
        <w:rPr>
          <w:rFonts w:eastAsiaTheme="minorEastAsia"/>
          <w:sz w:val="22"/>
          <w:szCs w:val="22"/>
          <w:lang w:val="en-US" w:eastAsia="zh-CN"/>
        </w:rPr>
        <w:t xml:space="preserve"> differently</w:t>
      </w:r>
      <w:r w:rsidR="001A7CFD" w:rsidRPr="005E328A">
        <w:rPr>
          <w:rFonts w:eastAsiaTheme="minorEastAsia"/>
          <w:sz w:val="22"/>
          <w:szCs w:val="22"/>
          <w:lang w:val="en-US" w:eastAsia="zh-CN"/>
        </w:rPr>
        <w:t xml:space="preserve">. In NTN, there is only one FG defined for both ULand DL while in above 52.6GHz two FGs are defined separately for UL and DL. </w:t>
      </w:r>
      <w:r w:rsidR="00701320" w:rsidRPr="005E328A">
        <w:rPr>
          <w:rFonts w:eastAsiaTheme="minorEastAsia"/>
          <w:sz w:val="22"/>
          <w:szCs w:val="22"/>
          <w:lang w:val="en-US" w:eastAsia="zh-CN"/>
        </w:rPr>
        <w:t>Even though there may be no pratical difference between the</w:t>
      </w:r>
      <w:r w:rsidR="00F545BD">
        <w:rPr>
          <w:rFonts w:eastAsiaTheme="minorEastAsia"/>
          <w:sz w:val="22"/>
          <w:szCs w:val="22"/>
          <w:lang w:val="en-US" w:eastAsia="zh-CN"/>
        </w:rPr>
        <w:t xml:space="preserve"> two kinds of definitions, it seems</w:t>
      </w:r>
      <w:r w:rsidR="00701320" w:rsidRPr="005E328A">
        <w:rPr>
          <w:rFonts w:eastAsiaTheme="minorEastAsia"/>
          <w:sz w:val="22"/>
          <w:szCs w:val="22"/>
          <w:lang w:val="en-US" w:eastAsia="zh-CN"/>
        </w:rPr>
        <w:t xml:space="preserve"> clearer to define separate FGs </w:t>
      </w:r>
      <w:r w:rsidR="00F545BD">
        <w:rPr>
          <w:rFonts w:eastAsiaTheme="minorEastAsia"/>
          <w:sz w:val="22"/>
          <w:szCs w:val="22"/>
          <w:lang w:val="en-US" w:eastAsia="zh-CN"/>
        </w:rPr>
        <w:t xml:space="preserve">into UL and DL. </w:t>
      </w:r>
    </w:p>
    <w:p w14:paraId="64BAA095" w14:textId="5D80ABD1" w:rsidR="00605E9E" w:rsidRPr="00605E9E" w:rsidRDefault="00605E9E" w:rsidP="00605E9E">
      <w:pPr>
        <w:spacing w:after="120"/>
        <w:jc w:val="both"/>
        <w:rPr>
          <w:rFonts w:eastAsiaTheme="minorEastAsia"/>
          <w:sz w:val="22"/>
          <w:szCs w:val="22"/>
          <w:lang w:val="en-US" w:eastAsia="zh-CN"/>
        </w:rPr>
      </w:pPr>
      <w:r>
        <w:rPr>
          <w:rFonts w:eastAsiaTheme="minorEastAsia"/>
          <w:sz w:val="22"/>
          <w:szCs w:val="22"/>
          <w:lang w:val="en-US" w:eastAsia="zh-CN"/>
        </w:rPr>
        <w:t>Based on the above consideration, we propose the following FGs for the support of 32 HARQ processes</w:t>
      </w:r>
    </w:p>
    <w:p w14:paraId="4EE438EB" w14:textId="6906C475" w:rsidR="00C70DA8" w:rsidRDefault="00C70DA8" w:rsidP="00556D0E">
      <w:pPr>
        <w:spacing w:after="120"/>
        <w:rPr>
          <w:b/>
          <w:sz w:val="22"/>
          <w:szCs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1054F" w14:paraId="118A4E7D" w14:textId="77777777" w:rsidTr="00F545BD">
        <w:trPr>
          <w:trHeight w:val="20"/>
        </w:trPr>
        <w:tc>
          <w:tcPr>
            <w:tcW w:w="1130" w:type="dxa"/>
            <w:tcBorders>
              <w:top w:val="single" w:sz="4" w:space="0" w:color="auto"/>
              <w:left w:val="single" w:sz="4" w:space="0" w:color="auto"/>
              <w:bottom w:val="single" w:sz="4" w:space="0" w:color="auto"/>
              <w:right w:val="single" w:sz="4" w:space="0" w:color="auto"/>
            </w:tcBorders>
          </w:tcPr>
          <w:p w14:paraId="140197C3" w14:textId="673390D4" w:rsidR="0091054F" w:rsidRDefault="0091054F" w:rsidP="0091054F">
            <w:pPr>
              <w:pStyle w:val="TAL"/>
              <w:rPr>
                <w:rFonts w:cs="Arial"/>
                <w:color w:val="000000"/>
                <w:szCs w:val="18"/>
                <w:lang w:eastAsia="zh-CN"/>
              </w:rPr>
            </w:pPr>
            <w:r>
              <w:rPr>
                <w:rFonts w:cs="Arial"/>
                <w:color w:val="000000"/>
                <w:szCs w:val="18"/>
                <w:lang w:eastAsia="zh-CN"/>
              </w:rPr>
              <w:t>39</w:t>
            </w:r>
          </w:p>
        </w:tc>
        <w:tc>
          <w:tcPr>
            <w:tcW w:w="710" w:type="dxa"/>
            <w:tcBorders>
              <w:top w:val="single" w:sz="4" w:space="0" w:color="auto"/>
              <w:left w:val="single" w:sz="4" w:space="0" w:color="auto"/>
              <w:bottom w:val="single" w:sz="4" w:space="0" w:color="auto"/>
              <w:right w:val="single" w:sz="4" w:space="0" w:color="auto"/>
            </w:tcBorders>
            <w:hideMark/>
          </w:tcPr>
          <w:p w14:paraId="1C27C226" w14:textId="2377CFAA" w:rsidR="0091054F" w:rsidRDefault="0091054F" w:rsidP="0091054F">
            <w:pPr>
              <w:pStyle w:val="TAL"/>
              <w:rPr>
                <w:rFonts w:cs="Arial"/>
                <w:color w:val="000000"/>
                <w:szCs w:val="18"/>
              </w:rPr>
            </w:pPr>
            <w:r>
              <w:rPr>
                <w:rFonts w:cs="Arial"/>
                <w:color w:val="000000"/>
                <w:szCs w:val="18"/>
              </w:rPr>
              <w:t>39-1</w:t>
            </w:r>
          </w:p>
        </w:tc>
        <w:tc>
          <w:tcPr>
            <w:tcW w:w="1559" w:type="dxa"/>
            <w:tcBorders>
              <w:top w:val="single" w:sz="4" w:space="0" w:color="auto"/>
              <w:left w:val="single" w:sz="4" w:space="0" w:color="auto"/>
              <w:bottom w:val="single" w:sz="4" w:space="0" w:color="auto"/>
              <w:right w:val="single" w:sz="4" w:space="0" w:color="auto"/>
            </w:tcBorders>
            <w:hideMark/>
          </w:tcPr>
          <w:p w14:paraId="3C4FE906" w14:textId="467B4961" w:rsidR="0091054F" w:rsidRDefault="0091054F" w:rsidP="0091054F">
            <w:pPr>
              <w:pStyle w:val="TAL"/>
              <w:rPr>
                <w:rFonts w:eastAsia="SimSun" w:cs="Arial"/>
                <w:color w:val="000000"/>
                <w:szCs w:val="18"/>
                <w:lang w:eastAsia="zh-CN"/>
              </w:rPr>
            </w:pPr>
            <w:r>
              <w:rPr>
                <w:rFonts w:cs="Arial"/>
                <w:color w:val="000000"/>
                <w:szCs w:val="18"/>
              </w:rPr>
              <w:t>32 DL HARQ processes</w:t>
            </w:r>
          </w:p>
        </w:tc>
        <w:tc>
          <w:tcPr>
            <w:tcW w:w="6371" w:type="dxa"/>
            <w:tcBorders>
              <w:top w:val="single" w:sz="4" w:space="0" w:color="auto"/>
              <w:left w:val="single" w:sz="4" w:space="0" w:color="auto"/>
              <w:bottom w:val="single" w:sz="4" w:space="0" w:color="auto"/>
              <w:right w:val="single" w:sz="4" w:space="0" w:color="auto"/>
            </w:tcBorders>
            <w:hideMark/>
          </w:tcPr>
          <w:p w14:paraId="60AB4E04" w14:textId="2E863B43" w:rsidR="0091054F" w:rsidRPr="009A6A06" w:rsidRDefault="009A6A06" w:rsidP="0091054F">
            <w:pPr>
              <w:autoSpaceDE w:val="0"/>
              <w:autoSpaceDN w:val="0"/>
              <w:adjustRightInd w:val="0"/>
              <w:snapToGrid w:val="0"/>
              <w:rPr>
                <w:rFonts w:ascii="Arial" w:eastAsia="Times New Roman" w:hAnsi="Arial" w:cs="Arial"/>
                <w:color w:val="000000"/>
                <w:sz w:val="18"/>
                <w:szCs w:val="18"/>
                <w:lang w:eastAsia="en-US"/>
              </w:rPr>
            </w:pPr>
            <w:r w:rsidRPr="009A6A06">
              <w:rPr>
                <w:rFonts w:ascii="Arial" w:hAnsi="Arial" w:cs="Arial"/>
                <w:color w:val="000000"/>
                <w:sz w:val="18"/>
                <w:szCs w:val="18"/>
              </w:rPr>
              <w:t>HARQ process operation with configurable number of DL HARQ processes of up to 32</w:t>
            </w:r>
          </w:p>
        </w:tc>
        <w:tc>
          <w:tcPr>
            <w:tcW w:w="1277" w:type="dxa"/>
            <w:tcBorders>
              <w:top w:val="single" w:sz="4" w:space="0" w:color="auto"/>
              <w:left w:val="single" w:sz="4" w:space="0" w:color="auto"/>
              <w:bottom w:val="single" w:sz="4" w:space="0" w:color="auto"/>
              <w:right w:val="single" w:sz="4" w:space="0" w:color="auto"/>
            </w:tcBorders>
          </w:tcPr>
          <w:p w14:paraId="26DCCA31" w14:textId="77777777" w:rsidR="0091054F" w:rsidRDefault="0091054F" w:rsidP="0091054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7F45925D" w14:textId="77777777" w:rsidR="0091054F" w:rsidRDefault="0091054F" w:rsidP="0091054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B0CEE73" w14:textId="77777777" w:rsidR="0091054F" w:rsidRDefault="0091054F" w:rsidP="0091054F">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248493" w14:textId="77777777" w:rsidR="0091054F" w:rsidRDefault="0091054F" w:rsidP="0091054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5FECA3A" w14:textId="7B51E6AD" w:rsidR="0091054F" w:rsidRDefault="0091054F" w:rsidP="0091054F">
            <w:pPr>
              <w:pStyle w:val="TAL"/>
              <w:rPr>
                <w:rFonts w:eastAsia="Times New Roman" w:cs="Arial"/>
                <w:color w:val="FF0000"/>
                <w:szCs w:val="18"/>
                <w:lang w:eastAsia="ja-JP"/>
              </w:rPr>
            </w:pPr>
            <w:r>
              <w:rPr>
                <w:rFonts w:cs="Arial"/>
                <w:color w:val="FF0000"/>
                <w:szCs w:val="18"/>
                <w:highlight w:val="yellow"/>
              </w:rPr>
              <w:t>[</w:t>
            </w:r>
            <w:r w:rsidRPr="00F545BD">
              <w:rPr>
                <w:rFonts w:cs="Arial"/>
                <w:color w:val="FF0000"/>
                <w:szCs w:val="18"/>
                <w:highlight w:val="yellow"/>
              </w:rPr>
              <w:t>per FSPC/per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2AA0F035" w14:textId="77777777" w:rsidR="0091054F" w:rsidRDefault="0091054F" w:rsidP="0091054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B2BF29F" w14:textId="77777777" w:rsidR="0091054F" w:rsidRDefault="0091054F" w:rsidP="0091054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6007C801" w14:textId="77777777" w:rsidR="0091054F" w:rsidRDefault="0091054F" w:rsidP="0091054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2590AD26" w14:textId="4734E194" w:rsidR="0091054F" w:rsidRDefault="0091054F" w:rsidP="0091054F">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hideMark/>
          </w:tcPr>
          <w:p w14:paraId="3A4F5C07" w14:textId="77777777" w:rsidR="0091054F" w:rsidRDefault="0091054F" w:rsidP="0091054F">
            <w:pPr>
              <w:pStyle w:val="TAL"/>
              <w:rPr>
                <w:rFonts w:cs="Arial"/>
                <w:color w:val="000000"/>
                <w:szCs w:val="18"/>
              </w:rPr>
            </w:pPr>
            <w:r>
              <w:rPr>
                <w:rFonts w:cs="Arial"/>
                <w:color w:val="000000"/>
                <w:szCs w:val="18"/>
              </w:rPr>
              <w:t>Optional with capability signalling</w:t>
            </w:r>
          </w:p>
        </w:tc>
      </w:tr>
      <w:tr w:rsidR="0091054F" w14:paraId="48641AA7" w14:textId="77777777" w:rsidTr="00007D69">
        <w:trPr>
          <w:trHeight w:val="20"/>
        </w:trPr>
        <w:tc>
          <w:tcPr>
            <w:tcW w:w="1130" w:type="dxa"/>
            <w:tcBorders>
              <w:top w:val="single" w:sz="4" w:space="0" w:color="auto"/>
              <w:left w:val="single" w:sz="4" w:space="0" w:color="auto"/>
              <w:bottom w:val="single" w:sz="4" w:space="0" w:color="auto"/>
              <w:right w:val="single" w:sz="4" w:space="0" w:color="auto"/>
            </w:tcBorders>
            <w:hideMark/>
          </w:tcPr>
          <w:p w14:paraId="01F1D201" w14:textId="60C02CE1" w:rsidR="0091054F" w:rsidRDefault="0091054F" w:rsidP="0091054F">
            <w:pPr>
              <w:pStyle w:val="TAL"/>
              <w:rPr>
                <w:rFonts w:cs="Arial"/>
                <w:color w:val="000000"/>
                <w:szCs w:val="18"/>
                <w:lang w:eastAsia="zh-CN"/>
              </w:rPr>
            </w:pPr>
            <w:r>
              <w:rPr>
                <w:rFonts w:cs="Arial"/>
                <w:color w:val="000000"/>
                <w:szCs w:val="18"/>
                <w:lang w:eastAsia="zh-CN"/>
              </w:rPr>
              <w:t>39</w:t>
            </w:r>
          </w:p>
        </w:tc>
        <w:tc>
          <w:tcPr>
            <w:tcW w:w="710" w:type="dxa"/>
            <w:tcBorders>
              <w:top w:val="single" w:sz="4" w:space="0" w:color="auto"/>
              <w:left w:val="single" w:sz="4" w:space="0" w:color="auto"/>
              <w:bottom w:val="single" w:sz="4" w:space="0" w:color="auto"/>
              <w:right w:val="single" w:sz="4" w:space="0" w:color="auto"/>
            </w:tcBorders>
            <w:hideMark/>
          </w:tcPr>
          <w:p w14:paraId="35121381" w14:textId="14C640D5" w:rsidR="0091054F" w:rsidRDefault="0091054F" w:rsidP="0091054F">
            <w:pPr>
              <w:pStyle w:val="TAL"/>
              <w:rPr>
                <w:rFonts w:cs="Arial"/>
                <w:color w:val="000000"/>
                <w:szCs w:val="18"/>
              </w:rPr>
            </w:pPr>
            <w:r>
              <w:rPr>
                <w:rFonts w:cs="Arial"/>
                <w:color w:val="000000"/>
                <w:szCs w:val="18"/>
              </w:rPr>
              <w:t>39-2</w:t>
            </w:r>
          </w:p>
        </w:tc>
        <w:tc>
          <w:tcPr>
            <w:tcW w:w="1559" w:type="dxa"/>
            <w:tcBorders>
              <w:top w:val="single" w:sz="4" w:space="0" w:color="auto"/>
              <w:left w:val="single" w:sz="4" w:space="0" w:color="auto"/>
              <w:bottom w:val="single" w:sz="4" w:space="0" w:color="auto"/>
              <w:right w:val="single" w:sz="4" w:space="0" w:color="auto"/>
            </w:tcBorders>
            <w:hideMark/>
          </w:tcPr>
          <w:p w14:paraId="11831CFA" w14:textId="58886BE0" w:rsidR="0091054F" w:rsidRDefault="0091054F" w:rsidP="0091054F">
            <w:pPr>
              <w:pStyle w:val="TAL"/>
              <w:rPr>
                <w:rFonts w:eastAsia="SimSun" w:cs="Arial"/>
                <w:color w:val="000000"/>
                <w:szCs w:val="18"/>
                <w:lang w:eastAsia="zh-CN"/>
              </w:rPr>
            </w:pPr>
            <w:r>
              <w:rPr>
                <w:rFonts w:cs="Arial"/>
                <w:color w:val="000000"/>
                <w:szCs w:val="18"/>
              </w:rPr>
              <w:t>32 UL HARQ processes</w:t>
            </w:r>
          </w:p>
        </w:tc>
        <w:tc>
          <w:tcPr>
            <w:tcW w:w="6371" w:type="dxa"/>
            <w:tcBorders>
              <w:top w:val="single" w:sz="4" w:space="0" w:color="auto"/>
              <w:left w:val="single" w:sz="4" w:space="0" w:color="auto"/>
              <w:bottom w:val="single" w:sz="4" w:space="0" w:color="auto"/>
              <w:right w:val="single" w:sz="4" w:space="0" w:color="auto"/>
            </w:tcBorders>
            <w:hideMark/>
          </w:tcPr>
          <w:p w14:paraId="6DFB5685" w14:textId="0437F744" w:rsidR="0091054F" w:rsidRPr="009A6A06" w:rsidRDefault="009A6A06" w:rsidP="009A6A06">
            <w:pPr>
              <w:autoSpaceDE w:val="0"/>
              <w:autoSpaceDN w:val="0"/>
              <w:adjustRightInd w:val="0"/>
              <w:snapToGrid w:val="0"/>
              <w:rPr>
                <w:rFonts w:ascii="Arial" w:eastAsia="Times New Roman" w:hAnsi="Arial" w:cs="Arial"/>
                <w:color w:val="000000"/>
                <w:sz w:val="18"/>
                <w:szCs w:val="18"/>
                <w:lang w:eastAsia="en-US"/>
              </w:rPr>
            </w:pPr>
            <w:r w:rsidRPr="009A6A06">
              <w:rPr>
                <w:rFonts w:ascii="Arial" w:hAnsi="Arial" w:cs="Arial"/>
                <w:color w:val="000000"/>
                <w:sz w:val="18"/>
                <w:szCs w:val="18"/>
              </w:rPr>
              <w:t>HARQ process operation with configurable number of UL HARQ processes of up to 32</w:t>
            </w:r>
          </w:p>
        </w:tc>
        <w:tc>
          <w:tcPr>
            <w:tcW w:w="1277" w:type="dxa"/>
            <w:tcBorders>
              <w:top w:val="single" w:sz="4" w:space="0" w:color="auto"/>
              <w:left w:val="single" w:sz="4" w:space="0" w:color="auto"/>
              <w:bottom w:val="single" w:sz="4" w:space="0" w:color="auto"/>
              <w:right w:val="single" w:sz="4" w:space="0" w:color="auto"/>
            </w:tcBorders>
          </w:tcPr>
          <w:p w14:paraId="5E3312E4" w14:textId="77777777" w:rsidR="0091054F" w:rsidRDefault="0091054F" w:rsidP="0091054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6868A84A" w14:textId="77777777" w:rsidR="0091054F" w:rsidRDefault="0091054F" w:rsidP="0091054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20D1B91" w14:textId="77777777" w:rsidR="0091054F" w:rsidRDefault="0091054F" w:rsidP="0091054F">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E746BF" w14:textId="77777777" w:rsidR="0091054F" w:rsidRDefault="0091054F" w:rsidP="0091054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291C24A" w14:textId="23772D9C" w:rsidR="0091054F" w:rsidRDefault="0091054F" w:rsidP="0091054F">
            <w:pPr>
              <w:pStyle w:val="TAL"/>
              <w:rPr>
                <w:rFonts w:eastAsia="Times New Roman" w:cs="Arial"/>
                <w:color w:val="FF0000"/>
                <w:szCs w:val="18"/>
                <w:lang w:eastAsia="ja-JP"/>
              </w:rPr>
            </w:pPr>
            <w:r>
              <w:rPr>
                <w:rFonts w:cs="Arial"/>
                <w:color w:val="FF0000"/>
                <w:szCs w:val="18"/>
                <w:highlight w:val="yellow"/>
              </w:rPr>
              <w:t>[</w:t>
            </w:r>
            <w:r w:rsidRPr="00F545BD">
              <w:rPr>
                <w:rFonts w:cs="Arial"/>
                <w:color w:val="FF0000"/>
                <w:szCs w:val="18"/>
                <w:highlight w:val="yellow"/>
              </w:rPr>
              <w:t>per FSPC/per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7CD74D7F" w14:textId="77777777" w:rsidR="0091054F" w:rsidRDefault="0091054F" w:rsidP="0091054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6AC4FF50" w14:textId="77777777" w:rsidR="0091054F" w:rsidRDefault="0091054F" w:rsidP="0091054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22839BC5" w14:textId="77777777" w:rsidR="0091054F" w:rsidRDefault="0091054F" w:rsidP="0091054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2DFBAA36" w14:textId="1BB34398" w:rsidR="0091054F" w:rsidRDefault="0091054F" w:rsidP="0091054F">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BDA4B2" w14:textId="77777777" w:rsidR="0091054F" w:rsidRDefault="0091054F" w:rsidP="0091054F">
            <w:pPr>
              <w:pStyle w:val="TAL"/>
              <w:rPr>
                <w:rFonts w:cs="Arial"/>
                <w:color w:val="000000"/>
                <w:szCs w:val="18"/>
              </w:rPr>
            </w:pPr>
            <w:r>
              <w:rPr>
                <w:rFonts w:cs="Arial"/>
                <w:color w:val="000000"/>
                <w:szCs w:val="18"/>
              </w:rPr>
              <w:t>Optional with capability signalling</w:t>
            </w:r>
          </w:p>
        </w:tc>
      </w:tr>
    </w:tbl>
    <w:p w14:paraId="2546463F" w14:textId="77777777" w:rsidR="00F545BD" w:rsidRPr="00556D0E" w:rsidRDefault="00F545BD" w:rsidP="00556D0E">
      <w:pPr>
        <w:spacing w:after="120"/>
        <w:rPr>
          <w:b/>
          <w:sz w:val="22"/>
          <w:szCs w:val="22"/>
        </w:rPr>
      </w:pP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683FED72" w14:textId="114AE77E" w:rsidR="00367781" w:rsidRPr="00367781" w:rsidRDefault="00367781" w:rsidP="00367781">
      <w:pPr>
        <w:rPr>
          <w:sz w:val="22"/>
        </w:rPr>
      </w:pPr>
      <w:r w:rsidRPr="00367781">
        <w:rPr>
          <w:sz w:val="22"/>
        </w:rPr>
        <w:t>In this contribution, we discuss the</w:t>
      </w:r>
      <w:r w:rsidRPr="00367781">
        <w:rPr>
          <w:sz w:val="22"/>
          <w:lang w:eastAsia="x-none"/>
        </w:rPr>
        <w:t xml:space="preserve"> </w:t>
      </w:r>
      <w:r w:rsidR="00F545BD" w:rsidRPr="00F545BD">
        <w:rPr>
          <w:sz w:val="22"/>
          <w:lang w:eastAsia="x-none"/>
        </w:rPr>
        <w:t>support of UE feature(s) for 32 HAR</w:t>
      </w:r>
      <w:r w:rsidR="00F545BD">
        <w:rPr>
          <w:sz w:val="22"/>
          <w:lang w:eastAsia="x-none"/>
        </w:rPr>
        <w:t>Q processes in Rel-17</w:t>
      </w:r>
      <w:r>
        <w:rPr>
          <w:sz w:val="22"/>
          <w:lang w:eastAsia="x-none"/>
        </w:rPr>
        <w:t>.</w:t>
      </w:r>
      <w:r w:rsidRPr="00367781">
        <w:rPr>
          <w:sz w:val="22"/>
        </w:rPr>
        <w:t xml:space="preserve"> The following proposals are presented:</w:t>
      </w:r>
    </w:p>
    <w:p w14:paraId="086D5206" w14:textId="77777777" w:rsidR="004A0B8D" w:rsidRPr="00367781" w:rsidRDefault="004A0B8D" w:rsidP="00971247">
      <w:pPr>
        <w:spacing w:after="120"/>
        <w:jc w:val="both"/>
        <w:rPr>
          <w:rFonts w:eastAsiaTheme="minorEastAsia"/>
          <w:sz w:val="22"/>
          <w:szCs w:val="22"/>
          <w:lang w:val="en-US" w:eastAsia="zh-CN"/>
        </w:rPr>
      </w:pPr>
    </w:p>
    <w:p w14:paraId="456A3A63" w14:textId="34BEC2A9" w:rsidR="007C35DB" w:rsidRDefault="00700781" w:rsidP="007C35DB">
      <w:pPr>
        <w:spacing w:after="120"/>
        <w:jc w:val="both"/>
        <w:rPr>
          <w:rFonts w:cs="Arial"/>
          <w:i/>
          <w:sz w:val="22"/>
          <w:szCs w:val="22"/>
        </w:rPr>
      </w:pPr>
      <w:bookmarkStart w:id="1" w:name="_Hlk86417714"/>
      <w:bookmarkStart w:id="2" w:name="_Ref124589665"/>
      <w:bookmarkStart w:id="3" w:name="_Ref71620620"/>
      <w:bookmarkStart w:id="4" w:name="_Ref124671424"/>
      <w:r>
        <w:rPr>
          <w:rFonts w:eastAsia="Malgun Gothic"/>
          <w:b/>
          <w:i/>
          <w:sz w:val="22"/>
          <w:szCs w:val="22"/>
          <w:lang w:val="en-US" w:eastAsia="en-US"/>
        </w:rPr>
        <w:t>Proposal</w:t>
      </w:r>
      <w:r w:rsidR="007C35DB" w:rsidRPr="001A19EE">
        <w:rPr>
          <w:rFonts w:eastAsia="Malgun Gothic"/>
          <w:b/>
          <w:i/>
          <w:sz w:val="22"/>
          <w:szCs w:val="22"/>
          <w:lang w:val="en-US" w:eastAsia="en-US"/>
        </w:rPr>
        <w:t>:</w:t>
      </w:r>
      <w:r w:rsidR="007C35DB" w:rsidRPr="001A19EE">
        <w:rPr>
          <w:rFonts w:cs="Arial"/>
          <w:b/>
          <w:sz w:val="22"/>
          <w:szCs w:val="22"/>
        </w:rPr>
        <w:t xml:space="preserve"> </w:t>
      </w:r>
      <w:r w:rsidR="001A19EE" w:rsidRPr="001A19EE">
        <w:rPr>
          <w:rFonts w:cs="Arial"/>
          <w:i/>
          <w:sz w:val="22"/>
          <w:szCs w:val="22"/>
        </w:rPr>
        <w:t xml:space="preserve">Agree on the </w:t>
      </w:r>
      <w:r w:rsidR="009436AD">
        <w:rPr>
          <w:rFonts w:cs="Arial"/>
          <w:i/>
          <w:sz w:val="22"/>
          <w:szCs w:val="22"/>
        </w:rPr>
        <w:t>following FGs for the support of 32 HARQ processes in Rel-17</w:t>
      </w:r>
    </w:p>
    <w:p w14:paraId="236ADF74" w14:textId="77777777" w:rsidR="00F545BD" w:rsidRPr="001A19EE" w:rsidRDefault="00F545BD" w:rsidP="007C35DB">
      <w:pPr>
        <w:spacing w:after="120"/>
        <w:jc w:val="both"/>
        <w:rPr>
          <w:rFonts w:eastAsia="Malgun Gothic"/>
          <w:i/>
          <w:sz w:val="22"/>
          <w:szCs w:val="22"/>
          <w:lang w:val="en-US" w:eastAsia="en-US"/>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545BD" w14:paraId="5B1DF94C" w14:textId="77777777" w:rsidTr="009A6A06">
        <w:trPr>
          <w:trHeight w:val="20"/>
        </w:trPr>
        <w:tc>
          <w:tcPr>
            <w:tcW w:w="1130" w:type="dxa"/>
            <w:tcBorders>
              <w:top w:val="single" w:sz="4" w:space="0" w:color="auto"/>
              <w:left w:val="single" w:sz="4" w:space="0" w:color="auto"/>
              <w:bottom w:val="single" w:sz="4" w:space="0" w:color="auto"/>
              <w:right w:val="single" w:sz="4" w:space="0" w:color="auto"/>
            </w:tcBorders>
          </w:tcPr>
          <w:bookmarkEnd w:id="1"/>
          <w:p w14:paraId="763D20D4" w14:textId="7E0F454A" w:rsidR="00F545BD" w:rsidRDefault="0091054F" w:rsidP="00007D69">
            <w:pPr>
              <w:pStyle w:val="TAL"/>
              <w:rPr>
                <w:rFonts w:cs="Arial"/>
                <w:color w:val="000000"/>
                <w:szCs w:val="18"/>
                <w:lang w:eastAsia="zh-CN"/>
              </w:rPr>
            </w:pPr>
            <w:r>
              <w:rPr>
                <w:rFonts w:cs="Arial"/>
                <w:color w:val="000000"/>
                <w:szCs w:val="18"/>
                <w:lang w:eastAsia="zh-CN"/>
              </w:rPr>
              <w:t>39</w:t>
            </w:r>
          </w:p>
        </w:tc>
        <w:tc>
          <w:tcPr>
            <w:tcW w:w="710" w:type="dxa"/>
            <w:tcBorders>
              <w:top w:val="single" w:sz="4" w:space="0" w:color="auto"/>
              <w:left w:val="single" w:sz="4" w:space="0" w:color="auto"/>
              <w:bottom w:val="single" w:sz="4" w:space="0" w:color="auto"/>
              <w:right w:val="single" w:sz="4" w:space="0" w:color="auto"/>
            </w:tcBorders>
            <w:hideMark/>
          </w:tcPr>
          <w:p w14:paraId="22216525" w14:textId="755FC6FE" w:rsidR="00F545BD" w:rsidRDefault="0091054F" w:rsidP="00007D69">
            <w:pPr>
              <w:pStyle w:val="TAL"/>
              <w:rPr>
                <w:rFonts w:cs="Arial"/>
                <w:color w:val="000000"/>
                <w:szCs w:val="18"/>
              </w:rPr>
            </w:pPr>
            <w:r>
              <w:rPr>
                <w:rFonts w:cs="Arial"/>
                <w:color w:val="000000"/>
                <w:szCs w:val="18"/>
              </w:rPr>
              <w:t>39</w:t>
            </w:r>
            <w:r w:rsidR="00F545BD">
              <w:rPr>
                <w:rFonts w:cs="Arial"/>
                <w:color w:val="000000"/>
                <w:szCs w:val="18"/>
              </w:rPr>
              <w:t>-1</w:t>
            </w:r>
          </w:p>
        </w:tc>
        <w:tc>
          <w:tcPr>
            <w:tcW w:w="1559" w:type="dxa"/>
            <w:tcBorders>
              <w:top w:val="single" w:sz="4" w:space="0" w:color="auto"/>
              <w:left w:val="single" w:sz="4" w:space="0" w:color="auto"/>
              <w:bottom w:val="single" w:sz="4" w:space="0" w:color="auto"/>
              <w:right w:val="single" w:sz="4" w:space="0" w:color="auto"/>
            </w:tcBorders>
            <w:hideMark/>
          </w:tcPr>
          <w:p w14:paraId="7632074B" w14:textId="77777777" w:rsidR="00F545BD" w:rsidRDefault="00F545BD" w:rsidP="00007D69">
            <w:pPr>
              <w:pStyle w:val="TAL"/>
              <w:rPr>
                <w:rFonts w:eastAsia="SimSun" w:cs="Arial"/>
                <w:color w:val="000000"/>
                <w:szCs w:val="18"/>
                <w:lang w:eastAsia="zh-CN"/>
              </w:rPr>
            </w:pPr>
            <w:r>
              <w:rPr>
                <w:rFonts w:cs="Arial"/>
                <w:color w:val="000000"/>
                <w:szCs w:val="18"/>
              </w:rPr>
              <w:t>32 DL HARQ processes</w:t>
            </w:r>
          </w:p>
        </w:tc>
        <w:tc>
          <w:tcPr>
            <w:tcW w:w="6371" w:type="dxa"/>
            <w:tcBorders>
              <w:top w:val="single" w:sz="4" w:space="0" w:color="auto"/>
              <w:left w:val="single" w:sz="4" w:space="0" w:color="auto"/>
              <w:bottom w:val="single" w:sz="4" w:space="0" w:color="auto"/>
              <w:right w:val="single" w:sz="4" w:space="0" w:color="auto"/>
            </w:tcBorders>
          </w:tcPr>
          <w:p w14:paraId="784EB3B1" w14:textId="6B82EB1D" w:rsidR="00F545BD" w:rsidRPr="009A6A06" w:rsidRDefault="009A6A06" w:rsidP="00007D69">
            <w:pPr>
              <w:autoSpaceDE w:val="0"/>
              <w:autoSpaceDN w:val="0"/>
              <w:adjustRightInd w:val="0"/>
              <w:snapToGrid w:val="0"/>
              <w:rPr>
                <w:rFonts w:ascii="Arial" w:eastAsia="Times New Roman" w:hAnsi="Arial" w:cs="Arial"/>
                <w:color w:val="000000"/>
                <w:sz w:val="18"/>
                <w:szCs w:val="18"/>
                <w:lang w:eastAsia="en-US"/>
              </w:rPr>
            </w:pPr>
            <w:r w:rsidRPr="009A6A06">
              <w:rPr>
                <w:rFonts w:ascii="Arial" w:hAnsi="Arial" w:cs="Arial"/>
                <w:color w:val="000000"/>
                <w:sz w:val="18"/>
                <w:szCs w:val="18"/>
              </w:rPr>
              <w:t>HARQ process operation with configurable number of DL HARQ processes of up to 32</w:t>
            </w:r>
          </w:p>
        </w:tc>
        <w:tc>
          <w:tcPr>
            <w:tcW w:w="1277" w:type="dxa"/>
            <w:tcBorders>
              <w:top w:val="single" w:sz="4" w:space="0" w:color="auto"/>
              <w:left w:val="single" w:sz="4" w:space="0" w:color="auto"/>
              <w:bottom w:val="single" w:sz="4" w:space="0" w:color="auto"/>
              <w:right w:val="single" w:sz="4" w:space="0" w:color="auto"/>
            </w:tcBorders>
          </w:tcPr>
          <w:p w14:paraId="7E50796B" w14:textId="77777777" w:rsidR="00F545BD" w:rsidRDefault="00F545BD" w:rsidP="00007D69">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704F0244" w14:textId="77777777" w:rsidR="00F545BD" w:rsidRDefault="00F545BD" w:rsidP="00007D69">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216E969" w14:textId="77777777" w:rsidR="00F545BD" w:rsidRDefault="00F545BD" w:rsidP="00007D69">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051A9D" w14:textId="77777777" w:rsidR="00F545BD" w:rsidRDefault="00F545BD" w:rsidP="00007D69">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2DADF17" w14:textId="77777777" w:rsidR="00F545BD" w:rsidRDefault="00F545BD" w:rsidP="00007D69">
            <w:pPr>
              <w:pStyle w:val="TAL"/>
              <w:rPr>
                <w:rFonts w:eastAsia="Times New Roman" w:cs="Arial"/>
                <w:color w:val="FF0000"/>
                <w:szCs w:val="18"/>
                <w:lang w:eastAsia="ja-JP"/>
              </w:rPr>
            </w:pPr>
            <w:r>
              <w:rPr>
                <w:rFonts w:cs="Arial"/>
                <w:color w:val="FF0000"/>
                <w:szCs w:val="18"/>
                <w:highlight w:val="yellow"/>
              </w:rPr>
              <w:t>[</w:t>
            </w:r>
            <w:r w:rsidRPr="00F545BD">
              <w:rPr>
                <w:rFonts w:cs="Arial"/>
                <w:color w:val="FF0000"/>
                <w:szCs w:val="18"/>
                <w:highlight w:val="yellow"/>
              </w:rPr>
              <w:t>per FSPC/per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11AD37F8" w14:textId="77777777" w:rsidR="00F545BD" w:rsidRDefault="00F545BD" w:rsidP="00007D69">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3D48EAED" w14:textId="77777777" w:rsidR="00F545BD" w:rsidRDefault="00F545BD" w:rsidP="00007D69">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31696B07" w14:textId="77777777" w:rsidR="00F545BD" w:rsidRDefault="00F545BD" w:rsidP="00007D69">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343BB8B8" w14:textId="77777777" w:rsidR="00F545BD" w:rsidRDefault="00F545BD" w:rsidP="00007D69">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hideMark/>
          </w:tcPr>
          <w:p w14:paraId="722A4820" w14:textId="77777777" w:rsidR="00F545BD" w:rsidRDefault="00F545BD" w:rsidP="00007D69">
            <w:pPr>
              <w:pStyle w:val="TAL"/>
              <w:rPr>
                <w:rFonts w:cs="Arial"/>
                <w:color w:val="000000"/>
                <w:szCs w:val="18"/>
              </w:rPr>
            </w:pPr>
            <w:r>
              <w:rPr>
                <w:rFonts w:cs="Arial"/>
                <w:color w:val="000000"/>
                <w:szCs w:val="18"/>
              </w:rPr>
              <w:t>Optional with capability signalling</w:t>
            </w:r>
          </w:p>
        </w:tc>
      </w:tr>
      <w:tr w:rsidR="00F545BD" w14:paraId="2E62E7FF" w14:textId="77777777" w:rsidTr="009A6A06">
        <w:trPr>
          <w:trHeight w:val="20"/>
        </w:trPr>
        <w:tc>
          <w:tcPr>
            <w:tcW w:w="1130" w:type="dxa"/>
            <w:tcBorders>
              <w:top w:val="single" w:sz="4" w:space="0" w:color="auto"/>
              <w:left w:val="single" w:sz="4" w:space="0" w:color="auto"/>
              <w:bottom w:val="single" w:sz="4" w:space="0" w:color="auto"/>
              <w:right w:val="single" w:sz="4" w:space="0" w:color="auto"/>
            </w:tcBorders>
            <w:hideMark/>
          </w:tcPr>
          <w:p w14:paraId="27F1B440" w14:textId="74333FE8" w:rsidR="00F545BD" w:rsidRDefault="0091054F" w:rsidP="00007D69">
            <w:pPr>
              <w:pStyle w:val="TAL"/>
              <w:rPr>
                <w:rFonts w:cs="Arial"/>
                <w:color w:val="000000"/>
                <w:szCs w:val="18"/>
                <w:lang w:eastAsia="zh-CN"/>
              </w:rPr>
            </w:pPr>
            <w:r>
              <w:rPr>
                <w:rFonts w:cs="Arial"/>
                <w:color w:val="000000"/>
                <w:szCs w:val="18"/>
                <w:lang w:eastAsia="zh-CN"/>
              </w:rPr>
              <w:t>39</w:t>
            </w:r>
          </w:p>
        </w:tc>
        <w:tc>
          <w:tcPr>
            <w:tcW w:w="710" w:type="dxa"/>
            <w:tcBorders>
              <w:top w:val="single" w:sz="4" w:space="0" w:color="auto"/>
              <w:left w:val="single" w:sz="4" w:space="0" w:color="auto"/>
              <w:bottom w:val="single" w:sz="4" w:space="0" w:color="auto"/>
              <w:right w:val="single" w:sz="4" w:space="0" w:color="auto"/>
            </w:tcBorders>
            <w:hideMark/>
          </w:tcPr>
          <w:p w14:paraId="7E9CB458" w14:textId="0E0B46AA" w:rsidR="00F545BD" w:rsidRDefault="0091054F" w:rsidP="00007D69">
            <w:pPr>
              <w:pStyle w:val="TAL"/>
              <w:rPr>
                <w:rFonts w:cs="Arial"/>
                <w:color w:val="000000"/>
                <w:szCs w:val="18"/>
              </w:rPr>
            </w:pPr>
            <w:r>
              <w:rPr>
                <w:rFonts w:cs="Arial"/>
                <w:color w:val="000000"/>
                <w:szCs w:val="18"/>
              </w:rPr>
              <w:t>39</w:t>
            </w:r>
            <w:r w:rsidR="00F545BD">
              <w:rPr>
                <w:rFonts w:cs="Arial"/>
                <w:color w:val="000000"/>
                <w:szCs w:val="18"/>
              </w:rPr>
              <w:t>-2</w:t>
            </w:r>
          </w:p>
        </w:tc>
        <w:tc>
          <w:tcPr>
            <w:tcW w:w="1559" w:type="dxa"/>
            <w:tcBorders>
              <w:top w:val="single" w:sz="4" w:space="0" w:color="auto"/>
              <w:left w:val="single" w:sz="4" w:space="0" w:color="auto"/>
              <w:bottom w:val="single" w:sz="4" w:space="0" w:color="auto"/>
              <w:right w:val="single" w:sz="4" w:space="0" w:color="auto"/>
            </w:tcBorders>
            <w:hideMark/>
          </w:tcPr>
          <w:p w14:paraId="5CBF7D8B" w14:textId="77777777" w:rsidR="00F545BD" w:rsidRDefault="00F545BD" w:rsidP="00007D69">
            <w:pPr>
              <w:pStyle w:val="TAL"/>
              <w:rPr>
                <w:rFonts w:eastAsia="SimSun" w:cs="Arial"/>
                <w:color w:val="000000"/>
                <w:szCs w:val="18"/>
                <w:lang w:eastAsia="zh-CN"/>
              </w:rPr>
            </w:pPr>
            <w:r>
              <w:rPr>
                <w:rFonts w:cs="Arial"/>
                <w:color w:val="000000"/>
                <w:szCs w:val="18"/>
              </w:rPr>
              <w:t>32 UL HARQ processes</w:t>
            </w:r>
          </w:p>
        </w:tc>
        <w:tc>
          <w:tcPr>
            <w:tcW w:w="6371" w:type="dxa"/>
            <w:tcBorders>
              <w:top w:val="single" w:sz="4" w:space="0" w:color="auto"/>
              <w:left w:val="single" w:sz="4" w:space="0" w:color="auto"/>
              <w:bottom w:val="single" w:sz="4" w:space="0" w:color="auto"/>
              <w:right w:val="single" w:sz="4" w:space="0" w:color="auto"/>
            </w:tcBorders>
          </w:tcPr>
          <w:p w14:paraId="394014CA" w14:textId="66697ABC" w:rsidR="00F545BD" w:rsidRPr="009A6A06" w:rsidRDefault="009A6A06" w:rsidP="00007D69">
            <w:pPr>
              <w:autoSpaceDE w:val="0"/>
              <w:autoSpaceDN w:val="0"/>
              <w:adjustRightInd w:val="0"/>
              <w:snapToGrid w:val="0"/>
              <w:rPr>
                <w:rFonts w:ascii="Arial" w:eastAsia="Times New Roman" w:hAnsi="Arial" w:cs="Arial"/>
                <w:color w:val="000000"/>
                <w:sz w:val="18"/>
                <w:szCs w:val="18"/>
                <w:lang w:eastAsia="en-US"/>
              </w:rPr>
            </w:pPr>
            <w:r w:rsidRPr="009A6A06">
              <w:rPr>
                <w:rFonts w:ascii="Arial" w:hAnsi="Arial" w:cs="Arial"/>
                <w:color w:val="000000"/>
                <w:sz w:val="18"/>
                <w:szCs w:val="18"/>
              </w:rPr>
              <w:t>HARQ process operation with configurable number of UL HARQ processes of up to 32</w:t>
            </w:r>
          </w:p>
        </w:tc>
        <w:tc>
          <w:tcPr>
            <w:tcW w:w="1277" w:type="dxa"/>
            <w:tcBorders>
              <w:top w:val="single" w:sz="4" w:space="0" w:color="auto"/>
              <w:left w:val="single" w:sz="4" w:space="0" w:color="auto"/>
              <w:bottom w:val="single" w:sz="4" w:space="0" w:color="auto"/>
              <w:right w:val="single" w:sz="4" w:space="0" w:color="auto"/>
            </w:tcBorders>
          </w:tcPr>
          <w:p w14:paraId="6A6A544F" w14:textId="77777777" w:rsidR="00F545BD" w:rsidRDefault="00F545BD" w:rsidP="00007D69">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0C314D1E" w14:textId="77777777" w:rsidR="00F545BD" w:rsidRDefault="00F545BD" w:rsidP="00007D69">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A683962" w14:textId="77777777" w:rsidR="00F545BD" w:rsidRDefault="00F545BD" w:rsidP="00007D69">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6E5B5C" w14:textId="77777777" w:rsidR="00F545BD" w:rsidRDefault="00F545BD" w:rsidP="00007D69">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3B3D4CF" w14:textId="3D04B90B" w:rsidR="00F545BD" w:rsidRDefault="0091054F" w:rsidP="00007D69">
            <w:pPr>
              <w:pStyle w:val="TAL"/>
              <w:rPr>
                <w:rFonts w:eastAsia="Times New Roman" w:cs="Arial"/>
                <w:color w:val="FF0000"/>
                <w:szCs w:val="18"/>
                <w:lang w:eastAsia="ja-JP"/>
              </w:rPr>
            </w:pPr>
            <w:r>
              <w:rPr>
                <w:rFonts w:cs="Arial"/>
                <w:color w:val="FF0000"/>
                <w:szCs w:val="18"/>
                <w:highlight w:val="yellow"/>
              </w:rPr>
              <w:t>[</w:t>
            </w:r>
            <w:r w:rsidR="00F545BD" w:rsidRPr="00F545BD">
              <w:rPr>
                <w:rFonts w:cs="Arial"/>
                <w:color w:val="FF0000"/>
                <w:szCs w:val="18"/>
                <w:highlight w:val="yellow"/>
              </w:rPr>
              <w:t>per FSPC/per band</w:t>
            </w:r>
            <w:r w:rsidR="00F545BD">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24F7AA65" w14:textId="77777777" w:rsidR="00F545BD" w:rsidRDefault="00F545BD" w:rsidP="00007D69">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4C50AA13" w14:textId="77777777" w:rsidR="00F545BD" w:rsidRDefault="00F545BD" w:rsidP="00007D69">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4D997C62" w14:textId="77777777" w:rsidR="00F545BD" w:rsidRDefault="00F545BD" w:rsidP="00007D69">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1445A182" w14:textId="77777777" w:rsidR="00F545BD" w:rsidRDefault="00F545BD" w:rsidP="00007D69">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4E51ACE7" w14:textId="77777777" w:rsidR="00F545BD" w:rsidRDefault="00F545BD" w:rsidP="00007D69">
            <w:pPr>
              <w:pStyle w:val="TAL"/>
              <w:rPr>
                <w:rFonts w:cs="Arial"/>
                <w:color w:val="000000"/>
                <w:szCs w:val="18"/>
              </w:rPr>
            </w:pPr>
            <w:r>
              <w:rPr>
                <w:rFonts w:cs="Arial"/>
                <w:color w:val="000000"/>
                <w:szCs w:val="18"/>
              </w:rPr>
              <w:t>Optional with capability signalling</w:t>
            </w:r>
          </w:p>
        </w:tc>
      </w:tr>
    </w:tbl>
    <w:p w14:paraId="2821904C" w14:textId="2AA98236" w:rsidR="007C35DB" w:rsidRDefault="007C35DB" w:rsidP="007C35DB">
      <w:pPr>
        <w:spacing w:after="120"/>
        <w:jc w:val="both"/>
        <w:rPr>
          <w:rFonts w:eastAsia="Malgun Gothic"/>
          <w:b/>
          <w:i/>
          <w:sz w:val="22"/>
          <w:szCs w:val="22"/>
          <w:lang w:val="en-US" w:eastAsia="en-US"/>
        </w:rPr>
      </w:pPr>
    </w:p>
    <w:p w14:paraId="076CDBE9" w14:textId="77777777" w:rsidR="00F545BD" w:rsidRDefault="00F545BD" w:rsidP="007C35DB">
      <w:pPr>
        <w:spacing w:after="120"/>
        <w:jc w:val="both"/>
        <w:rPr>
          <w:rFonts w:eastAsia="Malgun Gothic"/>
          <w:b/>
          <w:i/>
          <w:sz w:val="22"/>
          <w:szCs w:val="22"/>
          <w:lang w:val="en-US" w:eastAsia="en-US"/>
        </w:rPr>
      </w:pPr>
    </w:p>
    <w:p w14:paraId="524EDE5A" w14:textId="77777777"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p w14:paraId="63D0764F" w14:textId="77777777" w:rsidR="00A0792E" w:rsidRPr="00F545BD" w:rsidRDefault="00A0792E" w:rsidP="00A0792E">
      <w:pPr>
        <w:pStyle w:val="ListParagraph"/>
        <w:numPr>
          <w:ilvl w:val="0"/>
          <w:numId w:val="12"/>
        </w:numPr>
        <w:spacing w:after="120"/>
        <w:ind w:leftChars="0"/>
        <w:jc w:val="both"/>
        <w:rPr>
          <w:rFonts w:eastAsia="Malgun Gothic"/>
          <w:lang w:eastAsia="ko-KR"/>
        </w:rPr>
      </w:pPr>
      <w:bookmarkStart w:id="5" w:name="_Ref92791690"/>
      <w:bookmarkEnd w:id="2"/>
      <w:bookmarkEnd w:id="3"/>
      <w:bookmarkEnd w:id="4"/>
      <w:r w:rsidRPr="00F545BD">
        <w:rPr>
          <w:rFonts w:eastAsia="SimSun"/>
          <w:sz w:val="22"/>
          <w:szCs w:val="22"/>
          <w:lang w:val="en-US" w:eastAsia="zh-CN"/>
        </w:rPr>
        <w:t>R1-2111809, “</w:t>
      </w:r>
      <w:r w:rsidRPr="00F545BD">
        <w:rPr>
          <w:rFonts w:eastAsia="Malgun Gothic"/>
          <w:lang w:eastAsia="ko-KR"/>
        </w:rPr>
        <w:t>Summary of UE features for NR NTN</w:t>
      </w:r>
      <w:r>
        <w:rPr>
          <w:rFonts w:eastAsia="Malgun Gothic"/>
          <w:lang w:eastAsia="ko-KR"/>
        </w:rPr>
        <w:t xml:space="preserve">”, </w:t>
      </w:r>
      <w:r w:rsidRPr="002578C0">
        <w:rPr>
          <w:rFonts w:eastAsia="Malgun Gothic"/>
          <w:lang w:eastAsia="ko-KR"/>
        </w:rPr>
        <w:t>Moderator (AT&amp;T)</w:t>
      </w:r>
      <w:bookmarkEnd w:id="5"/>
    </w:p>
    <w:p w14:paraId="38F814E7" w14:textId="05E3A678" w:rsidR="009D6DCC" w:rsidRPr="007A6514" w:rsidRDefault="00C430B7" w:rsidP="00DE26BB">
      <w:pPr>
        <w:pStyle w:val="ListParagraph"/>
        <w:numPr>
          <w:ilvl w:val="0"/>
          <w:numId w:val="12"/>
        </w:numPr>
        <w:spacing w:after="120"/>
        <w:ind w:leftChars="0"/>
        <w:jc w:val="both"/>
        <w:rPr>
          <w:rFonts w:eastAsia="Malgun Gothic"/>
          <w:lang w:eastAsia="ko-KR"/>
        </w:rPr>
      </w:pPr>
      <w:bookmarkStart w:id="6" w:name="_Ref92791696"/>
      <w:r w:rsidRPr="007A6514">
        <w:rPr>
          <w:rFonts w:eastAsia="SimSun"/>
          <w:sz w:val="22"/>
          <w:szCs w:val="22"/>
          <w:lang w:val="en-US" w:eastAsia="zh-CN"/>
        </w:rPr>
        <w:t>R1-21</w:t>
      </w:r>
      <w:r w:rsidR="00F545BD" w:rsidRPr="007A6514">
        <w:rPr>
          <w:rFonts w:eastAsia="SimSun"/>
          <w:sz w:val="22"/>
          <w:szCs w:val="22"/>
          <w:lang w:val="en-US" w:eastAsia="zh-CN"/>
        </w:rPr>
        <w:t>11808</w:t>
      </w:r>
      <w:r w:rsidRPr="007A6514">
        <w:rPr>
          <w:rFonts w:eastAsia="SimSun"/>
          <w:sz w:val="22"/>
          <w:szCs w:val="22"/>
          <w:lang w:val="en-US" w:eastAsia="zh-CN"/>
        </w:rPr>
        <w:t>, “</w:t>
      </w:r>
      <w:r w:rsidR="00F545BD" w:rsidRPr="007A6514">
        <w:rPr>
          <w:rFonts w:eastAsia="SimSun"/>
          <w:sz w:val="22"/>
          <w:szCs w:val="22"/>
          <w:lang w:val="en-US" w:eastAsia="zh-CN"/>
        </w:rPr>
        <w:t>Summary of UE features for supporting NR from 52.6 GHz to 71 GHz</w:t>
      </w:r>
      <w:r w:rsidRPr="007A6514">
        <w:rPr>
          <w:rFonts w:eastAsia="SimSun"/>
          <w:sz w:val="22"/>
          <w:szCs w:val="22"/>
          <w:lang w:val="en-US" w:eastAsia="zh-CN"/>
        </w:rPr>
        <w:t>”</w:t>
      </w:r>
      <w:r w:rsidR="002578C0" w:rsidRPr="007A6514">
        <w:rPr>
          <w:rFonts w:eastAsia="SimSun"/>
          <w:sz w:val="22"/>
          <w:szCs w:val="22"/>
          <w:lang w:val="en-US" w:eastAsia="zh-CN"/>
        </w:rPr>
        <w:t>, Moderator (AT&amp;T)</w:t>
      </w:r>
      <w:bookmarkEnd w:id="6"/>
    </w:p>
    <w:sectPr w:rsidR="009D6DCC" w:rsidRPr="007A6514" w:rsidSect="00F50DEC">
      <w:footerReference w:type="default" r:id="rId13"/>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51992" w14:textId="77777777" w:rsidR="00F92E2F" w:rsidRDefault="00F92E2F">
      <w:r>
        <w:separator/>
      </w:r>
    </w:p>
  </w:endnote>
  <w:endnote w:type="continuationSeparator" w:id="0">
    <w:p w14:paraId="74687F32" w14:textId="77777777" w:rsidR="00F92E2F" w:rsidRDefault="00F92E2F">
      <w:r>
        <w:continuationSeparator/>
      </w:r>
    </w:p>
  </w:endnote>
  <w:endnote w:type="continuationNotice" w:id="1">
    <w:p w14:paraId="4865CC73" w14:textId="77777777" w:rsidR="00F92E2F" w:rsidRDefault="00F92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701320" w:rsidRPr="00000924" w:rsidRDefault="007013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42365">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42365">
      <w:rPr>
        <w:rStyle w:val="PageNumber"/>
        <w:rFonts w:eastAsia="MS Gothic"/>
        <w:noProof/>
      </w:rPr>
      <w:t>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C5727" w14:textId="77777777" w:rsidR="00F92E2F" w:rsidRDefault="00F92E2F">
      <w:r>
        <w:separator/>
      </w:r>
    </w:p>
  </w:footnote>
  <w:footnote w:type="continuationSeparator" w:id="0">
    <w:p w14:paraId="3789D85D" w14:textId="77777777" w:rsidR="00F92E2F" w:rsidRDefault="00F92E2F">
      <w:r>
        <w:continuationSeparator/>
      </w:r>
    </w:p>
  </w:footnote>
  <w:footnote w:type="continuationNotice" w:id="1">
    <w:p w14:paraId="73F5997A" w14:textId="77777777" w:rsidR="00F92E2F" w:rsidRDefault="00F92E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B24EAE"/>
    <w:multiLevelType w:val="hybridMultilevel"/>
    <w:tmpl w:val="8F287D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723F1"/>
    <w:multiLevelType w:val="hybridMultilevel"/>
    <w:tmpl w:val="9406116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0E546AB"/>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E92410"/>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C256200"/>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0341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ED0A56"/>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FB2374"/>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84E46AF"/>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3B211520"/>
    <w:multiLevelType w:val="hybridMultilevel"/>
    <w:tmpl w:val="425AD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4459E"/>
    <w:multiLevelType w:val="hybridMultilevel"/>
    <w:tmpl w:val="130402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AF292E"/>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44343B7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47072C41"/>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4CF35AB3"/>
    <w:multiLevelType w:val="hybridMultilevel"/>
    <w:tmpl w:val="85E04E78"/>
    <w:lvl w:ilvl="0" w:tplc="616AB03C">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C5925"/>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581B517A"/>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556AD"/>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BA6316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5BE51748"/>
    <w:multiLevelType w:val="hybridMultilevel"/>
    <w:tmpl w:val="A73E7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A7421A"/>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A02B3"/>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3644E7E"/>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49328EE"/>
    <w:multiLevelType w:val="multilevel"/>
    <w:tmpl w:val="649328EE"/>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B6F61F5"/>
    <w:multiLevelType w:val="hybridMultilevel"/>
    <w:tmpl w:val="817E2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1D3B91"/>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E0EBF"/>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7B554CF3"/>
    <w:multiLevelType w:val="hybridMultilevel"/>
    <w:tmpl w:val="777A0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A81F22"/>
    <w:multiLevelType w:val="hybridMultilevel"/>
    <w:tmpl w:val="D9A8AD3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F70DB9"/>
    <w:multiLevelType w:val="hybridMultilevel"/>
    <w:tmpl w:val="9406116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37"/>
  </w:num>
  <w:num w:numId="2">
    <w:abstractNumId w:val="13"/>
  </w:num>
  <w:num w:numId="3">
    <w:abstractNumId w:val="43"/>
  </w:num>
  <w:num w:numId="4">
    <w:abstractNumId w:val="4"/>
  </w:num>
  <w:num w:numId="5">
    <w:abstractNumId w:val="10"/>
  </w:num>
  <w:num w:numId="6">
    <w:abstractNumId w:val="16"/>
  </w:num>
  <w:num w:numId="7">
    <w:abstractNumId w:val="33"/>
  </w:num>
  <w:num w:numId="8">
    <w:abstractNumId w:val="21"/>
  </w:num>
  <w:num w:numId="9">
    <w:abstractNumId w:val="20"/>
  </w:num>
  <w:num w:numId="10">
    <w:abstractNumId w:val="11"/>
  </w:num>
  <w:num w:numId="11">
    <w:abstractNumId w:val="17"/>
  </w:num>
  <w:num w:numId="12">
    <w:abstractNumId w:val="7"/>
  </w:num>
  <w:num w:numId="13">
    <w:abstractNumId w:val="2"/>
  </w:num>
  <w:num w:numId="14">
    <w:abstractNumId w:val="42"/>
  </w:num>
  <w:num w:numId="15">
    <w:abstractNumId w:val="0"/>
  </w:num>
  <w:num w:numId="16">
    <w:abstractNumId w:val="28"/>
  </w:num>
  <w:num w:numId="17">
    <w:abstractNumId w:val="40"/>
  </w:num>
  <w:num w:numId="18">
    <w:abstractNumId w:val="39"/>
  </w:num>
  <w:num w:numId="19">
    <w:abstractNumId w:val="31"/>
  </w:num>
  <w:num w:numId="20">
    <w:abstractNumId w:val="9"/>
  </w:num>
  <w:num w:numId="21">
    <w:abstractNumId w:val="23"/>
  </w:num>
  <w:num w:numId="22">
    <w:abstractNumId w:val="15"/>
  </w:num>
  <w:num w:numId="23">
    <w:abstractNumId w:val="29"/>
  </w:num>
  <w:num w:numId="24">
    <w:abstractNumId w:val="25"/>
  </w:num>
  <w:num w:numId="25">
    <w:abstractNumId w:val="26"/>
  </w:num>
  <w:num w:numId="26">
    <w:abstractNumId w:val="12"/>
  </w:num>
  <w:num w:numId="27">
    <w:abstractNumId w:val="24"/>
  </w:num>
  <w:num w:numId="28">
    <w:abstractNumId w:val="32"/>
  </w:num>
  <w:num w:numId="29">
    <w:abstractNumId w:val="44"/>
  </w:num>
  <w:num w:numId="30">
    <w:abstractNumId w:val="30"/>
  </w:num>
  <w:num w:numId="31">
    <w:abstractNumId w:val="38"/>
  </w:num>
  <w:num w:numId="32">
    <w:abstractNumId w:val="6"/>
  </w:num>
  <w:num w:numId="33">
    <w:abstractNumId w:val="19"/>
  </w:num>
  <w:num w:numId="34">
    <w:abstractNumId w:val="35"/>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14"/>
  </w:num>
  <w:num w:numId="38">
    <w:abstractNumId w:val="22"/>
  </w:num>
  <w:num w:numId="39">
    <w:abstractNumId w:val="3"/>
  </w:num>
  <w:num w:numId="40">
    <w:abstractNumId w:val="27"/>
  </w:num>
  <w:num w:numId="41">
    <w:abstractNumId w:val="36"/>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
  </w:num>
  <w:num w:numId="45">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573A"/>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1DB"/>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BB4"/>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C8"/>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4E02"/>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7EF"/>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CFD"/>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CE8"/>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8C0"/>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3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3DB"/>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0F"/>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6B3"/>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2D76"/>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9D3"/>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5EAC"/>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28A"/>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4F8"/>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E9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4A"/>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C7F20"/>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673D"/>
    <w:rsid w:val="006E73CF"/>
    <w:rsid w:val="006E75B7"/>
    <w:rsid w:val="006E79ED"/>
    <w:rsid w:val="006E7AA3"/>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70D3"/>
    <w:rsid w:val="006F71FF"/>
    <w:rsid w:val="006F7802"/>
    <w:rsid w:val="006F7AA8"/>
    <w:rsid w:val="007001A8"/>
    <w:rsid w:val="007002FD"/>
    <w:rsid w:val="007003EA"/>
    <w:rsid w:val="00700404"/>
    <w:rsid w:val="00700781"/>
    <w:rsid w:val="00700B12"/>
    <w:rsid w:val="00700CBF"/>
    <w:rsid w:val="007010E8"/>
    <w:rsid w:val="00701320"/>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1D"/>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5D82"/>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14"/>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13E"/>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54"/>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6E"/>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F82"/>
    <w:rsid w:val="00907FA6"/>
    <w:rsid w:val="00910494"/>
    <w:rsid w:val="0091054F"/>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6AD"/>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D9D"/>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DEA"/>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06"/>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E75"/>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6DCC"/>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C6"/>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57D"/>
    <w:rsid w:val="00A0414F"/>
    <w:rsid w:val="00A04926"/>
    <w:rsid w:val="00A05087"/>
    <w:rsid w:val="00A05237"/>
    <w:rsid w:val="00A0550C"/>
    <w:rsid w:val="00A05578"/>
    <w:rsid w:val="00A056C1"/>
    <w:rsid w:val="00A065B4"/>
    <w:rsid w:val="00A065C5"/>
    <w:rsid w:val="00A06746"/>
    <w:rsid w:val="00A06AC6"/>
    <w:rsid w:val="00A06C55"/>
    <w:rsid w:val="00A06C77"/>
    <w:rsid w:val="00A06D7E"/>
    <w:rsid w:val="00A06E60"/>
    <w:rsid w:val="00A06FE9"/>
    <w:rsid w:val="00A070DD"/>
    <w:rsid w:val="00A073FE"/>
    <w:rsid w:val="00A07515"/>
    <w:rsid w:val="00A0792E"/>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710"/>
    <w:rsid w:val="00A16A01"/>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65"/>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1F75"/>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4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170"/>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9F"/>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B01"/>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14"/>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27"/>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FFE"/>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78D"/>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48"/>
    <w:rsid w:val="00CA5E2B"/>
    <w:rsid w:val="00CA5FD1"/>
    <w:rsid w:val="00CA6A9B"/>
    <w:rsid w:val="00CA6B62"/>
    <w:rsid w:val="00CA6B7B"/>
    <w:rsid w:val="00CA6CC7"/>
    <w:rsid w:val="00CA6D2A"/>
    <w:rsid w:val="00CA7673"/>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0E9"/>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BD"/>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8B9"/>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D8D"/>
    <w:rsid w:val="00DE6E28"/>
    <w:rsid w:val="00DE6FC7"/>
    <w:rsid w:val="00DE715E"/>
    <w:rsid w:val="00DE7711"/>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33"/>
    <w:rsid w:val="00EC7FEE"/>
    <w:rsid w:val="00ED04D1"/>
    <w:rsid w:val="00ED0659"/>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AAA"/>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5BD"/>
    <w:rsid w:val="00F54B13"/>
    <w:rsid w:val="00F5503F"/>
    <w:rsid w:val="00F551AF"/>
    <w:rsid w:val="00F551D8"/>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2F"/>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43A"/>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5D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3">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1"/>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564">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945823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60454">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94949">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8988061">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1532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538149">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7DB9A18-B397-433A-B781-1A20F86C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878</Words>
  <Characters>5010</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2</cp:revision>
  <cp:lastPrinted>2017-08-09T04:40:00Z</cp:lastPrinted>
  <dcterms:created xsi:type="dcterms:W3CDTF">2022-02-14T17:38:00Z</dcterms:created>
  <dcterms:modified xsi:type="dcterms:W3CDTF">2022-02-14T17:38:00Z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(3)2FyJWUI8gY4zTuqsP8myW/70WIBOyyLhbc8K9Qft4n1Ox/nfn8Hg3mbu2/1Y2aEU9O+OsQ2M
XB1cgT7lgWwl3A/5FwMihAfhT6mjPD7glwZZC81Af3EKxdkGTuROKyWQDkVjGRAVVoUMZHuK
JE/7xkgfG7HGeiLjgzE5XHMnr9b/c5UAHqCZcL+ioOINCCoSA1a13iXNE+1qZUJJ8vV76soi
fs3JzRv7ytZTpRl1+W</vt:lpwstr>
  </property>
  <property fmtid="{D5CDD505-2E9C-101B-9397-08002B2CF9AE}" pid="3" name="_2015_ms_pID_7253431">
    <vt:lpwstr>2G9Q5HEmWMWyJ/mHVpzbYIZghHOXm8QilyGvl5bGfBM7iM5wLbuVA/
bDEOJWarQe3MeGuZ9deIadN8l66GfcX4+zm5tMZ2ffpDtI7n5Ms5njiBcGki/nYjvqMwIJPS
QvWwPj5R3loJ1fXbpq6dXR3EOtmvQ0HaxLnagB+aMvMIID/OXENQpCnZOgmv0xuPXGbDsAmy
I009uK2upyCQbHR+DgKjAmeJQW9NwuNPEdUi</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Og==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1644804403</vt:lpwstr>
  </property>
</Properties>
</file>