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91359" w14:textId="7DF91C3B" w:rsidR="00D1386D" w:rsidRPr="0052548E" w:rsidRDefault="00D1386D" w:rsidP="00D1386D">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C5619B">
        <w:rPr>
          <w:rFonts w:ascii="Arial" w:hAnsi="Arial" w:cs="Arial"/>
          <w:b/>
          <w:bCs/>
          <w:sz w:val="28"/>
        </w:rPr>
        <w:t>8</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786436">
        <w:rPr>
          <w:rFonts w:ascii="Arial" w:hAnsi="Arial" w:cs="Arial"/>
          <w:b/>
          <w:bCs/>
          <w:sz w:val="28"/>
        </w:rPr>
        <w:t>R1-220</w:t>
      </w:r>
      <w:r w:rsidR="008216F5">
        <w:rPr>
          <w:rFonts w:ascii="Arial" w:hAnsi="Arial" w:cs="Arial"/>
          <w:b/>
          <w:bCs/>
          <w:sz w:val="28"/>
        </w:rPr>
        <w:t>1719</w:t>
      </w:r>
    </w:p>
    <w:p w14:paraId="6FD03F53" w14:textId="77777777" w:rsidR="00F640D1" w:rsidRPr="009513AC" w:rsidRDefault="00F640D1" w:rsidP="00F640D1">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February 21</w:t>
      </w:r>
      <w:r w:rsidRPr="006E6CE4">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1273DC">
        <w:rPr>
          <w:rFonts w:ascii="Arial" w:eastAsia="MS Mincho" w:hAnsi="Arial" w:cs="Arial"/>
          <w:b/>
          <w:bCs/>
          <w:sz w:val="28"/>
          <w:vertAlign w:val="superscript"/>
          <w:lang w:eastAsia="ja-JP"/>
        </w:rPr>
        <w:t>rd</w:t>
      </w:r>
      <w:r w:rsidRPr="00B502E8">
        <w:rPr>
          <w:rFonts w:ascii="Arial" w:eastAsia="MS Mincho" w:hAnsi="Arial" w:cs="Arial"/>
          <w:b/>
          <w:bCs/>
          <w:sz w:val="28"/>
          <w:lang w:eastAsia="ja-JP"/>
        </w:rPr>
        <w:t>, 202</w:t>
      </w:r>
      <w:r>
        <w:rPr>
          <w:rFonts w:ascii="Arial" w:eastAsia="MS Mincho" w:hAnsi="Arial" w:cs="Arial"/>
          <w:b/>
          <w:bCs/>
          <w:sz w:val="28"/>
          <w:lang w:eastAsia="ja-JP"/>
        </w:rPr>
        <w:t>2</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3ABBA0E9"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F225F">
        <w:rPr>
          <w:rFonts w:ascii="Arial" w:eastAsia="Malgun Gothic" w:hAnsi="Arial" w:cs="Arial"/>
          <w:b/>
          <w:sz w:val="24"/>
          <w:lang w:val="en-US" w:eastAsia="ko-KR"/>
        </w:rPr>
        <w:t>Broadcast for</w:t>
      </w:r>
      <w:r>
        <w:rPr>
          <w:rFonts w:ascii="Arial" w:eastAsia="Malgun Gothic" w:hAnsi="Arial" w:cs="Arial"/>
          <w:b/>
          <w:sz w:val="24"/>
          <w:lang w:val="en-US" w:eastAsia="ko-KR"/>
        </w:rPr>
        <w:t xml:space="preserve"> RRC_IDLE</w:t>
      </w:r>
      <w:r w:rsidR="003F225F">
        <w:rPr>
          <w:rFonts w:ascii="Arial" w:eastAsia="Malgun Gothic" w:hAnsi="Arial" w:cs="Arial"/>
          <w:b/>
          <w:sz w:val="24"/>
          <w:lang w:val="en-US" w:eastAsia="ko-KR"/>
        </w:rPr>
        <w:t>/</w:t>
      </w:r>
      <w:r>
        <w:rPr>
          <w:rFonts w:ascii="Arial" w:eastAsia="Malgun Gothic" w:hAnsi="Arial" w:cs="Arial"/>
          <w:b/>
          <w:sz w:val="24"/>
          <w:lang w:val="en-US" w:eastAsia="ko-KR"/>
        </w:rPr>
        <w:t>INACTIVE UEs</w:t>
      </w:r>
    </w:p>
    <w:p w14:paraId="758C91BD" w14:textId="5467D706"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8.12.3</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10515667" w14:textId="202E8E1B" w:rsidR="00380677" w:rsidRPr="00DA5B2F" w:rsidRDefault="00C53772" w:rsidP="00783CC4">
      <w:pPr>
        <w:spacing w:before="240"/>
        <w:rPr>
          <w:lang w:val="en-US"/>
        </w:rPr>
      </w:pPr>
      <w:r w:rsidRPr="00DA5B2F">
        <w:rPr>
          <w:lang w:val="en-US"/>
        </w:rPr>
        <w:t xml:space="preserve">In this paper, </w:t>
      </w:r>
      <w:r w:rsidR="003F225F">
        <w:rPr>
          <w:lang w:val="en-US"/>
        </w:rPr>
        <w:t xml:space="preserve">remaining issues and maintenance for </w:t>
      </w:r>
      <w:r w:rsidR="005128BE" w:rsidRPr="00DA5B2F">
        <w:rPr>
          <w:lang w:val="en-US"/>
        </w:rPr>
        <w:t>support of</w:t>
      </w:r>
      <w:r w:rsidRPr="00DA5B2F">
        <w:rPr>
          <w:lang w:val="en-US"/>
        </w:rPr>
        <w:t xml:space="preserve"> NR multicast and broadcast services (MBS) for RRC_</w:t>
      </w:r>
      <w:r w:rsidR="005128BE" w:rsidRPr="00DA5B2F">
        <w:rPr>
          <w:lang w:val="en-US"/>
        </w:rPr>
        <w:t>IDLE/INACTIVE</w:t>
      </w:r>
      <w:r w:rsidRPr="00DA5B2F">
        <w:rPr>
          <w:lang w:val="en-US"/>
        </w:rPr>
        <w:t xml:space="preserve"> UEs </w:t>
      </w:r>
      <w:r w:rsidR="00877863">
        <w:rPr>
          <w:lang w:val="en-US"/>
        </w:rPr>
        <w:t>is</w:t>
      </w:r>
      <w:r w:rsidRPr="00DA5B2F">
        <w:rPr>
          <w:lang w:val="en-US"/>
        </w:rPr>
        <w:t xml:space="preserve"> discussed.</w:t>
      </w:r>
      <w:r w:rsidR="00877863">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38540814" w14:textId="6FBD4A6C" w:rsidR="00BE2B35" w:rsidRPr="00AC3AD0" w:rsidRDefault="00380677" w:rsidP="00AC3AD0">
      <w:pPr>
        <w:rPr>
          <w:lang w:val="en-US"/>
        </w:rPr>
      </w:pPr>
      <w:r w:rsidRPr="00DA5B2F">
        <w:rPr>
          <w:lang w:val="en-US"/>
        </w:rPr>
        <w:t xml:space="preserve">In this section we provide initial details on design considerations for NR MBS </w:t>
      </w:r>
      <w:r w:rsidR="006548F7" w:rsidRPr="00DA5B2F">
        <w:rPr>
          <w:lang w:val="en-US"/>
        </w:rPr>
        <w:t>for</w:t>
      </w:r>
      <w:r w:rsidR="00416B4C" w:rsidRPr="00DA5B2F">
        <w:rPr>
          <w:lang w:val="en-US"/>
        </w:rPr>
        <w:t xml:space="preserve"> RRC_IDLE</w:t>
      </w:r>
      <w:r w:rsidR="00E3353D" w:rsidRPr="00DA5B2F">
        <w:rPr>
          <w:lang w:val="en-US"/>
        </w:rPr>
        <w:t xml:space="preserve"> or RRC_</w:t>
      </w:r>
      <w:r w:rsidR="00416B4C" w:rsidRPr="00DA5B2F">
        <w:rPr>
          <w:lang w:val="en-US"/>
        </w:rPr>
        <w:t>INACTIVE</w:t>
      </w:r>
      <w:r w:rsidR="00AC3AD0">
        <w:rPr>
          <w:lang w:val="en-US"/>
        </w:rPr>
        <w:t xml:space="preserve"> </w:t>
      </w:r>
      <w:r w:rsidR="001412FE">
        <w:rPr>
          <w:lang w:val="en-US"/>
        </w:rPr>
        <w:t>mode UEs</w:t>
      </w:r>
      <w:r w:rsidR="00E3353D" w:rsidRPr="00DA5B2F">
        <w:rPr>
          <w:lang w:val="en-US"/>
        </w:rPr>
        <w:t>.</w:t>
      </w:r>
      <w:r w:rsidR="001412FE">
        <w:rPr>
          <w:lang w:val="en-US"/>
        </w:rPr>
        <w:t xml:space="preserve"> RAN2 has already agreed that low QoS Delivery mode 2 (broadcast)</w:t>
      </w:r>
      <w:r w:rsidR="006548F7" w:rsidRPr="00DA5B2F">
        <w:rPr>
          <w:lang w:val="en-US"/>
        </w:rPr>
        <w:t xml:space="preserve"> </w:t>
      </w:r>
      <w:r w:rsidR="00BB362B">
        <w:rPr>
          <w:lang w:val="en-US"/>
        </w:rPr>
        <w:t xml:space="preserve">is </w:t>
      </w:r>
      <w:r w:rsidR="001412FE">
        <w:rPr>
          <w:lang w:val="en-US"/>
        </w:rPr>
        <w:t>supported for RRC_IDLE/INACTIVE UEs and multicast is currently deprioritized.</w:t>
      </w:r>
      <w:r w:rsidR="002C64A8">
        <w:rPr>
          <w:lang w:val="en-US"/>
        </w:rPr>
        <w:t xml:space="preserve"> Some remaining details for broadcast operation include finalizing CFR configuration, MCCH change</w:t>
      </w:r>
      <w:r w:rsidR="00475DF3">
        <w:rPr>
          <w:lang w:val="en-US"/>
        </w:rPr>
        <w:t xml:space="preserve"> notification etc</w:t>
      </w:r>
      <w:r w:rsidR="00F60CFC">
        <w:rPr>
          <w:lang w:val="en-US"/>
        </w:rPr>
        <w:t>.</w:t>
      </w:r>
      <w:r w:rsidR="00475DF3">
        <w:rPr>
          <w:lang w:val="en-US"/>
        </w:rPr>
        <w:t xml:space="preserve"> In the following sections we provide our views on some open topics to finalize the </w:t>
      </w:r>
      <w:r w:rsidR="00F91D85">
        <w:rPr>
          <w:lang w:val="en-US"/>
        </w:rPr>
        <w:t>broadcast service design from a RAN1 perspective</w:t>
      </w:r>
      <w:r w:rsidR="00F60CFC">
        <w:rPr>
          <w:lang w:val="en-US"/>
        </w:rPr>
        <w:t xml:space="preserve"> </w:t>
      </w:r>
    </w:p>
    <w:p w14:paraId="155EE286" w14:textId="1C0150F3"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bookmarkStart w:id="0" w:name="_Hlk79172105"/>
      <w:r w:rsidR="00475A3D">
        <w:rPr>
          <w:sz w:val="28"/>
          <w:szCs w:val="18"/>
          <w:lang w:val="en-US"/>
        </w:rPr>
        <w:t>Group Scheduling</w:t>
      </w:r>
      <w:bookmarkEnd w:id="0"/>
    </w:p>
    <w:p w14:paraId="798B2F19" w14:textId="1E8184C7" w:rsidR="00035651" w:rsidRPr="00035651" w:rsidRDefault="00035651" w:rsidP="00035651">
      <w:pPr>
        <w:pStyle w:val="Heading3"/>
        <w:rPr>
          <w:rFonts w:ascii="Arial" w:eastAsia="SimSun" w:hAnsi="Arial" w:cs="Times New Roman"/>
          <w:color w:val="auto"/>
          <w:szCs w:val="16"/>
          <w:lang w:val="en-US"/>
        </w:rPr>
      </w:pPr>
      <w:r w:rsidRPr="00035651">
        <w:rPr>
          <w:rFonts w:ascii="Arial" w:eastAsia="SimSun" w:hAnsi="Arial" w:cs="Times New Roman"/>
          <w:color w:val="auto"/>
          <w:szCs w:val="16"/>
          <w:lang w:val="en-US"/>
        </w:rPr>
        <w:t>2.1.1</w:t>
      </w:r>
      <w:r w:rsidR="00C72A9F">
        <w:rPr>
          <w:rFonts w:ascii="Arial" w:eastAsia="SimSun" w:hAnsi="Arial" w:cs="Times New Roman"/>
          <w:color w:val="auto"/>
          <w:szCs w:val="16"/>
          <w:lang w:val="en-US"/>
        </w:rPr>
        <w:t>. CFR Configuration</w:t>
      </w:r>
      <w:r w:rsidR="009B07C2">
        <w:rPr>
          <w:rFonts w:ascii="Arial" w:eastAsia="SimSun" w:hAnsi="Arial" w:cs="Times New Roman"/>
          <w:color w:val="auto"/>
          <w:szCs w:val="16"/>
          <w:lang w:val="en-US"/>
        </w:rPr>
        <w:t xml:space="preserve"> </w:t>
      </w:r>
      <w:r w:rsidR="009B07C2">
        <w:rPr>
          <w:rFonts w:ascii="Arial" w:hAnsi="Arial" w:cs="Arial"/>
          <w:color w:val="auto"/>
          <w:lang w:val="en-US"/>
        </w:rPr>
        <w:t>MCCH/MTCH</w:t>
      </w:r>
    </w:p>
    <w:p w14:paraId="610613E0" w14:textId="04948173" w:rsidR="00DA5B2F" w:rsidRDefault="00DA5B2F" w:rsidP="00C72A9F">
      <w:pPr>
        <w:spacing w:before="240"/>
        <w:rPr>
          <w:lang w:val="en-US"/>
        </w:rPr>
      </w:pPr>
      <w:r>
        <w:rPr>
          <w:lang w:val="en-US"/>
        </w:rPr>
        <w:t xml:space="preserve">The following </w:t>
      </w:r>
      <w:r w:rsidR="00D97E6C">
        <w:rPr>
          <w:lang w:val="en-US"/>
        </w:rPr>
        <w:t xml:space="preserve">agreements were reached in </w:t>
      </w:r>
      <w:r w:rsidR="002C64A8">
        <w:rPr>
          <w:lang w:val="en-US"/>
        </w:rPr>
        <w:t>recent RAN1</w:t>
      </w:r>
      <w:r w:rsidR="00A22252">
        <w:rPr>
          <w:lang w:val="en-US"/>
        </w:rPr>
        <w:t xml:space="preserve"> </w:t>
      </w:r>
      <w:r w:rsidR="00D97E6C">
        <w:rPr>
          <w:lang w:val="en-US"/>
        </w:rPr>
        <w:t>meeting</w:t>
      </w:r>
      <w:r w:rsidR="002C64A8">
        <w:rPr>
          <w:lang w:val="en-US"/>
        </w:rPr>
        <w:t>s</w:t>
      </w:r>
      <w:r w:rsidR="00D97E6C">
        <w:rPr>
          <w:lang w:val="en-US"/>
        </w:rPr>
        <w:t xml:space="preserve"> for </w:t>
      </w:r>
      <w:r w:rsidR="0048555E">
        <w:rPr>
          <w:lang w:val="en-US"/>
        </w:rPr>
        <w:t>CFR configuration</w:t>
      </w:r>
      <w:r w:rsidR="00D97E6C">
        <w:rPr>
          <w:lang w:val="en-US"/>
        </w:rPr>
        <w:t xml:space="preserve"> of RRC_IDLE/INACTIVE UEs:</w:t>
      </w:r>
    </w:p>
    <w:tbl>
      <w:tblPr>
        <w:tblStyle w:val="TableGrid"/>
        <w:tblW w:w="0" w:type="auto"/>
        <w:tblLook w:val="04A0" w:firstRow="1" w:lastRow="0" w:firstColumn="1" w:lastColumn="0" w:noHBand="0" w:noVBand="1"/>
      </w:tblPr>
      <w:tblGrid>
        <w:gridCol w:w="10160"/>
      </w:tblGrid>
      <w:tr w:rsidR="00D97E6C" w:rsidRPr="00F63E93" w14:paraId="357DD169" w14:textId="77777777" w:rsidTr="00D97E6C">
        <w:tc>
          <w:tcPr>
            <w:tcW w:w="10160" w:type="dxa"/>
          </w:tcPr>
          <w:p w14:paraId="4F190585" w14:textId="77777777" w:rsidR="00631007" w:rsidRPr="0089435D" w:rsidRDefault="00631007" w:rsidP="00631007">
            <w:pPr>
              <w:spacing w:before="0" w:after="0"/>
              <w:rPr>
                <w:rFonts w:ascii="Times" w:eastAsia="Batang" w:hAnsi="Times" w:cs="Times"/>
                <w:sz w:val="22"/>
                <w:lang w:eastAsia="x-none"/>
              </w:rPr>
            </w:pPr>
            <w:r w:rsidRPr="0089435D">
              <w:rPr>
                <w:rFonts w:ascii="Times" w:eastAsia="Batang" w:hAnsi="Times" w:cs="Times"/>
                <w:sz w:val="22"/>
                <w:highlight w:val="green"/>
                <w:lang w:eastAsia="x-none"/>
              </w:rPr>
              <w:t>Agreement</w:t>
            </w:r>
          </w:p>
          <w:p w14:paraId="0DF595DD" w14:textId="79D0293D" w:rsidR="00631007" w:rsidRDefault="00631007" w:rsidP="00631007">
            <w:pPr>
              <w:spacing w:before="0" w:after="0"/>
              <w:rPr>
                <w:rFonts w:ascii="Times" w:eastAsia="Gulim" w:hAnsi="Times" w:cs="Times"/>
              </w:rPr>
            </w:pPr>
            <w:r w:rsidRPr="0089435D">
              <w:rPr>
                <w:rFonts w:ascii="Times" w:eastAsia="Gulim" w:hAnsi="Times" w:cs="Times"/>
              </w:rPr>
              <w:t>Only one CFR can be configured for group-common PDCCH/PDSCH carrying MCCH for broadcast reception with UEs in RRC_IDLE/INACTIVE state.</w:t>
            </w:r>
          </w:p>
          <w:p w14:paraId="41CAF475" w14:textId="77777777" w:rsidR="001C0E74" w:rsidRPr="0089435D" w:rsidRDefault="001C0E74" w:rsidP="00631007">
            <w:pPr>
              <w:spacing w:before="0" w:after="0"/>
              <w:rPr>
                <w:rFonts w:ascii="Times" w:eastAsia="Gulim" w:hAnsi="Times" w:cs="Times"/>
              </w:rPr>
            </w:pPr>
          </w:p>
          <w:p w14:paraId="32AAEF5E" w14:textId="77777777" w:rsidR="001C0E74" w:rsidRPr="00BA6088" w:rsidRDefault="001C0E74" w:rsidP="001C0E74">
            <w:pPr>
              <w:spacing w:before="0" w:after="0"/>
              <w:rPr>
                <w:rFonts w:eastAsia="Gulim"/>
                <w:lang w:eastAsia="x-none"/>
              </w:rPr>
            </w:pPr>
            <w:r w:rsidRPr="00BA6088">
              <w:rPr>
                <w:rFonts w:eastAsia="Gulim"/>
                <w:highlight w:val="green"/>
                <w:lang w:eastAsia="x-none"/>
              </w:rPr>
              <w:t>Agreement:</w:t>
            </w:r>
          </w:p>
          <w:p w14:paraId="62ADBBB8" w14:textId="77777777" w:rsidR="001C0E74" w:rsidRPr="00BA6088" w:rsidRDefault="001C0E74" w:rsidP="001C0E74">
            <w:pPr>
              <w:spacing w:before="0" w:after="0"/>
              <w:rPr>
                <w:rFonts w:eastAsia="Gulim"/>
                <w:lang w:eastAsia="x-none"/>
              </w:rPr>
            </w:pPr>
            <w:r w:rsidRPr="00BA6088">
              <w:rPr>
                <w:rFonts w:eastAsia="Gulim"/>
                <w:lang w:eastAsia="x-none"/>
              </w:rPr>
              <w:t>For broadcast reception, RRC_IDLE/RRC_INACTIVE UEs can use the same bandwidth configurations for the CFR of GC-PDCCH/PDSCH carrying MCCH and the CFR of GC-PDCCH/PDSCH carrying MTCH.</w:t>
            </w:r>
          </w:p>
          <w:p w14:paraId="3E076221" w14:textId="77777777" w:rsidR="001C0E74" w:rsidRPr="00BA6088" w:rsidRDefault="001C0E74" w:rsidP="001C0E74">
            <w:pPr>
              <w:numPr>
                <w:ilvl w:val="0"/>
                <w:numId w:val="32"/>
              </w:numPr>
              <w:overflowPunct/>
              <w:autoSpaceDE/>
              <w:autoSpaceDN/>
              <w:adjustRightInd/>
              <w:spacing w:before="0" w:after="0"/>
              <w:textAlignment w:val="auto"/>
              <w:rPr>
                <w:rFonts w:eastAsia="Gulim"/>
                <w:lang w:eastAsia="x-none"/>
              </w:rPr>
            </w:pPr>
            <w:r w:rsidRPr="00BA6088">
              <w:rPr>
                <w:rFonts w:eastAsia="Gulim"/>
                <w:lang w:eastAsia="x-none"/>
              </w:rPr>
              <w:t>FFS: use of different bandwidth configurations for the CFR of GC-PDCCH/PDSCH carrying MCCH and the CFR of GC-PDCCH/PDSCH carrying MTCH</w:t>
            </w:r>
          </w:p>
          <w:p w14:paraId="0CEF3034" w14:textId="77777777" w:rsidR="00631007" w:rsidRDefault="00631007" w:rsidP="009E49B4">
            <w:pPr>
              <w:spacing w:before="0" w:after="0" w:line="252" w:lineRule="auto"/>
              <w:rPr>
                <w:highlight w:val="green"/>
              </w:rPr>
            </w:pPr>
          </w:p>
          <w:p w14:paraId="0007BA0A" w14:textId="6ABCDA0D" w:rsidR="009E49B4" w:rsidRPr="009E49B4" w:rsidRDefault="009E49B4" w:rsidP="009E49B4">
            <w:pPr>
              <w:spacing w:before="0" w:after="0" w:line="252" w:lineRule="auto"/>
            </w:pPr>
            <w:r w:rsidRPr="009E49B4">
              <w:rPr>
                <w:highlight w:val="green"/>
              </w:rPr>
              <w:t>Agreement:</w:t>
            </w:r>
          </w:p>
          <w:p w14:paraId="4378C722" w14:textId="77777777" w:rsidR="009E49B4" w:rsidRPr="009E49B4" w:rsidRDefault="009E49B4" w:rsidP="009E49B4">
            <w:pPr>
              <w:overflowPunct/>
              <w:autoSpaceDE/>
              <w:autoSpaceDN/>
              <w:adjustRightInd/>
              <w:spacing w:before="0" w:after="0"/>
              <w:textAlignment w:val="auto"/>
              <w:rPr>
                <w:rFonts w:ascii="Times" w:eastAsia="Batang" w:hAnsi="Times"/>
                <w:szCs w:val="24"/>
                <w:lang w:eastAsia="x-none"/>
              </w:rPr>
            </w:pPr>
            <w:r w:rsidRPr="009E49B4">
              <w:rPr>
                <w:rFonts w:ascii="Times" w:eastAsia="Batang" w:hAnsi="Times"/>
                <w:szCs w:val="24"/>
                <w:lang w:eastAsia="x-none"/>
              </w:rPr>
              <w:t>For broadcast reception with RRC_IDLE/RRC_INACTIVE UEs:</w:t>
            </w:r>
          </w:p>
          <w:p w14:paraId="0B7C315B" w14:textId="77777777" w:rsidR="009E49B4" w:rsidRPr="009E49B4" w:rsidRDefault="009E49B4" w:rsidP="009E49B4">
            <w:pPr>
              <w:numPr>
                <w:ilvl w:val="0"/>
                <w:numId w:val="35"/>
              </w:numPr>
              <w:overflowPunct/>
              <w:autoSpaceDE/>
              <w:autoSpaceDN/>
              <w:adjustRightInd/>
              <w:spacing w:before="0" w:after="0"/>
              <w:textAlignment w:val="auto"/>
              <w:rPr>
                <w:rFonts w:ascii="Times" w:eastAsia="Batang" w:hAnsi="Times"/>
                <w:szCs w:val="24"/>
                <w:lang w:eastAsia="x-none"/>
              </w:rPr>
            </w:pPr>
            <w:r w:rsidRPr="009E49B4">
              <w:rPr>
                <w:rFonts w:ascii="Times" w:eastAsia="Batang" w:hAnsi="Times"/>
                <w:szCs w:val="24"/>
                <w:lang w:eastAsia="x-none"/>
              </w:rPr>
              <w:t xml:space="preserve">The CFR frequency resources used for MCCH and MTCH are configured by </w:t>
            </w:r>
            <w:proofErr w:type="spellStart"/>
            <w:r w:rsidRPr="009E49B4">
              <w:rPr>
                <w:rFonts w:ascii="Times" w:eastAsia="Batang" w:hAnsi="Times"/>
                <w:szCs w:val="24"/>
                <w:lang w:eastAsia="x-none"/>
              </w:rPr>
              <w:t>SIBx</w:t>
            </w:r>
            <w:proofErr w:type="spellEnd"/>
            <w:r w:rsidRPr="009E49B4">
              <w:rPr>
                <w:rFonts w:ascii="Times" w:eastAsia="Batang" w:hAnsi="Times"/>
                <w:szCs w:val="24"/>
                <w:lang w:eastAsia="x-none"/>
              </w:rPr>
              <w:t>;</w:t>
            </w:r>
          </w:p>
          <w:p w14:paraId="367E348B" w14:textId="77777777" w:rsidR="009E49B4" w:rsidRPr="009E49B4" w:rsidRDefault="009E49B4" w:rsidP="009E49B4">
            <w:pPr>
              <w:numPr>
                <w:ilvl w:val="0"/>
                <w:numId w:val="35"/>
              </w:numPr>
              <w:overflowPunct/>
              <w:autoSpaceDE/>
              <w:autoSpaceDN/>
              <w:adjustRightInd/>
              <w:spacing w:before="0" w:after="0"/>
              <w:textAlignment w:val="auto"/>
              <w:rPr>
                <w:rFonts w:ascii="Times" w:eastAsia="Batang" w:hAnsi="Times"/>
                <w:szCs w:val="24"/>
                <w:lang w:eastAsia="x-none"/>
              </w:rPr>
            </w:pPr>
            <w:r w:rsidRPr="009E49B4">
              <w:rPr>
                <w:rFonts w:ascii="Times" w:eastAsia="Batang" w:hAnsi="Times"/>
                <w:szCs w:val="24"/>
                <w:lang w:eastAsia="x-none"/>
              </w:rPr>
              <w:t xml:space="preserve">PDCCH-config/PDSCH-config for broadcast reception with GC-PDCCH/PDSCH carrying MCCH is configured by </w:t>
            </w:r>
            <w:proofErr w:type="spellStart"/>
            <w:r w:rsidRPr="009E49B4">
              <w:rPr>
                <w:rFonts w:ascii="Times" w:eastAsia="Batang" w:hAnsi="Times"/>
                <w:szCs w:val="24"/>
                <w:lang w:eastAsia="x-none"/>
              </w:rPr>
              <w:t>SIBx</w:t>
            </w:r>
            <w:proofErr w:type="spellEnd"/>
          </w:p>
          <w:p w14:paraId="22B29316" w14:textId="77777777" w:rsidR="009E49B4" w:rsidRPr="009E49B4" w:rsidRDefault="009E49B4" w:rsidP="009E49B4">
            <w:pPr>
              <w:numPr>
                <w:ilvl w:val="0"/>
                <w:numId w:val="35"/>
              </w:numPr>
              <w:overflowPunct/>
              <w:autoSpaceDE/>
              <w:autoSpaceDN/>
              <w:adjustRightInd/>
              <w:spacing w:before="0" w:after="0"/>
              <w:textAlignment w:val="auto"/>
              <w:rPr>
                <w:rFonts w:ascii="Times" w:eastAsia="Batang" w:hAnsi="Times"/>
                <w:szCs w:val="24"/>
                <w:lang w:eastAsia="x-none"/>
              </w:rPr>
            </w:pPr>
            <w:r w:rsidRPr="009E49B4">
              <w:rPr>
                <w:rFonts w:ascii="Times" w:eastAsia="Batang" w:hAnsi="Times"/>
                <w:szCs w:val="24"/>
                <w:lang w:eastAsia="x-none"/>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9E49B4">
              <w:rPr>
                <w:rFonts w:ascii="Times" w:eastAsia="Batang" w:hAnsi="Times"/>
                <w:szCs w:val="24"/>
                <w:lang w:eastAsia="x-none"/>
              </w:rPr>
              <w:t>SIBx</w:t>
            </w:r>
            <w:proofErr w:type="spellEnd"/>
            <w:r w:rsidRPr="009E49B4">
              <w:rPr>
                <w:rFonts w:ascii="Times" w:eastAsia="Batang" w:hAnsi="Times"/>
                <w:szCs w:val="24"/>
                <w:lang w:eastAsia="x-none"/>
              </w:rPr>
              <w:t xml:space="preserve"> is reused for GC-PDCCH/PDSCH carrying MTCH.</w:t>
            </w:r>
          </w:p>
          <w:p w14:paraId="23DECD7C" w14:textId="2E278452" w:rsidR="006E534C" w:rsidRPr="009E49B4" w:rsidRDefault="006E534C" w:rsidP="006E534C">
            <w:pPr>
              <w:spacing w:before="0" w:after="0"/>
              <w:rPr>
                <w:lang w:val="en-US"/>
              </w:rPr>
            </w:pPr>
          </w:p>
        </w:tc>
      </w:tr>
    </w:tbl>
    <w:p w14:paraId="7D7A85F5" w14:textId="0CA77A5C" w:rsidR="00C06A55" w:rsidRPr="002E5FFC" w:rsidRDefault="00C06A55" w:rsidP="00CE5CEE">
      <w:pPr>
        <w:pStyle w:val="bullet1"/>
        <w:numPr>
          <w:ilvl w:val="0"/>
          <w:numId w:val="0"/>
        </w:numPr>
        <w:rPr>
          <w:b/>
          <w:bCs/>
          <w:sz w:val="20"/>
          <w:szCs w:val="22"/>
          <w:lang w:val="en-US"/>
        </w:rPr>
      </w:pPr>
    </w:p>
    <w:p w14:paraId="09171188" w14:textId="0CF23B1B" w:rsidR="00B07BC1" w:rsidRDefault="009E49B4" w:rsidP="00B07BC1">
      <w:pPr>
        <w:pStyle w:val="bullet1"/>
        <w:numPr>
          <w:ilvl w:val="0"/>
          <w:numId w:val="0"/>
        </w:numPr>
        <w:rPr>
          <w:sz w:val="20"/>
          <w:szCs w:val="22"/>
          <w:lang w:val="en-US"/>
        </w:rPr>
      </w:pPr>
      <w:r>
        <w:rPr>
          <w:sz w:val="20"/>
          <w:szCs w:val="22"/>
          <w:lang w:val="en-US"/>
        </w:rPr>
        <w:t>However</w:t>
      </w:r>
      <w:r w:rsidR="00763064">
        <w:rPr>
          <w:sz w:val="20"/>
          <w:szCs w:val="22"/>
          <w:lang w:val="en-US"/>
        </w:rPr>
        <w:t>,</w:t>
      </w:r>
      <w:r>
        <w:rPr>
          <w:sz w:val="20"/>
          <w:szCs w:val="22"/>
          <w:lang w:val="en-US"/>
        </w:rPr>
        <w:t xml:space="preserve"> in the </w:t>
      </w:r>
      <w:r w:rsidR="00763064">
        <w:rPr>
          <w:sz w:val="20"/>
          <w:szCs w:val="22"/>
          <w:lang w:val="en-US"/>
        </w:rPr>
        <w:t xml:space="preserve">current version of TS38.213 </w:t>
      </w:r>
      <w:r w:rsidR="00763064">
        <w:rPr>
          <w:sz w:val="20"/>
          <w:szCs w:val="22"/>
          <w:lang w:val="en-US"/>
        </w:rPr>
        <w:fldChar w:fldCharType="begin"/>
      </w:r>
      <w:r w:rsidR="00763064">
        <w:rPr>
          <w:sz w:val="20"/>
          <w:szCs w:val="22"/>
          <w:lang w:val="en-US"/>
        </w:rPr>
        <w:instrText xml:space="preserve"> REF _Ref47538706 \r \h </w:instrText>
      </w:r>
      <w:r w:rsidR="00763064">
        <w:rPr>
          <w:sz w:val="20"/>
          <w:szCs w:val="22"/>
          <w:lang w:val="en-US"/>
        </w:rPr>
      </w:r>
      <w:r w:rsidR="00763064">
        <w:rPr>
          <w:sz w:val="20"/>
          <w:szCs w:val="22"/>
          <w:lang w:val="en-US"/>
        </w:rPr>
        <w:fldChar w:fldCharType="separate"/>
      </w:r>
      <w:r w:rsidR="00763064">
        <w:rPr>
          <w:sz w:val="20"/>
          <w:szCs w:val="22"/>
          <w:lang w:val="en-US"/>
        </w:rPr>
        <w:t>[4]</w:t>
      </w:r>
      <w:r w:rsidR="00763064">
        <w:rPr>
          <w:sz w:val="20"/>
          <w:szCs w:val="22"/>
          <w:lang w:val="en-US"/>
        </w:rPr>
        <w:fldChar w:fldCharType="end"/>
      </w:r>
      <w:r w:rsidR="00763064">
        <w:rPr>
          <w:sz w:val="20"/>
          <w:szCs w:val="22"/>
          <w:lang w:val="en-US"/>
        </w:rPr>
        <w:t>, the following is specified:</w:t>
      </w:r>
    </w:p>
    <w:p w14:paraId="43D245A9" w14:textId="74C74FD7" w:rsidR="00763064" w:rsidRDefault="00763064" w:rsidP="00B07BC1">
      <w:pPr>
        <w:pStyle w:val="bullet1"/>
        <w:numPr>
          <w:ilvl w:val="0"/>
          <w:numId w:val="0"/>
        </w:numPr>
        <w:rPr>
          <w:sz w:val="20"/>
          <w:szCs w:val="22"/>
          <w:lang w:val="en-US"/>
        </w:rPr>
      </w:pPr>
    </w:p>
    <w:tbl>
      <w:tblPr>
        <w:tblStyle w:val="TableGrid"/>
        <w:tblW w:w="0" w:type="auto"/>
        <w:tblLook w:val="04A0" w:firstRow="1" w:lastRow="0" w:firstColumn="1" w:lastColumn="0" w:noHBand="0" w:noVBand="1"/>
      </w:tblPr>
      <w:tblGrid>
        <w:gridCol w:w="10160"/>
      </w:tblGrid>
      <w:tr w:rsidR="00763064" w14:paraId="76B40AE5" w14:textId="77777777" w:rsidTr="00763064">
        <w:tc>
          <w:tcPr>
            <w:tcW w:w="10160" w:type="dxa"/>
          </w:tcPr>
          <w:p w14:paraId="106A9BE6" w14:textId="77777777" w:rsidR="00F800D5" w:rsidRDefault="00F800D5" w:rsidP="00F800D5">
            <w:pPr>
              <w:rPr>
                <w:rFonts w:eastAsia="DengXian"/>
                <w:lang w:val="en-US"/>
              </w:rPr>
            </w:pPr>
            <w:r>
              <w:lastRenderedPageBreak/>
              <w:t xml:space="preserve">A UE can be configured by </w:t>
            </w:r>
            <w:proofErr w:type="spellStart"/>
            <w:r>
              <w:rPr>
                <w:i/>
                <w:iCs/>
              </w:rPr>
              <w:t>cfr</w:t>
            </w:r>
            <w:proofErr w:type="spellEnd"/>
            <w:r>
              <w:rPr>
                <w:i/>
                <w:iCs/>
              </w:rPr>
              <w:t>-Config-MCCH-MTCH</w:t>
            </w:r>
            <w:r>
              <w:t xml:space="preserve"> an MBS frequency resource for PDCCH and PDSCH receptions providing </w:t>
            </w:r>
            <w:r>
              <w:rPr>
                <w:lang w:eastAsia="x-none"/>
              </w:rPr>
              <w:t>MCCH and MTCH [12, TS 38.331]</w:t>
            </w:r>
            <w:r>
              <w:t xml:space="preserve">; otherwise, </w:t>
            </w:r>
            <w:r>
              <w:rPr>
                <w:lang w:eastAsia="ja-JP"/>
              </w:rPr>
              <w:t>the MBS frequency resource is same as for the</w:t>
            </w:r>
            <w:r>
              <w:rPr>
                <w:rFonts w:eastAsia="Yu Mincho"/>
              </w:rPr>
              <w:t xml:space="preserve"> CORESET with index 0 that is associated with the Type0-PDCCH CSS set </w:t>
            </w:r>
            <w:r>
              <w:t xml:space="preserve">for PDCCH and PDSCH receptions providing </w:t>
            </w:r>
            <w:r>
              <w:rPr>
                <w:lang w:eastAsia="x-none"/>
              </w:rPr>
              <w:t>MCCH and MTCH</w:t>
            </w:r>
            <w:r>
              <w:rPr>
                <w:rFonts w:eastAsia="Yu Mincho"/>
              </w:rPr>
              <w:t xml:space="preserve">. </w:t>
            </w:r>
          </w:p>
          <w:p w14:paraId="64EB72E9" w14:textId="77777777" w:rsidR="00F800D5" w:rsidRDefault="00F800D5" w:rsidP="00F800D5">
            <w:pPr>
              <w:rPr>
                <w:lang w:eastAsia="en-US"/>
              </w:rPr>
            </w:pPr>
            <w:r>
              <w:t xml:space="preserve">In clauses referring to a higher layer parameter value provided by </w:t>
            </w:r>
            <w:r>
              <w:rPr>
                <w:i/>
                <w:iCs/>
                <w:lang w:val="en-US" w:eastAsia="x-none"/>
              </w:rPr>
              <w:t>PDCCH-</w:t>
            </w:r>
            <w:proofErr w:type="spellStart"/>
            <w:r>
              <w:rPr>
                <w:i/>
                <w:iCs/>
                <w:lang w:val="en-US" w:eastAsia="x-none"/>
              </w:rPr>
              <w:t>ConfigCommon</w:t>
            </w:r>
            <w:proofErr w:type="spellEnd"/>
            <w:r>
              <w:t xml:space="preserve"> or </w:t>
            </w:r>
            <w:r>
              <w:rPr>
                <w:i/>
                <w:iCs/>
                <w:lang w:val="en-US" w:eastAsia="x-none"/>
              </w:rPr>
              <w:t>PDSCH-</w:t>
            </w:r>
            <w:proofErr w:type="spellStart"/>
            <w:r>
              <w:rPr>
                <w:i/>
                <w:iCs/>
                <w:lang w:val="en-US" w:eastAsia="x-none"/>
              </w:rPr>
              <w:t>ConfigCommon</w:t>
            </w:r>
            <w:proofErr w:type="spellEnd"/>
            <w:r>
              <w:t>, when applicable a corresponding higher layer parameter value for MCCH/MTCH PDCCH receptions or PDSCH receptions, respectively, is provided as described in [12, TS 38.331].</w:t>
            </w:r>
          </w:p>
          <w:p w14:paraId="7519B7FB" w14:textId="736D2FD1" w:rsidR="00763064" w:rsidRPr="00803A13" w:rsidRDefault="00F800D5" w:rsidP="00F800D5">
            <w:pPr>
              <w:rPr>
                <w:lang w:val="en-US"/>
              </w:rPr>
            </w:pPr>
            <w:r>
              <w:t xml:space="preserve">A UE can be configured by </w:t>
            </w:r>
            <w:proofErr w:type="spellStart"/>
            <w:r>
              <w:rPr>
                <w:i/>
                <w:iCs/>
              </w:rPr>
              <w:t>cfr</w:t>
            </w:r>
            <w:proofErr w:type="spellEnd"/>
            <w:r>
              <w:rPr>
                <w:i/>
                <w:iCs/>
              </w:rPr>
              <w:t>-Config-</w:t>
            </w:r>
            <w:r>
              <w:rPr>
                <w:i/>
                <w:iCs/>
                <w:lang w:val="en-US"/>
              </w:rPr>
              <w:t>Broadcast</w:t>
            </w:r>
            <w:r>
              <w:t>, a</w:t>
            </w:r>
            <w:r>
              <w:rPr>
                <w:lang w:val="en-US"/>
              </w:rPr>
              <w:t>n</w:t>
            </w:r>
            <w:r>
              <w:t xml:space="preserve"> </w:t>
            </w:r>
            <w:r>
              <w:rPr>
                <w:lang w:val="en-US"/>
              </w:rPr>
              <w:t xml:space="preserve">MBS </w:t>
            </w:r>
            <w:r>
              <w:t xml:space="preserve">frequency </w:t>
            </w:r>
            <w:r>
              <w:rPr>
                <w:lang w:val="en-US"/>
              </w:rPr>
              <w:t>resource</w:t>
            </w:r>
            <w:r>
              <w:t xml:space="preserve"> within the </w:t>
            </w:r>
            <w:r>
              <w:rPr>
                <w:lang w:val="en-US"/>
              </w:rPr>
              <w:t xml:space="preserve">initial </w:t>
            </w:r>
            <w:r>
              <w:t xml:space="preserve">DL BWP for PDCCH and PDSCH receptions </w:t>
            </w:r>
            <w:r>
              <w:rPr>
                <w:lang w:val="en-US"/>
              </w:rPr>
              <w:t>[4, TS 38.211]</w:t>
            </w:r>
            <w:r>
              <w:rPr>
                <w:rFonts w:eastAsia="DengXian"/>
              </w:rPr>
              <w:t xml:space="preserve">. </w:t>
            </w:r>
            <w:r>
              <w:rPr>
                <w:rFonts w:eastAsia="DengXian"/>
                <w:lang w:val="en-US"/>
              </w:rPr>
              <w:t xml:space="preserve">If </w:t>
            </w:r>
            <w:proofErr w:type="spellStart"/>
            <w:r>
              <w:rPr>
                <w:i/>
                <w:iCs/>
              </w:rPr>
              <w:t>cfr</w:t>
            </w:r>
            <w:proofErr w:type="spellEnd"/>
            <w:r>
              <w:rPr>
                <w:i/>
                <w:iCs/>
              </w:rPr>
              <w:t>-Config-</w:t>
            </w:r>
            <w:r>
              <w:rPr>
                <w:i/>
                <w:iCs/>
                <w:lang w:val="en-US"/>
              </w:rPr>
              <w:t xml:space="preserve"> Broadcast</w:t>
            </w:r>
            <w:r>
              <w:rPr>
                <w:lang w:val="en-US"/>
              </w:rPr>
              <w:t xml:space="preserve"> does not include </w:t>
            </w:r>
            <w:proofErr w:type="spellStart"/>
            <w:r>
              <w:rPr>
                <w:i/>
                <w:iCs/>
                <w:lang w:val="en-US"/>
              </w:rPr>
              <w:t>locationAndBandwidth</w:t>
            </w:r>
            <w:proofErr w:type="spellEnd"/>
            <w:r>
              <w:rPr>
                <w:i/>
                <w:iCs/>
                <w:lang w:val="en-US"/>
              </w:rPr>
              <w:t>-Broadcast</w:t>
            </w:r>
            <w:r>
              <w:rPr>
                <w:lang w:val="en-US"/>
              </w:rPr>
              <w:t xml:space="preserve">, the MBS frequency resource is the initial DL BWP. </w:t>
            </w:r>
            <w:r>
              <w:t>A UE monitors PDCCH for scheduling PDSCH receptions for MCCH or MTCH as described in clause 10.1.</w:t>
            </w:r>
          </w:p>
        </w:tc>
      </w:tr>
    </w:tbl>
    <w:p w14:paraId="1D4ED714" w14:textId="59E045E8" w:rsidR="00763064" w:rsidRDefault="00763064" w:rsidP="00B07BC1">
      <w:pPr>
        <w:pStyle w:val="bullet1"/>
        <w:numPr>
          <w:ilvl w:val="0"/>
          <w:numId w:val="0"/>
        </w:numPr>
        <w:rPr>
          <w:sz w:val="20"/>
          <w:szCs w:val="22"/>
          <w:lang w:val="en-US"/>
        </w:rPr>
      </w:pPr>
    </w:p>
    <w:p w14:paraId="0937897E" w14:textId="0D68FA4C" w:rsidR="000E6007" w:rsidRPr="006D435B" w:rsidRDefault="00803A13" w:rsidP="00B07BC1">
      <w:pPr>
        <w:pStyle w:val="bullet1"/>
        <w:numPr>
          <w:ilvl w:val="0"/>
          <w:numId w:val="0"/>
        </w:numPr>
        <w:rPr>
          <w:sz w:val="20"/>
          <w:szCs w:val="22"/>
          <w:lang w:val="en-US"/>
        </w:rPr>
      </w:pPr>
      <w:r>
        <w:rPr>
          <w:sz w:val="20"/>
          <w:szCs w:val="22"/>
          <w:lang w:val="en-US"/>
        </w:rPr>
        <w:t xml:space="preserve">Based on the highlighted parts, it appears that there are two possible CFR configurations for broadcast i.e., </w:t>
      </w:r>
      <w:proofErr w:type="spellStart"/>
      <w:r>
        <w:rPr>
          <w:i/>
          <w:iCs/>
          <w:sz w:val="20"/>
          <w:szCs w:val="22"/>
          <w:lang w:val="en-US"/>
        </w:rPr>
        <w:t>cfr</w:t>
      </w:r>
      <w:proofErr w:type="spellEnd"/>
      <w:r>
        <w:rPr>
          <w:i/>
          <w:iCs/>
          <w:sz w:val="20"/>
          <w:szCs w:val="22"/>
          <w:lang w:val="en-US"/>
        </w:rPr>
        <w:t xml:space="preserve">-Config-MCCH-MTCH </w:t>
      </w:r>
      <w:r>
        <w:rPr>
          <w:sz w:val="20"/>
          <w:szCs w:val="22"/>
          <w:lang w:val="en-US"/>
        </w:rPr>
        <w:t xml:space="preserve">and </w:t>
      </w:r>
      <w:proofErr w:type="spellStart"/>
      <w:r>
        <w:rPr>
          <w:i/>
          <w:iCs/>
          <w:sz w:val="20"/>
          <w:szCs w:val="22"/>
          <w:lang w:val="en-US"/>
        </w:rPr>
        <w:t>cfr</w:t>
      </w:r>
      <w:proofErr w:type="spellEnd"/>
      <w:r>
        <w:rPr>
          <w:i/>
          <w:iCs/>
          <w:sz w:val="20"/>
          <w:szCs w:val="22"/>
          <w:lang w:val="en-US"/>
        </w:rPr>
        <w:t>-Config-Broadcast</w:t>
      </w:r>
      <w:r w:rsidR="000558E7">
        <w:rPr>
          <w:i/>
          <w:iCs/>
          <w:sz w:val="20"/>
          <w:szCs w:val="22"/>
          <w:lang w:val="en-US"/>
        </w:rPr>
        <w:t xml:space="preserve"> </w:t>
      </w:r>
      <w:r w:rsidR="000558E7">
        <w:rPr>
          <w:sz w:val="20"/>
          <w:szCs w:val="22"/>
          <w:lang w:val="en-US"/>
        </w:rPr>
        <w:t>which would be a cause for confusion for UEs which receive both configurations. From the current specification, it is not clear which CFR should be used for broadcast reception.</w:t>
      </w:r>
      <w:r w:rsidR="000E6007">
        <w:rPr>
          <w:sz w:val="20"/>
          <w:szCs w:val="22"/>
          <w:lang w:val="en-US"/>
        </w:rPr>
        <w:t xml:space="preserve"> Since CONNECTED mode UEs can also </w:t>
      </w:r>
      <w:r w:rsidR="006D435B">
        <w:rPr>
          <w:sz w:val="20"/>
          <w:szCs w:val="22"/>
          <w:lang w:val="en-US"/>
        </w:rPr>
        <w:t xml:space="preserve">receive </w:t>
      </w:r>
      <w:proofErr w:type="spellStart"/>
      <w:r w:rsidR="006D435B" w:rsidRPr="006D435B">
        <w:rPr>
          <w:i/>
          <w:iCs/>
          <w:sz w:val="20"/>
          <w:szCs w:val="22"/>
          <w:lang w:val="en-US"/>
        </w:rPr>
        <w:t>cfr</w:t>
      </w:r>
      <w:proofErr w:type="spellEnd"/>
      <w:r w:rsidR="006D435B" w:rsidRPr="006D435B">
        <w:rPr>
          <w:i/>
          <w:iCs/>
          <w:sz w:val="20"/>
          <w:szCs w:val="22"/>
          <w:lang w:val="en-US"/>
        </w:rPr>
        <w:t>-Config-MCCH-MTCH</w:t>
      </w:r>
      <w:r w:rsidR="006D435B">
        <w:rPr>
          <w:i/>
          <w:iCs/>
          <w:sz w:val="20"/>
          <w:szCs w:val="22"/>
          <w:lang w:val="en-US"/>
        </w:rPr>
        <w:t xml:space="preserve">, </w:t>
      </w:r>
      <w:r w:rsidR="006D435B">
        <w:rPr>
          <w:sz w:val="20"/>
          <w:szCs w:val="22"/>
          <w:lang w:val="en-US"/>
        </w:rPr>
        <w:t xml:space="preserve">two configurations are unnecessary. </w:t>
      </w:r>
    </w:p>
    <w:p w14:paraId="1A057412" w14:textId="77777777" w:rsidR="000E6007" w:rsidRDefault="000E6007" w:rsidP="00B07BC1">
      <w:pPr>
        <w:pStyle w:val="bullet1"/>
        <w:numPr>
          <w:ilvl w:val="0"/>
          <w:numId w:val="0"/>
        </w:numPr>
        <w:rPr>
          <w:sz w:val="20"/>
          <w:szCs w:val="22"/>
          <w:lang w:val="en-US"/>
        </w:rPr>
      </w:pPr>
    </w:p>
    <w:p w14:paraId="0BE6CBBF" w14:textId="280A7CDA" w:rsidR="00803A13" w:rsidRDefault="000558E7" w:rsidP="00B07BC1">
      <w:pPr>
        <w:pStyle w:val="bullet1"/>
        <w:numPr>
          <w:ilvl w:val="0"/>
          <w:numId w:val="0"/>
        </w:numPr>
        <w:rPr>
          <w:sz w:val="20"/>
          <w:szCs w:val="22"/>
          <w:lang w:val="en-US"/>
        </w:rPr>
      </w:pPr>
      <w:r>
        <w:rPr>
          <w:sz w:val="20"/>
          <w:szCs w:val="22"/>
          <w:lang w:val="en-US"/>
        </w:rPr>
        <w:t xml:space="preserve">In addition, </w:t>
      </w:r>
      <w:r w:rsidR="000E6007">
        <w:rPr>
          <w:sz w:val="20"/>
          <w:szCs w:val="22"/>
          <w:lang w:val="en-US"/>
        </w:rPr>
        <w:t>t</w:t>
      </w:r>
      <w:r>
        <w:rPr>
          <w:sz w:val="20"/>
          <w:szCs w:val="22"/>
          <w:lang w:val="en-US"/>
        </w:rPr>
        <w:t xml:space="preserve">he last agreement which states that the </w:t>
      </w:r>
      <w:r w:rsidR="00743B31">
        <w:rPr>
          <w:sz w:val="20"/>
          <w:szCs w:val="22"/>
          <w:lang w:val="en-US"/>
        </w:rPr>
        <w:t xml:space="preserve">PDDCH-Config and </w:t>
      </w:r>
      <w:r>
        <w:rPr>
          <w:sz w:val="20"/>
          <w:szCs w:val="22"/>
          <w:lang w:val="en-US"/>
        </w:rPr>
        <w:t>PDSCH-</w:t>
      </w:r>
      <w:r w:rsidR="00743B31">
        <w:rPr>
          <w:sz w:val="20"/>
          <w:szCs w:val="22"/>
          <w:lang w:val="en-US"/>
        </w:rPr>
        <w:t xml:space="preserve">Config for MTCH can be </w:t>
      </w:r>
      <w:r w:rsidR="005C238B">
        <w:rPr>
          <w:sz w:val="20"/>
          <w:szCs w:val="22"/>
          <w:lang w:val="en-US"/>
        </w:rPr>
        <w:t>provided by MCCH</w:t>
      </w:r>
      <w:r w:rsidR="001D790E">
        <w:rPr>
          <w:sz w:val="20"/>
          <w:szCs w:val="22"/>
          <w:lang w:val="en-US"/>
        </w:rPr>
        <w:t xml:space="preserve"> and if not provided is the same as that provided in </w:t>
      </w:r>
      <w:proofErr w:type="spellStart"/>
      <w:r w:rsidR="001D790E" w:rsidRPr="000E6007">
        <w:rPr>
          <w:i/>
          <w:iCs/>
          <w:sz w:val="20"/>
          <w:szCs w:val="22"/>
          <w:lang w:val="en-US"/>
        </w:rPr>
        <w:t>cfr</w:t>
      </w:r>
      <w:proofErr w:type="spellEnd"/>
      <w:r w:rsidR="001D790E" w:rsidRPr="000E6007">
        <w:rPr>
          <w:i/>
          <w:iCs/>
          <w:sz w:val="20"/>
          <w:szCs w:val="22"/>
          <w:lang w:val="en-US"/>
        </w:rPr>
        <w:t>-Config-MCCH-MTCH</w:t>
      </w:r>
      <w:r w:rsidR="000E6007">
        <w:rPr>
          <w:i/>
          <w:iCs/>
          <w:sz w:val="20"/>
          <w:szCs w:val="22"/>
          <w:lang w:val="en-US"/>
        </w:rPr>
        <w:t>.</w:t>
      </w:r>
      <w:r w:rsidR="006D435B">
        <w:rPr>
          <w:i/>
          <w:iCs/>
          <w:sz w:val="20"/>
          <w:szCs w:val="22"/>
          <w:lang w:val="en-US"/>
        </w:rPr>
        <w:t xml:space="preserve"> </w:t>
      </w:r>
      <w:r w:rsidR="006D435B">
        <w:rPr>
          <w:sz w:val="20"/>
          <w:szCs w:val="22"/>
          <w:lang w:val="en-US"/>
        </w:rPr>
        <w:t xml:space="preserve">This needs to be </w:t>
      </w:r>
      <w:r w:rsidR="007369B7">
        <w:rPr>
          <w:sz w:val="20"/>
          <w:szCs w:val="22"/>
          <w:lang w:val="en-US"/>
        </w:rPr>
        <w:t xml:space="preserve">captured in the specification. </w:t>
      </w:r>
      <w:r w:rsidR="00BF737F">
        <w:rPr>
          <w:sz w:val="20"/>
          <w:szCs w:val="22"/>
          <w:lang w:val="en-US"/>
        </w:rPr>
        <w:t>Therefore, we propose the following:</w:t>
      </w:r>
    </w:p>
    <w:p w14:paraId="3564783C" w14:textId="77777777" w:rsidR="00BF737F" w:rsidRDefault="00BF737F" w:rsidP="00B07BC1">
      <w:pPr>
        <w:pStyle w:val="bullet1"/>
        <w:numPr>
          <w:ilvl w:val="0"/>
          <w:numId w:val="0"/>
        </w:numPr>
        <w:rPr>
          <w:sz w:val="20"/>
          <w:szCs w:val="22"/>
          <w:lang w:val="en-US"/>
        </w:rPr>
      </w:pPr>
    </w:p>
    <w:tbl>
      <w:tblPr>
        <w:tblStyle w:val="TableGrid"/>
        <w:tblW w:w="0" w:type="auto"/>
        <w:tblLook w:val="04A0" w:firstRow="1" w:lastRow="0" w:firstColumn="1" w:lastColumn="0" w:noHBand="0" w:noVBand="1"/>
      </w:tblPr>
      <w:tblGrid>
        <w:gridCol w:w="10160"/>
      </w:tblGrid>
      <w:tr w:rsidR="00BF737F" w14:paraId="24BAA9A2" w14:textId="77777777" w:rsidTr="00566DCA">
        <w:tc>
          <w:tcPr>
            <w:tcW w:w="10160" w:type="dxa"/>
          </w:tcPr>
          <w:p w14:paraId="4E8A2821" w14:textId="0CD1CD89" w:rsidR="00BF737F" w:rsidRPr="00BF737F" w:rsidRDefault="009113B8" w:rsidP="00BF737F">
            <w:pPr>
              <w:rPr>
                <w:b/>
                <w:bCs/>
                <w:sz w:val="22"/>
                <w:szCs w:val="22"/>
              </w:rPr>
            </w:pPr>
            <w:r>
              <w:rPr>
                <w:b/>
                <w:bCs/>
                <w:sz w:val="22"/>
                <w:szCs w:val="22"/>
              </w:rPr>
              <w:t>TP</w:t>
            </w:r>
            <w:r w:rsidR="00BF737F" w:rsidRPr="00BF737F">
              <w:rPr>
                <w:b/>
                <w:bCs/>
                <w:sz w:val="22"/>
                <w:szCs w:val="22"/>
              </w:rPr>
              <w:t xml:space="preserve"> for TS 38.213</w:t>
            </w:r>
          </w:p>
          <w:p w14:paraId="61AF9594" w14:textId="77777777" w:rsidR="00C66EA7" w:rsidRDefault="00C66EA7" w:rsidP="00C66EA7">
            <w:pPr>
              <w:pStyle w:val="Heading1"/>
              <w:outlineLvl w:val="0"/>
            </w:pPr>
            <w:bookmarkStart w:id="1" w:name="_Toc92093906"/>
            <w:r>
              <w:t>18</w:t>
            </w:r>
            <w:r>
              <w:tab/>
              <w:t>Multicast Broadcast Services</w:t>
            </w:r>
            <w:bookmarkEnd w:id="1"/>
          </w:p>
          <w:p w14:paraId="3D622161" w14:textId="77777777" w:rsidR="00DF103C" w:rsidRPr="00DF103C" w:rsidRDefault="00DF103C" w:rsidP="00DF103C">
            <w:pPr>
              <w:keepNext/>
              <w:keepLines/>
              <w:spacing w:before="180"/>
              <w:ind w:left="1134" w:hanging="1134"/>
              <w:jc w:val="center"/>
              <w:outlineLvl w:val="1"/>
              <w:rPr>
                <w:noProof/>
                <w:color w:val="FF0000"/>
                <w:sz w:val="24"/>
              </w:rPr>
            </w:pPr>
            <w:r w:rsidRPr="00DF103C">
              <w:rPr>
                <w:noProof/>
                <w:color w:val="FF0000"/>
                <w:sz w:val="24"/>
              </w:rPr>
              <w:t>*** Unchanged text is omitted ***</w:t>
            </w:r>
          </w:p>
          <w:p w14:paraId="6EA43A4F" w14:textId="745CC9B0" w:rsidR="00BF737F" w:rsidRPr="00E859AB" w:rsidRDefault="00C66EA7" w:rsidP="00566DCA">
            <w:pPr>
              <w:rPr>
                <w:rFonts w:eastAsia="DengXian"/>
                <w:i/>
                <w:iCs/>
                <w:color w:val="FF0000"/>
                <w:lang w:val="en-US"/>
              </w:rPr>
            </w:pPr>
            <w:r>
              <w:t xml:space="preserve">A UE can be configured by </w:t>
            </w:r>
            <w:proofErr w:type="spellStart"/>
            <w:r>
              <w:rPr>
                <w:i/>
                <w:iCs/>
              </w:rPr>
              <w:t>cfr</w:t>
            </w:r>
            <w:proofErr w:type="spellEnd"/>
            <w:r>
              <w:rPr>
                <w:i/>
                <w:iCs/>
              </w:rPr>
              <w:t>-Config-MCCH-MTCH</w:t>
            </w:r>
            <w:r>
              <w:t xml:space="preserve"> an MBS frequency resource for PDCCH and PDSCH receptions providing </w:t>
            </w:r>
            <w:r>
              <w:rPr>
                <w:lang w:eastAsia="x-none"/>
              </w:rPr>
              <w:t>MCCH and MTCH [12, TS 38.331]</w:t>
            </w:r>
            <w:r>
              <w:t xml:space="preserve">; </w:t>
            </w:r>
            <w:r w:rsidR="00DF103C" w:rsidRPr="00477434">
              <w:rPr>
                <w:color w:val="FF0000"/>
              </w:rPr>
              <w:t xml:space="preserve">If </w:t>
            </w:r>
            <w:proofErr w:type="spellStart"/>
            <w:r w:rsidR="00DF103C" w:rsidRPr="00477434">
              <w:rPr>
                <w:i/>
                <w:iCs/>
                <w:color w:val="FF0000"/>
              </w:rPr>
              <w:t>cfr</w:t>
            </w:r>
            <w:proofErr w:type="spellEnd"/>
            <w:r w:rsidR="00DF103C" w:rsidRPr="00477434">
              <w:rPr>
                <w:i/>
                <w:iCs/>
                <w:color w:val="FF0000"/>
              </w:rPr>
              <w:t>-Config-MCCH-MTCH</w:t>
            </w:r>
            <w:r w:rsidR="00DF103C" w:rsidRPr="00477434">
              <w:rPr>
                <w:color w:val="FF0000"/>
              </w:rPr>
              <w:t xml:space="preserve"> does not contain </w:t>
            </w:r>
            <w:proofErr w:type="spellStart"/>
            <w:r w:rsidR="0024536B" w:rsidRPr="00477434">
              <w:rPr>
                <w:i/>
                <w:iCs/>
                <w:color w:val="FF0000"/>
              </w:rPr>
              <w:t>locationAndBandwidth</w:t>
            </w:r>
            <w:proofErr w:type="spellEnd"/>
            <w:r w:rsidR="0024536B" w:rsidRPr="00477434">
              <w:rPr>
                <w:i/>
                <w:iCs/>
                <w:color w:val="FF0000"/>
              </w:rPr>
              <w:t xml:space="preserve">-Broadcast, </w:t>
            </w:r>
            <w:r w:rsidR="0024536B" w:rsidRPr="00477434">
              <w:rPr>
                <w:color w:val="FF0000"/>
                <w:lang w:val="en-US"/>
              </w:rPr>
              <w:t>the MBS frequency resource is the initial DL BWP</w:t>
            </w:r>
            <w:r w:rsidR="0024536B" w:rsidRPr="00477434">
              <w:rPr>
                <w:color w:val="FF0000"/>
              </w:rPr>
              <w:t xml:space="preserve"> configured by SIB-1</w:t>
            </w:r>
            <w:r w:rsidR="00477434" w:rsidRPr="00477434">
              <w:rPr>
                <w:color w:val="FF0000"/>
              </w:rPr>
              <w:t>. If initial DL BWP is not configured</w:t>
            </w:r>
            <w:r w:rsidR="004954F8">
              <w:rPr>
                <w:color w:val="FF0000"/>
              </w:rPr>
              <w:t xml:space="preserve"> by SIB-1</w:t>
            </w:r>
            <w:r w:rsidR="00BF737F" w:rsidRPr="00DF103C">
              <w:t xml:space="preserve">, </w:t>
            </w:r>
            <w:r w:rsidR="00BF737F" w:rsidRPr="00DF103C">
              <w:rPr>
                <w:lang w:eastAsia="ja-JP"/>
              </w:rPr>
              <w:t>the MBS frequency resource is same as for the</w:t>
            </w:r>
            <w:r w:rsidR="00BF737F" w:rsidRPr="00DF103C">
              <w:rPr>
                <w:rFonts w:eastAsia="Yu Mincho"/>
              </w:rPr>
              <w:t xml:space="preserve"> CORESET with index 0 that is associated with the Type0-PDCCH CSS set </w:t>
            </w:r>
            <w:r w:rsidR="00BF737F" w:rsidRPr="00DF103C">
              <w:t xml:space="preserve">for PDCCH and PDSCH receptions providing </w:t>
            </w:r>
            <w:r w:rsidR="00BF737F" w:rsidRPr="00DF103C">
              <w:rPr>
                <w:lang w:eastAsia="x-none"/>
              </w:rPr>
              <w:t>MCCH and MTCH</w:t>
            </w:r>
            <w:r w:rsidR="00BF737F" w:rsidRPr="00DF103C">
              <w:rPr>
                <w:rFonts w:eastAsia="Yu Mincho"/>
              </w:rPr>
              <w:t>.</w:t>
            </w:r>
            <w:r w:rsidR="00BF737F" w:rsidRPr="00B06CC2">
              <w:rPr>
                <w:rFonts w:eastAsia="Yu Mincho"/>
              </w:rPr>
              <w:t xml:space="preserve"> </w:t>
            </w:r>
            <w:r w:rsidR="00FD2F45" w:rsidRPr="00E859AB">
              <w:rPr>
                <w:rFonts w:eastAsia="Yu Mincho"/>
                <w:color w:val="FF0000"/>
              </w:rPr>
              <w:t>MCCH can provide the PDCCH-Co</w:t>
            </w:r>
            <w:r w:rsidR="00114585" w:rsidRPr="00E859AB">
              <w:rPr>
                <w:rFonts w:eastAsia="Yu Mincho"/>
                <w:color w:val="FF0000"/>
              </w:rPr>
              <w:t>nfig</w:t>
            </w:r>
            <w:r w:rsidR="009F1FA3">
              <w:rPr>
                <w:rFonts w:eastAsia="Yu Mincho"/>
                <w:color w:val="FF0000"/>
              </w:rPr>
              <w:t>-MTCH</w:t>
            </w:r>
            <w:r w:rsidR="00114585" w:rsidRPr="00E859AB">
              <w:rPr>
                <w:rFonts w:eastAsia="Yu Mincho"/>
                <w:color w:val="FF0000"/>
              </w:rPr>
              <w:t xml:space="preserve"> and</w:t>
            </w:r>
            <w:r w:rsidR="00FD2F45" w:rsidRPr="00E859AB">
              <w:rPr>
                <w:rFonts w:eastAsia="Yu Mincho"/>
                <w:color w:val="FF0000"/>
              </w:rPr>
              <w:t xml:space="preserve"> PDSCH-Config</w:t>
            </w:r>
            <w:r w:rsidR="009F1FA3">
              <w:rPr>
                <w:rFonts w:eastAsia="Yu Mincho"/>
                <w:color w:val="FF0000"/>
              </w:rPr>
              <w:t>-MTCH</w:t>
            </w:r>
            <w:r w:rsidR="00114585" w:rsidRPr="00E859AB">
              <w:rPr>
                <w:rFonts w:eastAsia="Yu Mincho"/>
                <w:color w:val="FF0000"/>
              </w:rPr>
              <w:t xml:space="preserve"> for MTCH reception; if not provided</w:t>
            </w:r>
            <w:r w:rsidR="00DD3771">
              <w:rPr>
                <w:rFonts w:eastAsia="Yu Mincho"/>
                <w:color w:val="FF0000"/>
              </w:rPr>
              <w:t xml:space="preserve"> by MCCH</w:t>
            </w:r>
            <w:r w:rsidR="00114585" w:rsidRPr="00E859AB">
              <w:rPr>
                <w:rFonts w:eastAsia="Yu Mincho"/>
                <w:color w:val="FF0000"/>
              </w:rPr>
              <w:t>, the MTCH reception uses the PDCCH-Con</w:t>
            </w:r>
            <w:r w:rsidR="00E859AB" w:rsidRPr="00E859AB">
              <w:rPr>
                <w:rFonts w:eastAsia="Yu Mincho"/>
                <w:color w:val="FF0000"/>
              </w:rPr>
              <w:t>fig</w:t>
            </w:r>
            <w:r w:rsidR="004C6BE4">
              <w:rPr>
                <w:rFonts w:eastAsia="Yu Mincho"/>
                <w:color w:val="FF0000"/>
              </w:rPr>
              <w:t>-MCCH</w:t>
            </w:r>
            <w:r w:rsidR="00E859AB" w:rsidRPr="00E859AB">
              <w:rPr>
                <w:rFonts w:eastAsia="Yu Mincho"/>
                <w:color w:val="FF0000"/>
              </w:rPr>
              <w:t xml:space="preserve"> and PDSCH-Config</w:t>
            </w:r>
            <w:r w:rsidR="004C6BE4">
              <w:rPr>
                <w:rFonts w:eastAsia="Yu Mincho"/>
                <w:color w:val="FF0000"/>
              </w:rPr>
              <w:t>-MCCH</w:t>
            </w:r>
            <w:r w:rsidR="00E859AB" w:rsidRPr="00E859AB">
              <w:rPr>
                <w:rFonts w:eastAsia="Yu Mincho"/>
                <w:color w:val="FF0000"/>
              </w:rPr>
              <w:t xml:space="preserve"> provided by </w:t>
            </w:r>
            <w:proofErr w:type="spellStart"/>
            <w:r w:rsidR="00E859AB" w:rsidRPr="00E859AB">
              <w:rPr>
                <w:rFonts w:eastAsia="Yu Mincho"/>
                <w:i/>
                <w:iCs/>
                <w:color w:val="FF0000"/>
              </w:rPr>
              <w:t>cfr</w:t>
            </w:r>
            <w:proofErr w:type="spellEnd"/>
            <w:r w:rsidR="00E859AB" w:rsidRPr="00E859AB">
              <w:rPr>
                <w:rFonts w:eastAsia="Yu Mincho"/>
                <w:i/>
                <w:iCs/>
                <w:color w:val="FF0000"/>
              </w:rPr>
              <w:t>-Config-MCCH-MTCH</w:t>
            </w:r>
            <w:r w:rsidR="00B0518D">
              <w:rPr>
                <w:rFonts w:eastAsia="Yu Mincho"/>
                <w:i/>
                <w:iCs/>
                <w:color w:val="FF0000"/>
              </w:rPr>
              <w:t xml:space="preserve"> in </w:t>
            </w:r>
            <w:proofErr w:type="spellStart"/>
            <w:r w:rsidR="00B0518D">
              <w:rPr>
                <w:rFonts w:eastAsia="Yu Mincho"/>
                <w:i/>
                <w:iCs/>
                <w:color w:val="FF0000"/>
              </w:rPr>
              <w:t>SIBx</w:t>
            </w:r>
            <w:proofErr w:type="spellEnd"/>
            <w:r w:rsidR="00E859AB" w:rsidRPr="00E859AB">
              <w:rPr>
                <w:rFonts w:eastAsia="Yu Mincho"/>
                <w:i/>
                <w:iCs/>
                <w:color w:val="FF0000"/>
              </w:rPr>
              <w:t xml:space="preserve">. </w:t>
            </w:r>
          </w:p>
          <w:p w14:paraId="2C6780FB" w14:textId="77777777" w:rsidR="004C3A89" w:rsidRDefault="004C3A89" w:rsidP="004C3A89">
            <w:pPr>
              <w:rPr>
                <w:lang w:eastAsia="en-US"/>
              </w:rPr>
            </w:pPr>
            <w:r>
              <w:t xml:space="preserve">In clauses referring to a higher layer parameter value provided by </w:t>
            </w:r>
            <w:r>
              <w:rPr>
                <w:i/>
                <w:iCs/>
                <w:lang w:val="en-US" w:eastAsia="x-none"/>
              </w:rPr>
              <w:t>PDCCH-</w:t>
            </w:r>
            <w:proofErr w:type="spellStart"/>
            <w:r>
              <w:rPr>
                <w:i/>
                <w:iCs/>
                <w:lang w:val="en-US" w:eastAsia="x-none"/>
              </w:rPr>
              <w:t>ConfigCommon</w:t>
            </w:r>
            <w:proofErr w:type="spellEnd"/>
            <w:r>
              <w:t xml:space="preserve"> or </w:t>
            </w:r>
            <w:r>
              <w:rPr>
                <w:i/>
                <w:iCs/>
                <w:lang w:val="en-US" w:eastAsia="x-none"/>
              </w:rPr>
              <w:t>PDSCH-</w:t>
            </w:r>
            <w:proofErr w:type="spellStart"/>
            <w:r>
              <w:rPr>
                <w:i/>
                <w:iCs/>
                <w:lang w:val="en-US" w:eastAsia="x-none"/>
              </w:rPr>
              <w:t>ConfigCommon</w:t>
            </w:r>
            <w:proofErr w:type="spellEnd"/>
            <w:r>
              <w:t>, when applicable a corresponding higher layer parameter value for MCCH/MTCH PDCCH receptions or PDSCH receptions, respectively, is provided as described in [12, TS 38.331].</w:t>
            </w:r>
          </w:p>
          <w:p w14:paraId="05ABA3E1" w14:textId="19CBE6C4" w:rsidR="00BF737F" w:rsidRPr="004C3A89" w:rsidRDefault="004C3A89" w:rsidP="004C3A89">
            <w:pPr>
              <w:pStyle w:val="B1"/>
              <w:ind w:left="0" w:firstLine="0"/>
              <w:rPr>
                <w:strike/>
                <w:lang w:val="en-US"/>
              </w:rPr>
            </w:pPr>
            <w:r w:rsidRPr="00F20F45">
              <w:rPr>
                <w:strike/>
                <w:color w:val="FF0000"/>
              </w:rPr>
              <w:t xml:space="preserve">A UE can be configured by </w:t>
            </w:r>
            <w:proofErr w:type="spellStart"/>
            <w:r w:rsidRPr="00F20F45">
              <w:rPr>
                <w:i/>
                <w:iCs/>
                <w:strike/>
                <w:color w:val="FF0000"/>
              </w:rPr>
              <w:t>cfr</w:t>
            </w:r>
            <w:proofErr w:type="spellEnd"/>
            <w:r w:rsidRPr="00F20F45">
              <w:rPr>
                <w:i/>
                <w:iCs/>
                <w:strike/>
                <w:color w:val="FF0000"/>
              </w:rPr>
              <w:t>-Config-</w:t>
            </w:r>
            <w:r w:rsidRPr="00F20F45">
              <w:rPr>
                <w:i/>
                <w:iCs/>
                <w:strike/>
                <w:color w:val="FF0000"/>
                <w:lang w:val="en-US"/>
              </w:rPr>
              <w:t>Broadcast</w:t>
            </w:r>
            <w:r w:rsidRPr="00F20F45">
              <w:rPr>
                <w:strike/>
                <w:color w:val="FF0000"/>
              </w:rPr>
              <w:t>, a</w:t>
            </w:r>
            <w:r w:rsidRPr="00F20F45">
              <w:rPr>
                <w:strike/>
                <w:color w:val="FF0000"/>
                <w:lang w:val="en-US"/>
              </w:rPr>
              <w:t>n</w:t>
            </w:r>
            <w:r w:rsidRPr="00F20F45">
              <w:rPr>
                <w:strike/>
                <w:color w:val="FF0000"/>
              </w:rPr>
              <w:t xml:space="preserve"> </w:t>
            </w:r>
            <w:r w:rsidRPr="00F20F45">
              <w:rPr>
                <w:strike/>
                <w:color w:val="FF0000"/>
                <w:lang w:val="en-US"/>
              </w:rPr>
              <w:t xml:space="preserve">MBS </w:t>
            </w:r>
            <w:r w:rsidRPr="00F20F45">
              <w:rPr>
                <w:strike/>
                <w:color w:val="FF0000"/>
              </w:rPr>
              <w:t xml:space="preserve">frequency </w:t>
            </w:r>
            <w:r w:rsidRPr="00F20F45">
              <w:rPr>
                <w:strike/>
                <w:color w:val="FF0000"/>
                <w:lang w:val="en-US"/>
              </w:rPr>
              <w:t>resource</w:t>
            </w:r>
            <w:r w:rsidRPr="00F20F45">
              <w:rPr>
                <w:strike/>
                <w:color w:val="FF0000"/>
              </w:rPr>
              <w:t xml:space="preserve"> within the </w:t>
            </w:r>
            <w:r w:rsidRPr="00F20F45">
              <w:rPr>
                <w:strike/>
                <w:color w:val="FF0000"/>
                <w:lang w:val="en-US"/>
              </w:rPr>
              <w:t xml:space="preserve">initial </w:t>
            </w:r>
            <w:r w:rsidRPr="00F20F45">
              <w:rPr>
                <w:strike/>
                <w:color w:val="FF0000"/>
              </w:rPr>
              <w:t xml:space="preserve">DL BWP for PDCCH and PDSCH receptions </w:t>
            </w:r>
            <w:r w:rsidRPr="00F20F45">
              <w:rPr>
                <w:strike/>
                <w:color w:val="FF0000"/>
                <w:lang w:val="en-US"/>
              </w:rPr>
              <w:t>[4, TS 38.211]</w:t>
            </w:r>
            <w:r w:rsidRPr="00F20F45">
              <w:rPr>
                <w:rFonts w:eastAsia="DengXian"/>
                <w:strike/>
                <w:color w:val="FF0000"/>
              </w:rPr>
              <w:t xml:space="preserve">. </w:t>
            </w:r>
            <w:r w:rsidRPr="00F20F45">
              <w:rPr>
                <w:rFonts w:eastAsia="DengXian"/>
                <w:strike/>
                <w:color w:val="FF0000"/>
                <w:lang w:val="en-US"/>
              </w:rPr>
              <w:t xml:space="preserve">If </w:t>
            </w:r>
            <w:proofErr w:type="spellStart"/>
            <w:r w:rsidRPr="00F20F45">
              <w:rPr>
                <w:i/>
                <w:iCs/>
                <w:strike/>
                <w:color w:val="FF0000"/>
              </w:rPr>
              <w:t>cfr</w:t>
            </w:r>
            <w:proofErr w:type="spellEnd"/>
            <w:r w:rsidRPr="00F20F45">
              <w:rPr>
                <w:i/>
                <w:iCs/>
                <w:strike/>
                <w:color w:val="FF0000"/>
              </w:rPr>
              <w:t>-Config-</w:t>
            </w:r>
            <w:r w:rsidRPr="00F20F45">
              <w:rPr>
                <w:i/>
                <w:iCs/>
                <w:strike/>
                <w:color w:val="FF0000"/>
                <w:lang w:val="en-US"/>
              </w:rPr>
              <w:t xml:space="preserve"> Broadcast</w:t>
            </w:r>
            <w:r w:rsidRPr="00F20F45">
              <w:rPr>
                <w:strike/>
                <w:color w:val="FF0000"/>
                <w:lang w:val="en-US"/>
              </w:rPr>
              <w:t xml:space="preserve"> does not include </w:t>
            </w:r>
            <w:proofErr w:type="spellStart"/>
            <w:r w:rsidRPr="00F20F45">
              <w:rPr>
                <w:i/>
                <w:iCs/>
                <w:strike/>
                <w:color w:val="FF0000"/>
                <w:lang w:val="en-US"/>
              </w:rPr>
              <w:t>locationAndBandwidth</w:t>
            </w:r>
            <w:proofErr w:type="spellEnd"/>
            <w:r w:rsidRPr="00F20F45">
              <w:rPr>
                <w:i/>
                <w:iCs/>
                <w:strike/>
                <w:color w:val="FF0000"/>
                <w:lang w:val="en-US"/>
              </w:rPr>
              <w:t>-Broadcast</w:t>
            </w:r>
            <w:r w:rsidRPr="00F20F45">
              <w:rPr>
                <w:strike/>
                <w:color w:val="FF0000"/>
                <w:lang w:val="en-US"/>
              </w:rPr>
              <w:t xml:space="preserve">, the MBS frequency resource is the initial DL BWP. </w:t>
            </w:r>
            <w:r w:rsidRPr="00F20F45">
              <w:rPr>
                <w:strike/>
                <w:color w:val="FF0000"/>
              </w:rPr>
              <w:t>A UE monitors PDCCH for scheduling PDSCH receptions for MCCH or MTCH as described in clause 10.1.</w:t>
            </w:r>
          </w:p>
        </w:tc>
      </w:tr>
    </w:tbl>
    <w:p w14:paraId="32CE223F" w14:textId="290494FE" w:rsidR="00BF737F" w:rsidRDefault="00BF737F" w:rsidP="00B07BC1">
      <w:pPr>
        <w:pStyle w:val="bullet1"/>
        <w:numPr>
          <w:ilvl w:val="0"/>
          <w:numId w:val="0"/>
        </w:numPr>
        <w:rPr>
          <w:sz w:val="20"/>
          <w:szCs w:val="22"/>
          <w:lang w:val="en-US"/>
        </w:rPr>
      </w:pPr>
    </w:p>
    <w:p w14:paraId="0A82253F" w14:textId="3D20FE76" w:rsidR="00D4360A" w:rsidRDefault="00D4360A" w:rsidP="00D4360A">
      <w:pPr>
        <w:pStyle w:val="Heading3"/>
        <w:rPr>
          <w:rFonts w:ascii="Arial" w:eastAsia="SimSun" w:hAnsi="Arial" w:cs="Times New Roman"/>
          <w:color w:val="auto"/>
          <w:szCs w:val="16"/>
          <w:lang w:val="en-US"/>
        </w:rPr>
      </w:pPr>
      <w:r w:rsidRPr="00035651">
        <w:rPr>
          <w:rFonts w:ascii="Arial" w:eastAsia="SimSun" w:hAnsi="Arial" w:cs="Times New Roman"/>
          <w:color w:val="auto"/>
          <w:szCs w:val="16"/>
          <w:lang w:val="en-US"/>
        </w:rPr>
        <w:t>2.1.</w:t>
      </w:r>
      <w:r>
        <w:rPr>
          <w:rFonts w:ascii="Arial" w:eastAsia="SimSun" w:hAnsi="Arial" w:cs="Times New Roman"/>
          <w:color w:val="auto"/>
          <w:szCs w:val="16"/>
          <w:lang w:val="en-US"/>
        </w:rPr>
        <w:t>2. Discussion on RAN2 LS</w:t>
      </w:r>
    </w:p>
    <w:p w14:paraId="35CEBC20" w14:textId="7E3B021A" w:rsidR="00D4360A" w:rsidRDefault="008C2052" w:rsidP="008C2052">
      <w:pPr>
        <w:spacing w:before="240"/>
        <w:rPr>
          <w:lang w:val="en-US"/>
        </w:rPr>
      </w:pPr>
      <w:r>
        <w:rPr>
          <w:lang w:val="en-US"/>
        </w:rPr>
        <w:t>RAN2 has sent the following LS to RAN1 to clarify CFR configuration for MTCH</w:t>
      </w:r>
    </w:p>
    <w:tbl>
      <w:tblPr>
        <w:tblStyle w:val="TableGrid"/>
        <w:tblW w:w="0" w:type="auto"/>
        <w:tblLook w:val="04A0" w:firstRow="1" w:lastRow="0" w:firstColumn="1" w:lastColumn="0" w:noHBand="0" w:noVBand="1"/>
      </w:tblPr>
      <w:tblGrid>
        <w:gridCol w:w="10160"/>
      </w:tblGrid>
      <w:tr w:rsidR="0019716F" w14:paraId="72C3F8CB" w14:textId="77777777" w:rsidTr="0019716F">
        <w:tc>
          <w:tcPr>
            <w:tcW w:w="10160" w:type="dxa"/>
          </w:tcPr>
          <w:p w14:paraId="1464F95A" w14:textId="5E153F02" w:rsidR="00163113" w:rsidRPr="00163113" w:rsidRDefault="00163113" w:rsidP="00163113">
            <w:pPr>
              <w:spacing w:after="0"/>
              <w:rPr>
                <w:rFonts w:ascii="Arial" w:hAnsi="Arial" w:cs="Arial"/>
                <w:sz w:val="18"/>
                <w:szCs w:val="18"/>
              </w:rPr>
            </w:pPr>
            <w:r w:rsidRPr="00163113">
              <w:rPr>
                <w:rFonts w:ascii="Arial" w:hAnsi="Arial" w:cs="Arial"/>
                <w:bCs/>
                <w:sz w:val="18"/>
                <w:szCs w:val="18"/>
              </w:rPr>
              <w:t>RAN2 would like to thank RAN1 for providing the list of L1 parameters to be configured with RRC signalling. RAN2 has discussed some aspects related to this topic and would like to ask RAN1 the following question.</w:t>
            </w:r>
          </w:p>
          <w:p w14:paraId="00BEA7A6" w14:textId="77777777" w:rsidR="00163113" w:rsidRPr="00163113" w:rsidRDefault="00163113" w:rsidP="00163113">
            <w:pPr>
              <w:spacing w:after="0"/>
              <w:ind w:left="284"/>
              <w:rPr>
                <w:rFonts w:ascii="Arial" w:hAnsi="Arial" w:cs="Arial"/>
                <w:bCs/>
                <w:sz w:val="18"/>
                <w:szCs w:val="18"/>
                <w:lang w:eastAsia="en-US"/>
              </w:rPr>
            </w:pPr>
            <w:r w:rsidRPr="00163113">
              <w:rPr>
                <w:rFonts w:ascii="Arial" w:hAnsi="Arial" w:cs="Arial"/>
                <w:b/>
                <w:bCs/>
                <w:sz w:val="18"/>
                <w:szCs w:val="18"/>
              </w:rPr>
              <w:lastRenderedPageBreak/>
              <w:t xml:space="preserve">Question: </w:t>
            </w:r>
            <w:r w:rsidRPr="00163113">
              <w:rPr>
                <w:rFonts w:ascii="Arial" w:hAnsi="Arial" w:cs="Arial"/>
                <w:bCs/>
                <w:sz w:val="18"/>
                <w:szCs w:val="18"/>
              </w:rPr>
              <w:t xml:space="preserve">Currently, RAN2 running RRC design assumes that only a single CFR (indicated by </w:t>
            </w:r>
            <w:proofErr w:type="spellStart"/>
            <w:r w:rsidRPr="00163113">
              <w:rPr>
                <w:rFonts w:ascii="Arial" w:hAnsi="Arial" w:cs="Arial"/>
                <w:bCs/>
                <w:i/>
                <w:sz w:val="18"/>
                <w:szCs w:val="18"/>
              </w:rPr>
              <w:t>locationAndBandwidth</w:t>
            </w:r>
            <w:proofErr w:type="spellEnd"/>
            <w:r w:rsidRPr="00163113">
              <w:rPr>
                <w:rFonts w:ascii="Arial" w:hAnsi="Arial" w:cs="Arial"/>
                <w:bCs/>
                <w:i/>
                <w:sz w:val="18"/>
                <w:szCs w:val="18"/>
              </w:rPr>
              <w:t>-Broadcast</w:t>
            </w:r>
            <w:r w:rsidRPr="00163113">
              <w:rPr>
                <w:rFonts w:ascii="Arial" w:hAnsi="Arial" w:cs="Arial"/>
                <w:bCs/>
                <w:sz w:val="18"/>
                <w:szCs w:val="18"/>
              </w:rPr>
              <w:t>) is configured for MCCH/MTCH reception of MBS broadcast and it is common for MCCH and all MTCHs. RAN2 would like to confirm this understanding with RAN1.</w:t>
            </w:r>
          </w:p>
          <w:p w14:paraId="22BAC929" w14:textId="3A3B9DD0" w:rsidR="0019716F" w:rsidRPr="00163113" w:rsidRDefault="00163113" w:rsidP="00C403CC">
            <w:pPr>
              <w:rPr>
                <w:rFonts w:ascii="Arial" w:hAnsi="Arial" w:cs="Arial"/>
              </w:rPr>
            </w:pPr>
            <w:r w:rsidRPr="00163113">
              <w:rPr>
                <w:rFonts w:ascii="Arial" w:hAnsi="Arial" w:cs="Arial"/>
                <w:sz w:val="18"/>
                <w:szCs w:val="18"/>
              </w:rPr>
              <w:t xml:space="preserve">Furthermore, RAN2 has decided to include MCCH/MTCH search space configuration </w:t>
            </w:r>
            <w:r w:rsidRPr="00163113">
              <w:rPr>
                <w:rFonts w:ascii="Arial" w:hAnsi="Arial" w:cs="Arial"/>
                <w:bCs/>
                <w:sz w:val="18"/>
                <w:szCs w:val="18"/>
              </w:rPr>
              <w:t>of MBS broadcast</w:t>
            </w:r>
            <w:r w:rsidRPr="00163113">
              <w:rPr>
                <w:rFonts w:ascii="Arial" w:hAnsi="Arial" w:cs="Arial"/>
                <w:sz w:val="18"/>
                <w:szCs w:val="18"/>
              </w:rPr>
              <w:t xml:space="preserve"> as part of PDCCH-</w:t>
            </w:r>
            <w:proofErr w:type="spellStart"/>
            <w:r w:rsidRPr="00163113">
              <w:rPr>
                <w:rFonts w:ascii="Arial" w:hAnsi="Arial" w:cs="Arial"/>
                <w:sz w:val="18"/>
                <w:szCs w:val="18"/>
              </w:rPr>
              <w:t>ConfigCommon</w:t>
            </w:r>
            <w:proofErr w:type="spellEnd"/>
            <w:r w:rsidRPr="00163113">
              <w:rPr>
                <w:rFonts w:ascii="Arial" w:hAnsi="Arial" w:cs="Arial"/>
                <w:sz w:val="18"/>
                <w:szCs w:val="18"/>
              </w:rPr>
              <w:t xml:space="preserve">, to have a unified configuration framework for all common search spaces. </w:t>
            </w:r>
          </w:p>
        </w:tc>
      </w:tr>
    </w:tbl>
    <w:p w14:paraId="38CCA2F2" w14:textId="3EAB9F3F" w:rsidR="0019716F" w:rsidRDefault="00337E3F" w:rsidP="008C2052">
      <w:pPr>
        <w:spacing w:before="240"/>
        <w:rPr>
          <w:lang w:val="en-US"/>
        </w:rPr>
      </w:pPr>
      <w:r>
        <w:rPr>
          <w:lang w:val="en-US"/>
        </w:rPr>
        <w:lastRenderedPageBreak/>
        <w:t xml:space="preserve">As seen from the last agreement in 2.1.1, RAN1 has agreed that the frequency resources for CFR for MTCH/MCCH is configured via </w:t>
      </w:r>
      <w:proofErr w:type="spellStart"/>
      <w:r>
        <w:rPr>
          <w:lang w:val="en-US"/>
        </w:rPr>
        <w:t>SIBx</w:t>
      </w:r>
      <w:proofErr w:type="spellEnd"/>
      <w:r>
        <w:rPr>
          <w:lang w:val="en-US"/>
        </w:rPr>
        <w:t xml:space="preserve">. However, the agreement does not state whether the frequency resources for CFR for MTCH and MCCH are identical. Additionally, </w:t>
      </w:r>
      <w:r w:rsidR="00973C6C">
        <w:rPr>
          <w:lang w:val="en-US"/>
        </w:rPr>
        <w:t>we have also agreed that PDCCH-config and PDSCH</w:t>
      </w:r>
      <w:r w:rsidR="00873963">
        <w:rPr>
          <w:lang w:val="en-US"/>
        </w:rPr>
        <w:t>-config for MTCH can be configured by MCCH. In general</w:t>
      </w:r>
      <w:r w:rsidR="004761A6">
        <w:rPr>
          <w:lang w:val="en-US"/>
        </w:rPr>
        <w:t>,</w:t>
      </w:r>
      <w:r w:rsidR="00873963">
        <w:rPr>
          <w:lang w:val="en-US"/>
        </w:rPr>
        <w:t xml:space="preserve"> there may be a use case</w:t>
      </w:r>
      <w:r w:rsidR="00C1160C">
        <w:rPr>
          <w:lang w:val="en-US"/>
        </w:rPr>
        <w:t xml:space="preserve"> for MTCH having larger frequency resources than MCCH, therefore </w:t>
      </w:r>
      <w:r w:rsidR="001F0CE7">
        <w:rPr>
          <w:lang w:val="en-US"/>
        </w:rPr>
        <w:t>we propose to first agree on the following and then send an appropriate LS reply to RAN2</w:t>
      </w:r>
      <w:r w:rsidR="004761A6">
        <w:rPr>
          <w:lang w:val="en-US"/>
        </w:rPr>
        <w:t xml:space="preserve"> clarifying the RAN1 agreement.</w:t>
      </w:r>
    </w:p>
    <w:p w14:paraId="3AB7E523" w14:textId="73758421" w:rsidR="001F0CE7" w:rsidRPr="004761A6" w:rsidRDefault="002639A7" w:rsidP="001F0CE7">
      <w:pPr>
        <w:pStyle w:val="ListParagraph"/>
        <w:numPr>
          <w:ilvl w:val="0"/>
          <w:numId w:val="36"/>
        </w:numPr>
        <w:spacing w:before="240"/>
        <w:rPr>
          <w:b/>
          <w:bCs/>
        </w:rPr>
      </w:pPr>
      <w:r w:rsidRPr="004761A6">
        <w:rPr>
          <w:rFonts w:eastAsia="Batang"/>
          <w:b/>
          <w:bCs/>
          <w:lang w:val="en-GB" w:eastAsia="en-GB"/>
        </w:rPr>
        <w:t xml:space="preserve">The frequency resources of the CFR for MTCH can be configured by </w:t>
      </w:r>
      <w:proofErr w:type="spellStart"/>
      <w:r w:rsidRPr="004761A6">
        <w:rPr>
          <w:rFonts w:eastAsia="Batang"/>
          <w:b/>
          <w:bCs/>
          <w:lang w:val="en-GB" w:eastAsia="en-GB"/>
        </w:rPr>
        <w:t>SIBx</w:t>
      </w:r>
      <w:proofErr w:type="spellEnd"/>
      <w:r w:rsidRPr="004761A6">
        <w:rPr>
          <w:rFonts w:eastAsia="Batang"/>
          <w:b/>
          <w:bCs/>
          <w:lang w:val="en-GB" w:eastAsia="en-GB"/>
        </w:rPr>
        <w:t xml:space="preserve"> to the same or larger than that of the CFR for MCCH</w:t>
      </w:r>
      <w:r w:rsidR="004761A6" w:rsidRPr="004761A6">
        <w:rPr>
          <w:rFonts w:eastAsia="Batang"/>
          <w:b/>
          <w:bCs/>
          <w:lang w:val="en-GB" w:eastAsia="en-GB"/>
        </w:rPr>
        <w:t>.</w:t>
      </w:r>
    </w:p>
    <w:p w14:paraId="2FD4A067" w14:textId="00C4D18C" w:rsidR="00BF737F" w:rsidRDefault="00BF737F" w:rsidP="00B07BC1">
      <w:pPr>
        <w:pStyle w:val="bullet1"/>
        <w:numPr>
          <w:ilvl w:val="0"/>
          <w:numId w:val="0"/>
        </w:numPr>
        <w:rPr>
          <w:sz w:val="20"/>
          <w:szCs w:val="22"/>
          <w:lang w:val="en-US"/>
        </w:rPr>
      </w:pPr>
    </w:p>
    <w:p w14:paraId="48C36BB4" w14:textId="22EF15F6" w:rsidR="00B73645" w:rsidRDefault="00B73645" w:rsidP="00B73645">
      <w:pPr>
        <w:pStyle w:val="Heading2"/>
        <w:rPr>
          <w:sz w:val="28"/>
          <w:szCs w:val="18"/>
          <w:lang w:val="en-US"/>
        </w:rPr>
      </w:pPr>
      <w:r w:rsidRPr="00263538">
        <w:rPr>
          <w:sz w:val="28"/>
          <w:szCs w:val="18"/>
          <w:lang w:val="en-US"/>
        </w:rPr>
        <w:t>2.1</w:t>
      </w:r>
      <w:r>
        <w:rPr>
          <w:sz w:val="28"/>
          <w:szCs w:val="18"/>
          <w:lang w:val="en-US"/>
        </w:rPr>
        <w:t xml:space="preserve">. TRS Configuration </w:t>
      </w:r>
    </w:p>
    <w:tbl>
      <w:tblPr>
        <w:tblStyle w:val="TableGrid"/>
        <w:tblW w:w="0" w:type="auto"/>
        <w:tblLook w:val="04A0" w:firstRow="1" w:lastRow="0" w:firstColumn="1" w:lastColumn="0" w:noHBand="0" w:noVBand="1"/>
      </w:tblPr>
      <w:tblGrid>
        <w:gridCol w:w="10160"/>
      </w:tblGrid>
      <w:tr w:rsidR="00DC488E" w14:paraId="01B6E908" w14:textId="77777777" w:rsidTr="00DC488E">
        <w:tc>
          <w:tcPr>
            <w:tcW w:w="10160" w:type="dxa"/>
          </w:tcPr>
          <w:p w14:paraId="6116805E" w14:textId="2C45D68A" w:rsidR="00DC488E" w:rsidRPr="00F12D82" w:rsidRDefault="00DC488E" w:rsidP="00DC488E">
            <w:pPr>
              <w:spacing w:before="0" w:after="0"/>
              <w:rPr>
                <w:b/>
                <w:bCs/>
                <w:color w:val="000000" w:themeColor="text1"/>
              </w:rPr>
            </w:pPr>
            <w:r w:rsidRPr="00F12D82">
              <w:rPr>
                <w:b/>
                <w:bCs/>
                <w:color w:val="000000" w:themeColor="text1"/>
                <w:highlight w:val="yellow"/>
              </w:rPr>
              <w:t>Proposal 2.4-1v2</w:t>
            </w:r>
          </w:p>
          <w:p w14:paraId="3747734A" w14:textId="0E442635" w:rsidR="00DC488E" w:rsidRPr="00F12D82" w:rsidRDefault="00DC488E" w:rsidP="00DC488E">
            <w:pPr>
              <w:spacing w:before="0" w:after="0"/>
              <w:rPr>
                <w:rFonts w:eastAsia="Batang"/>
                <w:lang w:eastAsia="en-GB"/>
              </w:rPr>
            </w:pPr>
            <w:r w:rsidRPr="00F12D82">
              <w:rPr>
                <w:rFonts w:eastAsia="Batang"/>
                <w:lang w:eastAsia="en-GB"/>
              </w:rPr>
              <w:t xml:space="preserve">The TRS can be optionally configured for broadcast reception via </w:t>
            </w:r>
            <w:proofErr w:type="spellStart"/>
            <w:r w:rsidRPr="00F12D82">
              <w:rPr>
                <w:rFonts w:eastAsia="Batang"/>
                <w:lang w:eastAsia="en-GB"/>
              </w:rPr>
              <w:t>SIBx</w:t>
            </w:r>
            <w:proofErr w:type="spellEnd"/>
            <w:r w:rsidRPr="00F12D82">
              <w:rPr>
                <w:rFonts w:eastAsia="Batang"/>
                <w:lang w:eastAsia="en-GB"/>
              </w:rPr>
              <w:t>/MCCH. If TRS is configured,</w:t>
            </w:r>
          </w:p>
          <w:p w14:paraId="4B1E9FE5" w14:textId="77777777" w:rsidR="00DC488E" w:rsidRPr="00F12D82" w:rsidRDefault="00DC488E" w:rsidP="00DC488E">
            <w:pPr>
              <w:numPr>
                <w:ilvl w:val="0"/>
                <w:numId w:val="37"/>
              </w:numPr>
              <w:spacing w:before="0" w:after="0"/>
              <w:rPr>
                <w:rFonts w:eastAsia="Batang"/>
                <w:lang w:eastAsia="en-GB"/>
              </w:rPr>
            </w:pPr>
            <w:r w:rsidRPr="00F12D82">
              <w:rPr>
                <w:rFonts w:eastAsia="Batang"/>
                <w:lang w:eastAsia="en-GB"/>
              </w:rPr>
              <w:t>A list of periodic NZP CSI-RS resource sets for TRS can be configured for the same cell group serving one or more G-RNTIs.</w:t>
            </w:r>
          </w:p>
          <w:p w14:paraId="70E8EF00" w14:textId="77777777" w:rsidR="00DC488E" w:rsidRPr="00F12D82" w:rsidRDefault="00DC488E" w:rsidP="00DC488E">
            <w:pPr>
              <w:numPr>
                <w:ilvl w:val="0"/>
                <w:numId w:val="37"/>
              </w:numPr>
              <w:spacing w:before="0" w:after="0"/>
              <w:rPr>
                <w:rFonts w:eastAsia="Batang"/>
                <w:lang w:eastAsia="en-GB"/>
              </w:rPr>
            </w:pPr>
            <w:r w:rsidRPr="00F12D82">
              <w:rPr>
                <w:rFonts w:eastAsia="Batang"/>
                <w:lang w:eastAsia="en-GB"/>
              </w:rPr>
              <w:t xml:space="preserve">UE may assume that the DMRS for GC-PDCCH/PDSCH with G-RNTI(s) for MTCH is </w:t>
            </w:r>
            <w:proofErr w:type="spellStart"/>
            <w:r w:rsidRPr="00F12D82">
              <w:rPr>
                <w:rFonts w:eastAsia="Batang"/>
                <w:lang w:eastAsia="en-GB"/>
              </w:rPr>
              <w:t>QCL’d</w:t>
            </w:r>
            <w:proofErr w:type="spellEnd"/>
            <w:r w:rsidRPr="00F12D82">
              <w:rPr>
                <w:rFonts w:eastAsia="Batang"/>
                <w:lang w:eastAsia="en-GB"/>
              </w:rPr>
              <w:t xml:space="preserve"> with periodic TRS if configured for broadcast.</w:t>
            </w:r>
          </w:p>
          <w:p w14:paraId="40D33577" w14:textId="0621BFA6" w:rsidR="00DC488E" w:rsidRPr="00DC488E" w:rsidRDefault="00DC488E" w:rsidP="00DC488E">
            <w:pPr>
              <w:numPr>
                <w:ilvl w:val="1"/>
                <w:numId w:val="37"/>
              </w:numPr>
              <w:spacing w:before="0"/>
              <w:rPr>
                <w:rFonts w:eastAsia="Batang"/>
                <w:lang w:eastAsia="en-GB"/>
              </w:rPr>
            </w:pPr>
            <w:r w:rsidRPr="00F12D82">
              <w:rPr>
                <w:rFonts w:eastAsia="Batang"/>
                <w:lang w:eastAsia="en-GB"/>
              </w:rPr>
              <w:t>The TRS can be QCL-ed with SSB at least in terms of timing, doppler.</w:t>
            </w:r>
          </w:p>
        </w:tc>
      </w:tr>
    </w:tbl>
    <w:p w14:paraId="19A7A707" w14:textId="3A0912DD" w:rsidR="004761A6" w:rsidRPr="006D435B" w:rsidRDefault="00AC2D43" w:rsidP="00AC2D43">
      <w:pPr>
        <w:pStyle w:val="bullet1"/>
        <w:numPr>
          <w:ilvl w:val="0"/>
          <w:numId w:val="0"/>
        </w:numPr>
        <w:spacing w:before="240"/>
        <w:rPr>
          <w:sz w:val="20"/>
          <w:szCs w:val="22"/>
          <w:lang w:val="en-US"/>
        </w:rPr>
      </w:pPr>
      <w:r>
        <w:rPr>
          <w:sz w:val="20"/>
          <w:szCs w:val="22"/>
          <w:lang w:val="en-US"/>
        </w:rPr>
        <w:t xml:space="preserve">We do not think we need TRS configuration for broadcast and in general do not support this proposal at this late stage of this work item. Introducing </w:t>
      </w:r>
      <w:r w:rsidR="001652CC">
        <w:rPr>
          <w:sz w:val="20"/>
          <w:szCs w:val="22"/>
          <w:lang w:val="en-US"/>
        </w:rPr>
        <w:t xml:space="preserve">TRS can lead to other related work which is not acceptable. </w:t>
      </w:r>
      <w:r w:rsidR="00E55F37">
        <w:rPr>
          <w:sz w:val="20"/>
          <w:szCs w:val="22"/>
          <w:lang w:val="en-US"/>
        </w:rPr>
        <w:t xml:space="preserve">For broadcast we can assume </w:t>
      </w:r>
      <w:r w:rsidR="00776390">
        <w:rPr>
          <w:sz w:val="20"/>
          <w:szCs w:val="22"/>
          <w:lang w:val="en-US"/>
        </w:rPr>
        <w:t xml:space="preserve">that CORESET#0 provides the default beam which is </w:t>
      </w:r>
      <w:proofErr w:type="spellStart"/>
      <w:r w:rsidR="00776390">
        <w:rPr>
          <w:sz w:val="20"/>
          <w:szCs w:val="22"/>
          <w:lang w:val="en-US"/>
        </w:rPr>
        <w:t>QCL’d</w:t>
      </w:r>
      <w:proofErr w:type="spellEnd"/>
      <w:r w:rsidR="00776390">
        <w:rPr>
          <w:sz w:val="20"/>
          <w:szCs w:val="22"/>
          <w:lang w:val="en-US"/>
        </w:rPr>
        <w:t xml:space="preserve"> with an SSB. </w:t>
      </w: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2ECC69CA" w:rsidR="00133192" w:rsidRDefault="00133192" w:rsidP="00380677">
      <w:pPr>
        <w:rPr>
          <w:lang w:val="en-US"/>
        </w:rPr>
      </w:pPr>
      <w:r w:rsidRPr="00270B30">
        <w:rPr>
          <w:lang w:val="en-US"/>
        </w:rPr>
        <w:t>In this paper</w:t>
      </w:r>
      <w:r w:rsidR="00843304">
        <w:rPr>
          <w:lang w:val="en-US"/>
        </w:rPr>
        <w:t xml:space="preserve"> we have provided a CR for TS 38.213 to address CFR configuration for broadcast. </w:t>
      </w: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5713E77F" w:rsidR="006E21A5"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2"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2"/>
    </w:p>
    <w:p w14:paraId="31A4E51B" w14:textId="21CCD725" w:rsidR="00D4360A" w:rsidRPr="008031D4" w:rsidRDefault="00AD72DB"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Pr>
          <w:rFonts w:ascii="Times New Roman" w:eastAsia="SimSun" w:hAnsi="Times New Roman" w:cs="Times New Roman"/>
          <w:color w:val="auto"/>
          <w:sz w:val="20"/>
          <w:szCs w:val="20"/>
          <w:lang w:eastAsia="zh-CN"/>
        </w:rPr>
        <w:t>R1-</w:t>
      </w:r>
      <w:r w:rsidR="00F63BCD">
        <w:rPr>
          <w:rFonts w:ascii="Times New Roman" w:eastAsia="SimSun" w:hAnsi="Times New Roman" w:cs="Times New Roman"/>
          <w:color w:val="auto"/>
          <w:sz w:val="20"/>
          <w:szCs w:val="20"/>
          <w:lang w:eastAsia="zh-CN"/>
        </w:rPr>
        <w:t>2200882,</w:t>
      </w:r>
      <w:r>
        <w:rPr>
          <w:rFonts w:ascii="Times New Roman" w:eastAsia="SimSun" w:hAnsi="Times New Roman" w:cs="Times New Roman"/>
          <w:color w:val="auto"/>
          <w:sz w:val="20"/>
          <w:szCs w:val="20"/>
          <w:lang w:eastAsia="zh-CN"/>
        </w:rPr>
        <w:t xml:space="preserve"> LS on MBS Issues</w:t>
      </w:r>
      <w:r w:rsidR="00F63BCD">
        <w:rPr>
          <w:rFonts w:ascii="Times New Roman" w:eastAsia="SimSun" w:hAnsi="Times New Roman" w:cs="Times New Roman"/>
          <w:color w:val="auto"/>
          <w:sz w:val="20"/>
          <w:szCs w:val="20"/>
          <w:lang w:eastAsia="zh-CN"/>
        </w:rPr>
        <w:t>, 3GPP RAN WG2 116</w:t>
      </w:r>
      <w:r w:rsidR="008C2052">
        <w:rPr>
          <w:rFonts w:ascii="Times New Roman" w:eastAsia="SimSun" w:hAnsi="Times New Roman" w:cs="Times New Roman"/>
          <w:color w:val="auto"/>
          <w:sz w:val="20"/>
          <w:szCs w:val="20"/>
          <w:lang w:eastAsia="zh-CN"/>
        </w:rPr>
        <w:t>-</w:t>
      </w:r>
      <w:r w:rsidR="00F63BCD">
        <w:rPr>
          <w:rFonts w:ascii="Times New Roman" w:eastAsia="SimSun" w:hAnsi="Times New Roman" w:cs="Times New Roman"/>
          <w:color w:val="auto"/>
          <w:sz w:val="20"/>
          <w:szCs w:val="20"/>
          <w:lang w:eastAsia="zh-CN"/>
        </w:rPr>
        <w:t>bis Electronic, January 2022</w:t>
      </w:r>
    </w:p>
    <w:p w14:paraId="178F61E9" w14:textId="77777777" w:rsidR="00763064" w:rsidRPr="00091D38" w:rsidRDefault="00763064" w:rsidP="00763064">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47541449"/>
      <w:r w:rsidRPr="00091D38">
        <w:rPr>
          <w:rFonts w:ascii="Times New Roman" w:eastAsia="SimSun" w:hAnsi="Times New Roman" w:cs="Times New Roman"/>
          <w:color w:val="auto"/>
          <w:sz w:val="20"/>
          <w:szCs w:val="20"/>
          <w:lang w:eastAsia="zh-CN"/>
        </w:rPr>
        <w:t>3GPP TS 38.211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Channels and Modulation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3"/>
    </w:p>
    <w:p w14:paraId="72ABE84E" w14:textId="77777777" w:rsidR="00763064" w:rsidRPr="00091D38" w:rsidRDefault="00763064" w:rsidP="00763064">
      <w:pPr>
        <w:pStyle w:val="Default"/>
        <w:numPr>
          <w:ilvl w:val="0"/>
          <w:numId w:val="4"/>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Multiplexing and Channel Coding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47FBEF2C" w14:textId="77777777" w:rsidR="00763064" w:rsidRPr="00091D38" w:rsidRDefault="00763064" w:rsidP="00763064">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47538706"/>
      <w:r w:rsidRPr="00091D38">
        <w:rPr>
          <w:rFonts w:ascii="Times New Roman" w:eastAsia="SimSun" w:hAnsi="Times New Roman" w:cs="Times New Roman"/>
          <w:color w:val="auto"/>
          <w:sz w:val="20"/>
          <w:szCs w:val="20"/>
          <w:lang w:eastAsia="zh-CN"/>
        </w:rPr>
        <w:t>3GPP TS 38.213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Control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4"/>
    </w:p>
    <w:p w14:paraId="2713481F" w14:textId="77777777" w:rsidR="00763064" w:rsidRPr="00091D38" w:rsidRDefault="00763064" w:rsidP="00763064">
      <w:pPr>
        <w:pStyle w:val="Default"/>
        <w:numPr>
          <w:ilvl w:val="0"/>
          <w:numId w:val="4"/>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38.214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Data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3048EBE0" w:rsidR="000B6A82" w:rsidRDefault="000B6A82" w:rsidP="00380677"/>
    <w:sectPr w:rsidR="000B6A82" w:rsidSect="0038067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C8426" w14:textId="77777777" w:rsidR="000C4960" w:rsidRDefault="000C4960" w:rsidP="00380677">
      <w:pPr>
        <w:spacing w:after="0"/>
      </w:pPr>
      <w:r>
        <w:separator/>
      </w:r>
    </w:p>
  </w:endnote>
  <w:endnote w:type="continuationSeparator" w:id="0">
    <w:p w14:paraId="45550084" w14:textId="77777777" w:rsidR="000C4960" w:rsidRDefault="000C4960"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F640D1"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CFAFF" w14:textId="77777777" w:rsidR="00D705FE" w:rsidRDefault="00D70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85A2" w14:textId="77777777" w:rsidR="000C4960" w:rsidRDefault="000C4960" w:rsidP="00380677">
      <w:pPr>
        <w:spacing w:after="0"/>
      </w:pPr>
      <w:r>
        <w:separator/>
      </w:r>
    </w:p>
  </w:footnote>
  <w:footnote w:type="continuationSeparator" w:id="0">
    <w:p w14:paraId="387E4A04" w14:textId="77777777" w:rsidR="000C4960" w:rsidRDefault="000C4960"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1B1E1" w14:textId="77777777" w:rsidR="00D705FE" w:rsidRDefault="00D70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3B715" w14:textId="77777777" w:rsidR="00D705FE" w:rsidRDefault="00D705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023B4F"/>
    <w:multiLevelType w:val="hybridMultilevel"/>
    <w:tmpl w:val="CD223E1C"/>
    <w:lvl w:ilvl="0" w:tplc="180261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 w15:restartNumberingAfterBreak="0">
    <w:nsid w:val="0BB54DBD"/>
    <w:multiLevelType w:val="hybridMultilevel"/>
    <w:tmpl w:val="A484EFA8"/>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DD5725"/>
    <w:multiLevelType w:val="hybridMultilevel"/>
    <w:tmpl w:val="5486F472"/>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AA3BC8"/>
    <w:multiLevelType w:val="hybridMultilevel"/>
    <w:tmpl w:val="4D9CD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207260"/>
    <w:multiLevelType w:val="hybridMultilevel"/>
    <w:tmpl w:val="F13AC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2B68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28F4961"/>
    <w:multiLevelType w:val="multilevel"/>
    <w:tmpl w:val="93021A80"/>
    <w:lvl w:ilvl="0">
      <w:start w:val="2"/>
      <w:numFmt w:val="decimal"/>
      <w:lvlText w:val="%1"/>
      <w:lvlJc w:val="left"/>
      <w:pPr>
        <w:ind w:left="450" w:hanging="450"/>
      </w:pPr>
      <w:rPr>
        <w:rFonts w:hint="default"/>
        <w:b w:val="0"/>
        <w:i w:val="0"/>
        <w:sz w:val="32"/>
      </w:rPr>
    </w:lvl>
    <w:lvl w:ilvl="1">
      <w:start w:val="2"/>
      <w:numFmt w:val="decimal"/>
      <w:lvlText w:val="%1.%2"/>
      <w:lvlJc w:val="left"/>
      <w:pPr>
        <w:ind w:left="450" w:hanging="450"/>
      </w:pPr>
      <w:rPr>
        <w:rFonts w:hint="default"/>
        <w:b w:val="0"/>
        <w:i w:val="0"/>
        <w:sz w:val="32"/>
      </w:rPr>
    </w:lvl>
    <w:lvl w:ilvl="2">
      <w:start w:val="1"/>
      <w:numFmt w:val="decimal"/>
      <w:lvlText w:val="%1.%2.%3"/>
      <w:lvlJc w:val="left"/>
      <w:pPr>
        <w:ind w:left="720" w:hanging="720"/>
      </w:pPr>
      <w:rPr>
        <w:rFonts w:hint="default"/>
        <w:b w:val="0"/>
        <w:i w:val="0"/>
        <w:sz w:val="32"/>
      </w:rPr>
    </w:lvl>
    <w:lvl w:ilvl="3">
      <w:start w:val="1"/>
      <w:numFmt w:val="decimal"/>
      <w:lvlText w:val="%1.%2.%3.%4"/>
      <w:lvlJc w:val="left"/>
      <w:pPr>
        <w:ind w:left="720" w:hanging="720"/>
      </w:pPr>
      <w:rPr>
        <w:rFonts w:hint="default"/>
        <w:b w:val="0"/>
        <w:i w:val="0"/>
        <w:sz w:val="32"/>
      </w:rPr>
    </w:lvl>
    <w:lvl w:ilvl="4">
      <w:start w:val="1"/>
      <w:numFmt w:val="decimal"/>
      <w:lvlText w:val="%1.%2.%3.%4.%5"/>
      <w:lvlJc w:val="left"/>
      <w:pPr>
        <w:ind w:left="1080" w:hanging="1080"/>
      </w:pPr>
      <w:rPr>
        <w:rFonts w:hint="default"/>
        <w:b w:val="0"/>
        <w:i w:val="0"/>
        <w:sz w:val="32"/>
      </w:rPr>
    </w:lvl>
    <w:lvl w:ilvl="5">
      <w:start w:val="1"/>
      <w:numFmt w:val="decimal"/>
      <w:lvlText w:val="%1.%2.%3.%4.%5.%6"/>
      <w:lvlJc w:val="left"/>
      <w:pPr>
        <w:ind w:left="1080" w:hanging="1080"/>
      </w:pPr>
      <w:rPr>
        <w:rFonts w:hint="default"/>
        <w:b w:val="0"/>
        <w:i w:val="0"/>
        <w:sz w:val="32"/>
      </w:rPr>
    </w:lvl>
    <w:lvl w:ilvl="6">
      <w:start w:val="1"/>
      <w:numFmt w:val="decimal"/>
      <w:lvlText w:val="%1.%2.%3.%4.%5.%6.%7"/>
      <w:lvlJc w:val="left"/>
      <w:pPr>
        <w:ind w:left="1440" w:hanging="1440"/>
      </w:pPr>
      <w:rPr>
        <w:rFonts w:hint="default"/>
        <w:b w:val="0"/>
        <w:i w:val="0"/>
        <w:sz w:val="32"/>
      </w:rPr>
    </w:lvl>
    <w:lvl w:ilvl="7">
      <w:start w:val="1"/>
      <w:numFmt w:val="decimal"/>
      <w:lvlText w:val="%1.%2.%3.%4.%5.%6.%7.%8"/>
      <w:lvlJc w:val="left"/>
      <w:pPr>
        <w:ind w:left="1440" w:hanging="1440"/>
      </w:pPr>
      <w:rPr>
        <w:rFonts w:hint="default"/>
        <w:b w:val="0"/>
        <w:i w:val="0"/>
        <w:sz w:val="32"/>
      </w:rPr>
    </w:lvl>
    <w:lvl w:ilvl="8">
      <w:start w:val="1"/>
      <w:numFmt w:val="decimal"/>
      <w:lvlText w:val="%1.%2.%3.%4.%5.%6.%7.%8.%9"/>
      <w:lvlJc w:val="left"/>
      <w:pPr>
        <w:ind w:left="1800" w:hanging="1800"/>
      </w:pPr>
      <w:rPr>
        <w:rFonts w:hint="default"/>
        <w:b w:val="0"/>
        <w:i w:val="0"/>
        <w:sz w:val="32"/>
      </w:rPr>
    </w:lvl>
  </w:abstractNum>
  <w:abstractNum w:abstractNumId="3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5712F5"/>
    <w:multiLevelType w:val="hybridMultilevel"/>
    <w:tmpl w:val="04EAEC1E"/>
    <w:lvl w:ilvl="0" w:tplc="21981754">
      <w:start w:val="1"/>
      <w:numFmt w:val="decimal"/>
      <w:lvlText w:val="Observation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7"/>
  </w:num>
  <w:num w:numId="3">
    <w:abstractNumId w:val="24"/>
  </w:num>
  <w:num w:numId="4">
    <w:abstractNumId w:val="36"/>
  </w:num>
  <w:num w:numId="5">
    <w:abstractNumId w:val="7"/>
  </w:num>
  <w:num w:numId="6">
    <w:abstractNumId w:val="35"/>
  </w:num>
  <w:num w:numId="7">
    <w:abstractNumId w:val="22"/>
  </w:num>
  <w:num w:numId="8">
    <w:abstractNumId w:val="13"/>
  </w:num>
  <w:num w:numId="9">
    <w:abstractNumId w:val="25"/>
  </w:num>
  <w:num w:numId="10">
    <w:abstractNumId w:val="18"/>
  </w:num>
  <w:num w:numId="11">
    <w:abstractNumId w:val="8"/>
  </w:num>
  <w:num w:numId="12">
    <w:abstractNumId w:val="19"/>
  </w:num>
  <w:num w:numId="13">
    <w:abstractNumId w:val="14"/>
  </w:num>
  <w:num w:numId="14">
    <w:abstractNumId w:val="5"/>
  </w:num>
  <w:num w:numId="15">
    <w:abstractNumId w:val="0"/>
  </w:num>
  <w:num w:numId="16">
    <w:abstractNumId w:val="11"/>
  </w:num>
  <w:num w:numId="17">
    <w:abstractNumId w:val="30"/>
  </w:num>
  <w:num w:numId="18">
    <w:abstractNumId w:val="21"/>
  </w:num>
  <w:num w:numId="19">
    <w:abstractNumId w:val="6"/>
  </w:num>
  <w:num w:numId="20">
    <w:abstractNumId w:val="12"/>
  </w:num>
  <w:num w:numId="21">
    <w:abstractNumId w:val="32"/>
  </w:num>
  <w:num w:numId="22">
    <w:abstractNumId w:val="26"/>
  </w:num>
  <w:num w:numId="23">
    <w:abstractNumId w:val="17"/>
  </w:num>
  <w:num w:numId="24">
    <w:abstractNumId w:val="10"/>
  </w:num>
  <w:num w:numId="25">
    <w:abstractNumId w:val="20"/>
  </w:num>
  <w:num w:numId="26">
    <w:abstractNumId w:val="29"/>
  </w:num>
  <w:num w:numId="27">
    <w:abstractNumId w:val="4"/>
  </w:num>
  <w:num w:numId="28">
    <w:abstractNumId w:val="33"/>
  </w:num>
  <w:num w:numId="29">
    <w:abstractNumId w:val="1"/>
  </w:num>
  <w:num w:numId="30">
    <w:abstractNumId w:val="15"/>
  </w:num>
  <w:num w:numId="31">
    <w:abstractNumId w:val="31"/>
  </w:num>
  <w:num w:numId="32">
    <w:abstractNumId w:val="28"/>
  </w:num>
  <w:num w:numId="33">
    <w:abstractNumId w:val="3"/>
  </w:num>
  <w:num w:numId="34">
    <w:abstractNumId w:val="34"/>
  </w:num>
  <w:num w:numId="35">
    <w:abstractNumId w:val="23"/>
  </w:num>
  <w:num w:numId="36">
    <w:abstractNumId w:val="16"/>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123DD"/>
    <w:rsid w:val="00030A2E"/>
    <w:rsid w:val="00030F39"/>
    <w:rsid w:val="00031530"/>
    <w:rsid w:val="0003347F"/>
    <w:rsid w:val="00035651"/>
    <w:rsid w:val="00035F65"/>
    <w:rsid w:val="000408B2"/>
    <w:rsid w:val="0004116C"/>
    <w:rsid w:val="000558E7"/>
    <w:rsid w:val="00065921"/>
    <w:rsid w:val="000763F1"/>
    <w:rsid w:val="000A59C5"/>
    <w:rsid w:val="000A5B6E"/>
    <w:rsid w:val="000B6A82"/>
    <w:rsid w:val="000C3BA6"/>
    <w:rsid w:val="000C4960"/>
    <w:rsid w:val="000C5C63"/>
    <w:rsid w:val="000D205E"/>
    <w:rsid w:val="000E6007"/>
    <w:rsid w:val="000F0785"/>
    <w:rsid w:val="000F6845"/>
    <w:rsid w:val="001076F8"/>
    <w:rsid w:val="00114585"/>
    <w:rsid w:val="00126EDB"/>
    <w:rsid w:val="001270A0"/>
    <w:rsid w:val="00130A72"/>
    <w:rsid w:val="00131250"/>
    <w:rsid w:val="00133192"/>
    <w:rsid w:val="001412FE"/>
    <w:rsid w:val="00151268"/>
    <w:rsid w:val="0015439E"/>
    <w:rsid w:val="00163113"/>
    <w:rsid w:val="001652CC"/>
    <w:rsid w:val="00191218"/>
    <w:rsid w:val="0019716F"/>
    <w:rsid w:val="001A3E2A"/>
    <w:rsid w:val="001A4669"/>
    <w:rsid w:val="001B1095"/>
    <w:rsid w:val="001B1921"/>
    <w:rsid w:val="001C0E74"/>
    <w:rsid w:val="001C148C"/>
    <w:rsid w:val="001D790E"/>
    <w:rsid w:val="001E6BC4"/>
    <w:rsid w:val="001F0CE7"/>
    <w:rsid w:val="002075FD"/>
    <w:rsid w:val="00213A20"/>
    <w:rsid w:val="0024241E"/>
    <w:rsid w:val="0024407E"/>
    <w:rsid w:val="0024536B"/>
    <w:rsid w:val="00253FFC"/>
    <w:rsid w:val="0025581F"/>
    <w:rsid w:val="00256694"/>
    <w:rsid w:val="002639A7"/>
    <w:rsid w:val="00270B30"/>
    <w:rsid w:val="0028494F"/>
    <w:rsid w:val="0029045B"/>
    <w:rsid w:val="00297D6F"/>
    <w:rsid w:val="002B6D50"/>
    <w:rsid w:val="002C169F"/>
    <w:rsid w:val="002C64A8"/>
    <w:rsid w:val="002D2FF1"/>
    <w:rsid w:val="002D5F03"/>
    <w:rsid w:val="002D70B2"/>
    <w:rsid w:val="002E4352"/>
    <w:rsid w:val="002E4720"/>
    <w:rsid w:val="002E51B9"/>
    <w:rsid w:val="002E5FFC"/>
    <w:rsid w:val="00301928"/>
    <w:rsid w:val="0030302A"/>
    <w:rsid w:val="00306906"/>
    <w:rsid w:val="003112F9"/>
    <w:rsid w:val="003122F6"/>
    <w:rsid w:val="003204A5"/>
    <w:rsid w:val="00327133"/>
    <w:rsid w:val="00337E3F"/>
    <w:rsid w:val="0034491A"/>
    <w:rsid w:val="0036054E"/>
    <w:rsid w:val="00380677"/>
    <w:rsid w:val="00382568"/>
    <w:rsid w:val="00390C6D"/>
    <w:rsid w:val="003C30D0"/>
    <w:rsid w:val="003C4A8B"/>
    <w:rsid w:val="003F05B1"/>
    <w:rsid w:val="003F225F"/>
    <w:rsid w:val="003F3EEA"/>
    <w:rsid w:val="00416B4C"/>
    <w:rsid w:val="00475A3D"/>
    <w:rsid w:val="00475DF3"/>
    <w:rsid w:val="004761A6"/>
    <w:rsid w:val="00477434"/>
    <w:rsid w:val="0048555E"/>
    <w:rsid w:val="004954F8"/>
    <w:rsid w:val="00497E97"/>
    <w:rsid w:val="004B7621"/>
    <w:rsid w:val="004C3A89"/>
    <w:rsid w:val="004C3AF4"/>
    <w:rsid w:val="004C6BE4"/>
    <w:rsid w:val="004D504A"/>
    <w:rsid w:val="004E3915"/>
    <w:rsid w:val="004F3EBD"/>
    <w:rsid w:val="005128BE"/>
    <w:rsid w:val="00520270"/>
    <w:rsid w:val="005655A1"/>
    <w:rsid w:val="00566708"/>
    <w:rsid w:val="0056791A"/>
    <w:rsid w:val="0058727D"/>
    <w:rsid w:val="00594600"/>
    <w:rsid w:val="005A4A99"/>
    <w:rsid w:val="005A4B06"/>
    <w:rsid w:val="005A58A4"/>
    <w:rsid w:val="005B2C66"/>
    <w:rsid w:val="005C01C0"/>
    <w:rsid w:val="005C238B"/>
    <w:rsid w:val="005C2C02"/>
    <w:rsid w:val="005C49A6"/>
    <w:rsid w:val="005E57C0"/>
    <w:rsid w:val="006002B1"/>
    <w:rsid w:val="0060316D"/>
    <w:rsid w:val="00631007"/>
    <w:rsid w:val="00631C63"/>
    <w:rsid w:val="00650D78"/>
    <w:rsid w:val="00651A2A"/>
    <w:rsid w:val="006548F7"/>
    <w:rsid w:val="00665F20"/>
    <w:rsid w:val="00682BD2"/>
    <w:rsid w:val="00687B00"/>
    <w:rsid w:val="00687EB7"/>
    <w:rsid w:val="00690403"/>
    <w:rsid w:val="006A7804"/>
    <w:rsid w:val="006A7DAD"/>
    <w:rsid w:val="006B227F"/>
    <w:rsid w:val="006C0CC0"/>
    <w:rsid w:val="006C2352"/>
    <w:rsid w:val="006D3443"/>
    <w:rsid w:val="006D435B"/>
    <w:rsid w:val="006E21A5"/>
    <w:rsid w:val="006E534C"/>
    <w:rsid w:val="006F164D"/>
    <w:rsid w:val="006F7C2E"/>
    <w:rsid w:val="00707274"/>
    <w:rsid w:val="00711E23"/>
    <w:rsid w:val="0072502C"/>
    <w:rsid w:val="007334F2"/>
    <w:rsid w:val="007369B7"/>
    <w:rsid w:val="00743B31"/>
    <w:rsid w:val="00743FB6"/>
    <w:rsid w:val="00763064"/>
    <w:rsid w:val="0076764C"/>
    <w:rsid w:val="00776390"/>
    <w:rsid w:val="00783CC4"/>
    <w:rsid w:val="00791335"/>
    <w:rsid w:val="00791E5B"/>
    <w:rsid w:val="007A3407"/>
    <w:rsid w:val="007C08F2"/>
    <w:rsid w:val="007C3655"/>
    <w:rsid w:val="007C49C7"/>
    <w:rsid w:val="007C503A"/>
    <w:rsid w:val="007C77D0"/>
    <w:rsid w:val="007E2C1C"/>
    <w:rsid w:val="00801BBB"/>
    <w:rsid w:val="008031D4"/>
    <w:rsid w:val="00803A13"/>
    <w:rsid w:val="00806179"/>
    <w:rsid w:val="00817E2D"/>
    <w:rsid w:val="008216F5"/>
    <w:rsid w:val="00832135"/>
    <w:rsid w:val="00843304"/>
    <w:rsid w:val="00844215"/>
    <w:rsid w:val="008555E6"/>
    <w:rsid w:val="00866FB0"/>
    <w:rsid w:val="00873963"/>
    <w:rsid w:val="00873B3F"/>
    <w:rsid w:val="00877863"/>
    <w:rsid w:val="00880CB4"/>
    <w:rsid w:val="008A1C36"/>
    <w:rsid w:val="008B3A25"/>
    <w:rsid w:val="008B5A81"/>
    <w:rsid w:val="008C0349"/>
    <w:rsid w:val="008C2052"/>
    <w:rsid w:val="008D3BD0"/>
    <w:rsid w:val="008F4D5C"/>
    <w:rsid w:val="009043C8"/>
    <w:rsid w:val="009113B8"/>
    <w:rsid w:val="00923224"/>
    <w:rsid w:val="00923D00"/>
    <w:rsid w:val="009245B9"/>
    <w:rsid w:val="0093339B"/>
    <w:rsid w:val="00934896"/>
    <w:rsid w:val="00936B94"/>
    <w:rsid w:val="009407BB"/>
    <w:rsid w:val="009424F7"/>
    <w:rsid w:val="00973C6C"/>
    <w:rsid w:val="0097653B"/>
    <w:rsid w:val="00985759"/>
    <w:rsid w:val="009B07C2"/>
    <w:rsid w:val="009B1C9C"/>
    <w:rsid w:val="009B20DA"/>
    <w:rsid w:val="009B6615"/>
    <w:rsid w:val="009C61B1"/>
    <w:rsid w:val="009D4B53"/>
    <w:rsid w:val="009E49B4"/>
    <w:rsid w:val="009F004B"/>
    <w:rsid w:val="009F1FA3"/>
    <w:rsid w:val="009F2C91"/>
    <w:rsid w:val="00A109AD"/>
    <w:rsid w:val="00A15C69"/>
    <w:rsid w:val="00A22252"/>
    <w:rsid w:val="00A232C4"/>
    <w:rsid w:val="00A23ED8"/>
    <w:rsid w:val="00A40EC9"/>
    <w:rsid w:val="00A52209"/>
    <w:rsid w:val="00A561AD"/>
    <w:rsid w:val="00A67801"/>
    <w:rsid w:val="00A93625"/>
    <w:rsid w:val="00A95694"/>
    <w:rsid w:val="00AA1DFE"/>
    <w:rsid w:val="00AB1A96"/>
    <w:rsid w:val="00AB3647"/>
    <w:rsid w:val="00AB5454"/>
    <w:rsid w:val="00AC2D43"/>
    <w:rsid w:val="00AC3AD0"/>
    <w:rsid w:val="00AD72DB"/>
    <w:rsid w:val="00B0518D"/>
    <w:rsid w:val="00B07BC1"/>
    <w:rsid w:val="00B20CB6"/>
    <w:rsid w:val="00B25304"/>
    <w:rsid w:val="00B3756C"/>
    <w:rsid w:val="00B538D8"/>
    <w:rsid w:val="00B5618C"/>
    <w:rsid w:val="00B61739"/>
    <w:rsid w:val="00B64DAF"/>
    <w:rsid w:val="00B73645"/>
    <w:rsid w:val="00B76793"/>
    <w:rsid w:val="00B77CF0"/>
    <w:rsid w:val="00B846FF"/>
    <w:rsid w:val="00B8787A"/>
    <w:rsid w:val="00BA6C30"/>
    <w:rsid w:val="00BB362B"/>
    <w:rsid w:val="00BC0742"/>
    <w:rsid w:val="00BD590A"/>
    <w:rsid w:val="00BD7824"/>
    <w:rsid w:val="00BE2B35"/>
    <w:rsid w:val="00BE589C"/>
    <w:rsid w:val="00BF3D15"/>
    <w:rsid w:val="00BF737F"/>
    <w:rsid w:val="00C06A55"/>
    <w:rsid w:val="00C1160C"/>
    <w:rsid w:val="00C153B3"/>
    <w:rsid w:val="00C25BCB"/>
    <w:rsid w:val="00C3074A"/>
    <w:rsid w:val="00C403CC"/>
    <w:rsid w:val="00C4636C"/>
    <w:rsid w:val="00C53772"/>
    <w:rsid w:val="00C543F6"/>
    <w:rsid w:val="00C5619B"/>
    <w:rsid w:val="00C65AA1"/>
    <w:rsid w:val="00C66B1E"/>
    <w:rsid w:val="00C66EA7"/>
    <w:rsid w:val="00C6793F"/>
    <w:rsid w:val="00C71A47"/>
    <w:rsid w:val="00C72A9F"/>
    <w:rsid w:val="00C75EAC"/>
    <w:rsid w:val="00C83821"/>
    <w:rsid w:val="00C8546F"/>
    <w:rsid w:val="00CA30C6"/>
    <w:rsid w:val="00CA49A4"/>
    <w:rsid w:val="00CD141F"/>
    <w:rsid w:val="00CD6072"/>
    <w:rsid w:val="00CE1528"/>
    <w:rsid w:val="00CE7957"/>
    <w:rsid w:val="00CF74E3"/>
    <w:rsid w:val="00D1386D"/>
    <w:rsid w:val="00D34277"/>
    <w:rsid w:val="00D40837"/>
    <w:rsid w:val="00D43583"/>
    <w:rsid w:val="00D4360A"/>
    <w:rsid w:val="00D56854"/>
    <w:rsid w:val="00D61AA3"/>
    <w:rsid w:val="00D705FE"/>
    <w:rsid w:val="00D776B3"/>
    <w:rsid w:val="00D938AC"/>
    <w:rsid w:val="00D97E6C"/>
    <w:rsid w:val="00DA5B2F"/>
    <w:rsid w:val="00DA65DC"/>
    <w:rsid w:val="00DB2717"/>
    <w:rsid w:val="00DB631B"/>
    <w:rsid w:val="00DB6C9A"/>
    <w:rsid w:val="00DB779F"/>
    <w:rsid w:val="00DC41F7"/>
    <w:rsid w:val="00DC488E"/>
    <w:rsid w:val="00DD0AEC"/>
    <w:rsid w:val="00DD3771"/>
    <w:rsid w:val="00DD5152"/>
    <w:rsid w:val="00DE34AC"/>
    <w:rsid w:val="00DF03B5"/>
    <w:rsid w:val="00DF103C"/>
    <w:rsid w:val="00E0420F"/>
    <w:rsid w:val="00E061A7"/>
    <w:rsid w:val="00E122D5"/>
    <w:rsid w:val="00E13831"/>
    <w:rsid w:val="00E141B9"/>
    <w:rsid w:val="00E3353D"/>
    <w:rsid w:val="00E43D7D"/>
    <w:rsid w:val="00E54007"/>
    <w:rsid w:val="00E55F37"/>
    <w:rsid w:val="00E626AF"/>
    <w:rsid w:val="00E7355E"/>
    <w:rsid w:val="00E8512E"/>
    <w:rsid w:val="00E859AB"/>
    <w:rsid w:val="00E86404"/>
    <w:rsid w:val="00E92C1D"/>
    <w:rsid w:val="00E96E7B"/>
    <w:rsid w:val="00EB794B"/>
    <w:rsid w:val="00EE3630"/>
    <w:rsid w:val="00F0628A"/>
    <w:rsid w:val="00F06B0D"/>
    <w:rsid w:val="00F164D3"/>
    <w:rsid w:val="00F20F45"/>
    <w:rsid w:val="00F42DE9"/>
    <w:rsid w:val="00F5245E"/>
    <w:rsid w:val="00F52CED"/>
    <w:rsid w:val="00F60114"/>
    <w:rsid w:val="00F60CFC"/>
    <w:rsid w:val="00F63BCD"/>
    <w:rsid w:val="00F63E93"/>
    <w:rsid w:val="00F640D1"/>
    <w:rsid w:val="00F71369"/>
    <w:rsid w:val="00F744A4"/>
    <w:rsid w:val="00F800D5"/>
    <w:rsid w:val="00F836AA"/>
    <w:rsid w:val="00F8630C"/>
    <w:rsid w:val="00F91D85"/>
    <w:rsid w:val="00F94952"/>
    <w:rsid w:val="00FA275B"/>
    <w:rsid w:val="00FB672A"/>
    <w:rsid w:val="00FB798F"/>
    <w:rsid w:val="00FC15A1"/>
    <w:rsid w:val="00FD0DAD"/>
    <w:rsid w:val="00FD2198"/>
    <w:rsid w:val="00FD2F45"/>
    <w:rsid w:val="00FF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9569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3074A"/>
    <w:pPr>
      <w:numPr>
        <w:numId w:val="11"/>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80677"/>
    <w:pPr>
      <w:tabs>
        <w:tab w:val="center" w:pos="4680"/>
        <w:tab w:val="right" w:pos="9360"/>
      </w:tabs>
      <w:spacing w:after="0"/>
    </w:pPr>
  </w:style>
  <w:style w:type="character" w:customStyle="1" w:styleId="HeaderChar">
    <w:name w:val="Header Char"/>
    <w:basedOn w:val="DefaultParagraphFont"/>
    <w:link w:val="Header"/>
    <w:uiPriority w:val="99"/>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 w:type="character" w:customStyle="1" w:styleId="Heading4Char">
    <w:name w:val="Heading 4 Char"/>
    <w:basedOn w:val="DefaultParagraphFont"/>
    <w:link w:val="Heading4"/>
    <w:uiPriority w:val="9"/>
    <w:rsid w:val="00A95694"/>
    <w:rPr>
      <w:rFonts w:asciiTheme="majorHAnsi" w:eastAsiaTheme="majorEastAsia" w:hAnsiTheme="majorHAnsi" w:cstheme="majorBidi"/>
      <w:i/>
      <w:iCs/>
      <w:color w:val="2F5496" w:themeColor="accent1" w:themeShade="BF"/>
      <w:sz w:val="20"/>
      <w:szCs w:val="20"/>
      <w:lang w:val="en-GB"/>
    </w:rPr>
  </w:style>
  <w:style w:type="paragraph" w:customStyle="1" w:styleId="B1">
    <w:name w:val="B1"/>
    <w:basedOn w:val="Normal"/>
    <w:link w:val="B1Zchn"/>
    <w:qFormat/>
    <w:rsid w:val="00803A13"/>
    <w:pPr>
      <w:overflowPunct/>
      <w:autoSpaceDE/>
      <w:autoSpaceDN/>
      <w:adjustRightInd/>
      <w:ind w:left="568" w:hanging="284"/>
      <w:textAlignment w:val="auto"/>
    </w:pPr>
    <w:rPr>
      <w:lang w:val="x-none"/>
    </w:rPr>
  </w:style>
  <w:style w:type="character" w:customStyle="1" w:styleId="B1Zchn">
    <w:name w:val="B1 Zchn"/>
    <w:link w:val="B1"/>
    <w:qFormat/>
    <w:rsid w:val="00803A13"/>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5301">
      <w:bodyDiv w:val="1"/>
      <w:marLeft w:val="0"/>
      <w:marRight w:val="0"/>
      <w:marTop w:val="0"/>
      <w:marBottom w:val="0"/>
      <w:divBdr>
        <w:top w:val="none" w:sz="0" w:space="0" w:color="auto"/>
        <w:left w:val="none" w:sz="0" w:space="0" w:color="auto"/>
        <w:bottom w:val="none" w:sz="0" w:space="0" w:color="auto"/>
        <w:right w:val="none" w:sz="0" w:space="0" w:color="auto"/>
      </w:divBdr>
    </w:div>
    <w:div w:id="451166845">
      <w:bodyDiv w:val="1"/>
      <w:marLeft w:val="0"/>
      <w:marRight w:val="0"/>
      <w:marTop w:val="0"/>
      <w:marBottom w:val="0"/>
      <w:divBdr>
        <w:top w:val="none" w:sz="0" w:space="0" w:color="auto"/>
        <w:left w:val="none" w:sz="0" w:space="0" w:color="auto"/>
        <w:bottom w:val="none" w:sz="0" w:space="0" w:color="auto"/>
        <w:right w:val="none" w:sz="0" w:space="0" w:color="auto"/>
      </w:divBdr>
    </w:div>
    <w:div w:id="495458055">
      <w:bodyDiv w:val="1"/>
      <w:marLeft w:val="0"/>
      <w:marRight w:val="0"/>
      <w:marTop w:val="0"/>
      <w:marBottom w:val="0"/>
      <w:divBdr>
        <w:top w:val="none" w:sz="0" w:space="0" w:color="auto"/>
        <w:left w:val="none" w:sz="0" w:space="0" w:color="auto"/>
        <w:bottom w:val="none" w:sz="0" w:space="0" w:color="auto"/>
        <w:right w:val="none" w:sz="0" w:space="0" w:color="auto"/>
      </w:divBdr>
    </w:div>
    <w:div w:id="580212807">
      <w:bodyDiv w:val="1"/>
      <w:marLeft w:val="0"/>
      <w:marRight w:val="0"/>
      <w:marTop w:val="0"/>
      <w:marBottom w:val="0"/>
      <w:divBdr>
        <w:top w:val="none" w:sz="0" w:space="0" w:color="auto"/>
        <w:left w:val="none" w:sz="0" w:space="0" w:color="auto"/>
        <w:bottom w:val="none" w:sz="0" w:space="0" w:color="auto"/>
        <w:right w:val="none" w:sz="0" w:space="0" w:color="auto"/>
      </w:divBdr>
    </w:div>
    <w:div w:id="726074311">
      <w:bodyDiv w:val="1"/>
      <w:marLeft w:val="0"/>
      <w:marRight w:val="0"/>
      <w:marTop w:val="0"/>
      <w:marBottom w:val="0"/>
      <w:divBdr>
        <w:top w:val="none" w:sz="0" w:space="0" w:color="auto"/>
        <w:left w:val="none" w:sz="0" w:space="0" w:color="auto"/>
        <w:bottom w:val="none" w:sz="0" w:space="0" w:color="auto"/>
        <w:right w:val="none" w:sz="0" w:space="0" w:color="auto"/>
      </w:divBdr>
    </w:div>
    <w:div w:id="1052005123">
      <w:bodyDiv w:val="1"/>
      <w:marLeft w:val="0"/>
      <w:marRight w:val="0"/>
      <w:marTop w:val="0"/>
      <w:marBottom w:val="0"/>
      <w:divBdr>
        <w:top w:val="none" w:sz="0" w:space="0" w:color="auto"/>
        <w:left w:val="none" w:sz="0" w:space="0" w:color="auto"/>
        <w:bottom w:val="none" w:sz="0" w:space="0" w:color="auto"/>
        <w:right w:val="none" w:sz="0" w:space="0" w:color="auto"/>
      </w:divBdr>
    </w:div>
    <w:div w:id="1172843304">
      <w:bodyDiv w:val="1"/>
      <w:marLeft w:val="0"/>
      <w:marRight w:val="0"/>
      <w:marTop w:val="0"/>
      <w:marBottom w:val="0"/>
      <w:divBdr>
        <w:top w:val="none" w:sz="0" w:space="0" w:color="auto"/>
        <w:left w:val="none" w:sz="0" w:space="0" w:color="auto"/>
        <w:bottom w:val="none" w:sz="0" w:space="0" w:color="auto"/>
        <w:right w:val="none" w:sz="0" w:space="0" w:color="auto"/>
      </w:divBdr>
    </w:div>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 w:id="1560508771">
      <w:bodyDiv w:val="1"/>
      <w:marLeft w:val="0"/>
      <w:marRight w:val="0"/>
      <w:marTop w:val="0"/>
      <w:marBottom w:val="0"/>
      <w:divBdr>
        <w:top w:val="none" w:sz="0" w:space="0" w:color="auto"/>
        <w:left w:val="none" w:sz="0" w:space="0" w:color="auto"/>
        <w:bottom w:val="none" w:sz="0" w:space="0" w:color="auto"/>
        <w:right w:val="none" w:sz="0" w:space="0" w:color="auto"/>
      </w:divBdr>
    </w:div>
    <w:div w:id="1592274223">
      <w:bodyDiv w:val="1"/>
      <w:marLeft w:val="0"/>
      <w:marRight w:val="0"/>
      <w:marTop w:val="0"/>
      <w:marBottom w:val="0"/>
      <w:divBdr>
        <w:top w:val="none" w:sz="0" w:space="0" w:color="auto"/>
        <w:left w:val="none" w:sz="0" w:space="0" w:color="auto"/>
        <w:bottom w:val="none" w:sz="0" w:space="0" w:color="auto"/>
        <w:right w:val="none" w:sz="0" w:space="0" w:color="auto"/>
      </w:divBdr>
    </w:div>
    <w:div w:id="194904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468</TotalTime>
  <Pages>3</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328</cp:revision>
  <dcterms:created xsi:type="dcterms:W3CDTF">2020-08-06T00:53:00Z</dcterms:created>
  <dcterms:modified xsi:type="dcterms:W3CDTF">2022-02-14T23:00:00Z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