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2AA15A54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10</w:t>
      </w:r>
      <w:r w:rsidR="005631E0">
        <w:rPr>
          <w:bCs/>
          <w:noProof w:val="0"/>
          <w:sz w:val="24"/>
          <w:szCs w:val="24"/>
        </w:rPr>
        <w:t>8</w:t>
      </w:r>
      <w:r w:rsidR="001348FE">
        <w:rPr>
          <w:bCs/>
          <w:noProof w:val="0"/>
          <w:sz w:val="24"/>
          <w:szCs w:val="24"/>
        </w:rPr>
        <w:tab/>
      </w:r>
      <w:r w:rsidR="00866347" w:rsidRPr="00866347">
        <w:rPr>
          <w:bCs/>
          <w:noProof w:val="0"/>
          <w:sz w:val="24"/>
          <w:szCs w:val="24"/>
        </w:rPr>
        <w:t>R1-2201647</w:t>
      </w:r>
    </w:p>
    <w:p w14:paraId="30E02940" w14:textId="5B61BCBB" w:rsidR="00CA26CE" w:rsidRDefault="002778BD" w:rsidP="00CA26CE">
      <w:pPr>
        <w:pStyle w:val="Header"/>
        <w:rPr>
          <w:bCs/>
          <w:noProof w:val="0"/>
          <w:sz w:val="24"/>
          <w:szCs w:val="24"/>
        </w:rPr>
      </w:pPr>
      <w:r w:rsidRPr="002778BD">
        <w:rPr>
          <w:bCs/>
          <w:noProof w:val="0"/>
          <w:sz w:val="24"/>
          <w:szCs w:val="24"/>
        </w:rPr>
        <w:t>e-Meeting,</w:t>
      </w:r>
      <w:r w:rsidR="00500573">
        <w:rPr>
          <w:bCs/>
          <w:noProof w:val="0"/>
          <w:sz w:val="24"/>
          <w:szCs w:val="24"/>
        </w:rPr>
        <w:t xml:space="preserve"> </w:t>
      </w:r>
      <w:r w:rsidR="005631E0">
        <w:rPr>
          <w:bCs/>
          <w:noProof w:val="0"/>
          <w:sz w:val="24"/>
          <w:szCs w:val="24"/>
        </w:rPr>
        <w:t>February 21</w:t>
      </w:r>
      <w:r w:rsidR="005631E0" w:rsidRPr="005631E0">
        <w:rPr>
          <w:bCs/>
          <w:noProof w:val="0"/>
          <w:sz w:val="24"/>
          <w:szCs w:val="24"/>
          <w:vertAlign w:val="superscript"/>
        </w:rPr>
        <w:t>st</w:t>
      </w:r>
      <w:r w:rsidR="005631E0">
        <w:rPr>
          <w:bCs/>
          <w:noProof w:val="0"/>
          <w:sz w:val="24"/>
          <w:szCs w:val="24"/>
        </w:rPr>
        <w:t xml:space="preserve"> </w:t>
      </w:r>
      <w:r w:rsidR="00451BAE">
        <w:rPr>
          <w:bCs/>
          <w:noProof w:val="0"/>
          <w:sz w:val="24"/>
          <w:szCs w:val="24"/>
        </w:rPr>
        <w:t xml:space="preserve">– </w:t>
      </w:r>
      <w:r w:rsidR="005631E0">
        <w:rPr>
          <w:bCs/>
          <w:noProof w:val="0"/>
          <w:sz w:val="24"/>
          <w:szCs w:val="24"/>
        </w:rPr>
        <w:t>March 3</w:t>
      </w:r>
      <w:r w:rsidR="005631E0" w:rsidRPr="005631E0">
        <w:rPr>
          <w:bCs/>
          <w:noProof w:val="0"/>
          <w:sz w:val="24"/>
          <w:szCs w:val="24"/>
          <w:vertAlign w:val="superscript"/>
        </w:rPr>
        <w:t>rd</w:t>
      </w:r>
      <w:r w:rsidRPr="002778BD">
        <w:rPr>
          <w:bCs/>
          <w:noProof w:val="0"/>
          <w:sz w:val="24"/>
          <w:szCs w:val="24"/>
        </w:rPr>
        <w:t>, 202</w:t>
      </w:r>
      <w:r w:rsidR="001B38EE">
        <w:rPr>
          <w:bCs/>
          <w:noProof w:val="0"/>
          <w:sz w:val="24"/>
          <w:szCs w:val="24"/>
        </w:rPr>
        <w:t>2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34C148E2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1A33D2">
        <w:rPr>
          <w:rFonts w:cs="Arial"/>
          <w:b/>
          <w:bCs/>
          <w:sz w:val="24"/>
          <w:szCs w:val="24"/>
        </w:rPr>
        <w:t>8.4.3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0F1C1679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1A33D2">
        <w:rPr>
          <w:rFonts w:ascii="Arial" w:hAnsi="Arial" w:cs="Arial"/>
          <w:b/>
          <w:bCs/>
          <w:sz w:val="24"/>
        </w:rPr>
        <w:t>Maintenance aspects related to HARQ for Rel-17 NR over NTN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77B7BAA3" w14:textId="567815AD" w:rsidR="00C15AC5" w:rsidRPr="00C15AC5" w:rsidRDefault="00C15AC5" w:rsidP="00056BDE">
      <w:pPr>
        <w:rPr>
          <w:lang w:val="en-US"/>
        </w:rPr>
      </w:pPr>
      <w:r>
        <w:t>At the RAN1#107-e meeting we reached the end of the specification work for NR over NTN. In this contribution we will discuss any potential open items from earlier discussions.</w:t>
      </w:r>
    </w:p>
    <w:p w14:paraId="71230483" w14:textId="72F9C930" w:rsidR="00305297" w:rsidRDefault="007820D0" w:rsidP="00A23DCA">
      <w:pPr>
        <w:pStyle w:val="Heading1"/>
      </w:pPr>
      <w:bookmarkStart w:id="1" w:name="_Hlk510705081"/>
      <w:r>
        <w:t>Discussion</w:t>
      </w:r>
    </w:p>
    <w:p w14:paraId="0A35239C" w14:textId="7897AE6E" w:rsidR="00C15AC5" w:rsidRDefault="00C15AC5" w:rsidP="00C15AC5">
      <w:r>
        <w:t xml:space="preserve">When observing the agreements from the Chairman minutes of the meeting </w:t>
      </w:r>
      <w:r>
        <w:fldChar w:fldCharType="begin"/>
      </w:r>
      <w:r>
        <w:instrText xml:space="preserve"> REF _Ref95164284 \r \h </w:instrText>
      </w:r>
      <w:r>
        <w:fldChar w:fldCharType="separate"/>
      </w:r>
      <w:r>
        <w:t>[1]</w:t>
      </w:r>
      <w:r>
        <w:fldChar w:fldCharType="end"/>
      </w:r>
      <w:r>
        <w:t>, it is seen that there is one agreement within this agenda item that still have an open FFS. This is:</w:t>
      </w:r>
    </w:p>
    <w:p w14:paraId="33A3BC76" w14:textId="77777777" w:rsidR="00C15AC5" w:rsidRPr="00C15AC5" w:rsidRDefault="00C15AC5" w:rsidP="00C15AC5">
      <w:pPr>
        <w:overflowPunct/>
        <w:autoSpaceDE/>
        <w:autoSpaceDN/>
        <w:adjustRightInd/>
        <w:spacing w:after="0"/>
        <w:ind w:left="284"/>
        <w:textAlignment w:val="auto"/>
        <w:rPr>
          <w:rFonts w:ascii="Times" w:eastAsia="Batang" w:hAnsi="Times"/>
          <w:szCs w:val="24"/>
          <w:lang w:val="en-US" w:eastAsia="x-none"/>
        </w:rPr>
      </w:pPr>
      <w:r w:rsidRPr="00C15AC5">
        <w:rPr>
          <w:rFonts w:ascii="Times" w:eastAsia="Batang" w:hAnsi="Times"/>
          <w:szCs w:val="24"/>
          <w:highlight w:val="green"/>
          <w:lang w:eastAsia="x-none"/>
        </w:rPr>
        <w:t>Agreement</w:t>
      </w:r>
    </w:p>
    <w:p w14:paraId="2B81DBD3" w14:textId="77777777" w:rsidR="00C15AC5" w:rsidRPr="00C15AC5" w:rsidRDefault="00C15AC5" w:rsidP="00C15AC5">
      <w:pPr>
        <w:overflowPunct/>
        <w:autoSpaceDE/>
        <w:autoSpaceDN/>
        <w:adjustRightInd/>
        <w:spacing w:after="0"/>
        <w:ind w:left="284"/>
        <w:textAlignment w:val="auto"/>
        <w:rPr>
          <w:rFonts w:ascii="Times" w:eastAsia="Batang" w:hAnsi="Times"/>
          <w:szCs w:val="24"/>
          <w:lang w:val="en-US" w:eastAsia="x-none"/>
        </w:rPr>
      </w:pPr>
      <w:r w:rsidRPr="00C15AC5">
        <w:rPr>
          <w:rFonts w:ascii="Times" w:eastAsia="Batang" w:hAnsi="Times"/>
          <w:szCs w:val="24"/>
          <w:lang w:eastAsia="x-none"/>
        </w:rPr>
        <w:t xml:space="preserve">HARQ feedback for SPS activation may be </w:t>
      </w:r>
      <w:r w:rsidRPr="00C15AC5">
        <w:rPr>
          <w:rFonts w:ascii="Times" w:eastAsia="Batang" w:hAnsi="Times"/>
          <w:bCs/>
          <w:szCs w:val="24"/>
          <w:lang w:eastAsia="x-none"/>
        </w:rPr>
        <w:t xml:space="preserve">additionally </w:t>
      </w:r>
      <w:r w:rsidRPr="00C15AC5">
        <w:rPr>
          <w:rFonts w:ascii="Times" w:eastAsia="Batang" w:hAnsi="Times"/>
          <w:szCs w:val="24"/>
          <w:lang w:eastAsia="x-none"/>
        </w:rPr>
        <w:t>enabled by the network by RRC configuration.</w:t>
      </w:r>
    </w:p>
    <w:p w14:paraId="2FDB0924" w14:textId="77777777" w:rsidR="00C15AC5" w:rsidRPr="00C15AC5" w:rsidRDefault="00C15AC5" w:rsidP="00C15AC5">
      <w:pPr>
        <w:numPr>
          <w:ilvl w:val="0"/>
          <w:numId w:val="30"/>
        </w:numPr>
        <w:overflowPunct/>
        <w:autoSpaceDE/>
        <w:autoSpaceDN/>
        <w:adjustRightInd/>
        <w:spacing w:after="0"/>
        <w:ind w:left="998" w:hanging="357"/>
        <w:textAlignment w:val="auto"/>
        <w:rPr>
          <w:lang w:val="en-US" w:eastAsia="ja-JP"/>
        </w:rPr>
      </w:pPr>
      <w:r w:rsidRPr="00C15AC5">
        <w:rPr>
          <w:lang w:val="en-US" w:eastAsia="ja-JP"/>
        </w:rPr>
        <w:t>If enabled, UE reports ACK/NACK for the first SPS PDSCH after activation, regardless of whether HARQ feedback is enabled or disabled corresponding to the first SPS PDSCH after activation</w:t>
      </w:r>
    </w:p>
    <w:p w14:paraId="00FA7B9B" w14:textId="77777777" w:rsidR="00C15AC5" w:rsidRPr="00C15AC5" w:rsidRDefault="00C15AC5" w:rsidP="00C15AC5">
      <w:pPr>
        <w:numPr>
          <w:ilvl w:val="0"/>
          <w:numId w:val="30"/>
        </w:numPr>
        <w:overflowPunct/>
        <w:autoSpaceDE/>
        <w:autoSpaceDN/>
        <w:adjustRightInd/>
        <w:spacing w:after="0"/>
        <w:ind w:left="998" w:hanging="357"/>
        <w:textAlignment w:val="auto"/>
        <w:rPr>
          <w:lang w:val="en-US" w:eastAsia="ja-JP"/>
        </w:rPr>
      </w:pPr>
      <w:r w:rsidRPr="00C15AC5">
        <w:rPr>
          <w:lang w:eastAsia="ja-JP"/>
        </w:rPr>
        <w:t xml:space="preserve">Otherwise, UE follows configuration of HARQ feedback enabled/disabled corresponding to the first SPS PDSCH after activation, </w:t>
      </w:r>
    </w:p>
    <w:p w14:paraId="24648E66" w14:textId="77777777" w:rsidR="00C15AC5" w:rsidRPr="00C15AC5" w:rsidRDefault="00C15AC5" w:rsidP="00C15AC5">
      <w:pPr>
        <w:numPr>
          <w:ilvl w:val="1"/>
          <w:numId w:val="31"/>
        </w:numPr>
        <w:overflowPunct/>
        <w:autoSpaceDE/>
        <w:autoSpaceDN/>
        <w:adjustRightInd/>
        <w:spacing w:after="0"/>
        <w:ind w:left="1484"/>
        <w:textAlignment w:val="auto"/>
        <w:rPr>
          <w:rFonts w:ascii="Times" w:eastAsia="Batang" w:hAnsi="Times"/>
          <w:szCs w:val="24"/>
          <w:lang w:val="en-US" w:eastAsia="x-none"/>
        </w:rPr>
      </w:pPr>
      <w:r w:rsidRPr="00C15AC5">
        <w:rPr>
          <w:rFonts w:ascii="Times" w:eastAsia="Batang" w:hAnsi="Times"/>
          <w:szCs w:val="24"/>
          <w:lang w:eastAsia="x-none"/>
        </w:rPr>
        <w:t>FFS between Alt1 and Alt2</w:t>
      </w:r>
    </w:p>
    <w:p w14:paraId="40B7B586" w14:textId="77777777" w:rsidR="00C15AC5" w:rsidRPr="00C15AC5" w:rsidRDefault="00C15AC5" w:rsidP="00C15AC5">
      <w:pPr>
        <w:numPr>
          <w:ilvl w:val="2"/>
          <w:numId w:val="32"/>
        </w:numPr>
        <w:overflowPunct/>
        <w:autoSpaceDE/>
        <w:autoSpaceDN/>
        <w:adjustRightInd/>
        <w:spacing w:after="0"/>
        <w:ind w:left="1904"/>
        <w:textAlignment w:val="auto"/>
        <w:rPr>
          <w:rFonts w:ascii="Times" w:eastAsia="Batang" w:hAnsi="Times"/>
          <w:szCs w:val="24"/>
          <w:lang w:val="en-US" w:eastAsia="x-none"/>
        </w:rPr>
      </w:pPr>
      <w:r w:rsidRPr="00C15AC5">
        <w:rPr>
          <w:rFonts w:ascii="Times" w:eastAsia="Batang" w:hAnsi="Times"/>
          <w:szCs w:val="24"/>
          <w:lang w:val="en-US" w:eastAsia="x-none"/>
        </w:rPr>
        <w:t>[Alt-1: UE follows the per-process configuration of HARQ feedback enabled/disabled for the associated HARQ process</w:t>
      </w:r>
    </w:p>
    <w:p w14:paraId="62BBAC2F" w14:textId="77777777" w:rsidR="00C15AC5" w:rsidRPr="00C15AC5" w:rsidRDefault="00C15AC5" w:rsidP="00C15AC5">
      <w:pPr>
        <w:numPr>
          <w:ilvl w:val="2"/>
          <w:numId w:val="32"/>
        </w:numPr>
        <w:overflowPunct/>
        <w:autoSpaceDE/>
        <w:autoSpaceDN/>
        <w:adjustRightInd/>
        <w:spacing w:after="0"/>
        <w:ind w:left="1904"/>
        <w:textAlignment w:val="auto"/>
        <w:rPr>
          <w:rFonts w:ascii="Times" w:eastAsia="Batang" w:hAnsi="Times"/>
          <w:szCs w:val="24"/>
          <w:lang w:val="en-US" w:eastAsia="x-none"/>
        </w:rPr>
      </w:pPr>
      <w:r w:rsidRPr="00C15AC5">
        <w:rPr>
          <w:rFonts w:ascii="Times" w:eastAsia="Batang" w:hAnsi="Times"/>
          <w:szCs w:val="24"/>
          <w:lang w:val="en-US" w:eastAsia="x-none"/>
        </w:rPr>
        <w:t>Alt-2: UE follows the feedback-enabled/disabled configuration of the SPS PDSCH]</w:t>
      </w:r>
    </w:p>
    <w:p w14:paraId="54C968C8" w14:textId="77777777" w:rsidR="00C15AC5" w:rsidRPr="00C15AC5" w:rsidRDefault="00C15AC5" w:rsidP="00C15AC5">
      <w:pPr>
        <w:rPr>
          <w:lang w:val="en-US"/>
        </w:rPr>
      </w:pPr>
    </w:p>
    <w:p w14:paraId="14AF8FD1" w14:textId="77777777" w:rsidR="00C15AC5" w:rsidRDefault="00C15AC5" w:rsidP="001F201D">
      <w:pPr>
        <w:rPr>
          <w:lang w:val="en-US"/>
        </w:rPr>
      </w:pPr>
      <w:r>
        <w:rPr>
          <w:lang w:val="en-US"/>
        </w:rPr>
        <w:t xml:space="preserve">This FFS is basically a discussion related to the SPS operation and associated generation of HARQ-ACK feedback – whether it should follow the physical layer configuration (HARQ process configuration) or the higher layer configuration (as per the </w:t>
      </w:r>
      <w:proofErr w:type="spellStart"/>
      <w:r>
        <w:rPr>
          <w:lang w:val="en-US"/>
        </w:rPr>
        <w:t>configuarion</w:t>
      </w:r>
      <w:proofErr w:type="spellEnd"/>
      <w:r>
        <w:rPr>
          <w:lang w:val="en-US"/>
        </w:rPr>
        <w:t xml:space="preserve"> for the SPS PDSCH).</w:t>
      </w:r>
    </w:p>
    <w:p w14:paraId="437B6A37" w14:textId="76564808" w:rsidR="00C70ED1" w:rsidRDefault="00C15AC5" w:rsidP="001F201D">
      <w:pPr>
        <w:rPr>
          <w:lang w:val="en-US"/>
        </w:rPr>
      </w:pPr>
      <w:r>
        <w:rPr>
          <w:lang w:val="en-US"/>
        </w:rPr>
        <w:t xml:space="preserve">According to our understanding both approaches would work, but the most natural way of operating the system would be to use the </w:t>
      </w:r>
      <w:r w:rsidR="00C70ED1">
        <w:rPr>
          <w:lang w:val="en-US"/>
        </w:rPr>
        <w:t xml:space="preserve">configuration for the specific HARQ process that is indicated at the time of the SPS activation command. At this time, the </w:t>
      </w:r>
      <w:proofErr w:type="spellStart"/>
      <w:r w:rsidR="00C70ED1">
        <w:rPr>
          <w:lang w:val="en-US"/>
        </w:rPr>
        <w:t>gNB</w:t>
      </w:r>
      <w:proofErr w:type="spellEnd"/>
      <w:r w:rsidR="00C70ED1">
        <w:rPr>
          <w:lang w:val="en-US"/>
        </w:rPr>
        <w:t xml:space="preserve"> would be in full control of the scheduling time, and it would hence know the HARQ process ID and subsequently know </w:t>
      </w:r>
      <w:proofErr w:type="gramStart"/>
      <w:r w:rsidR="00C70ED1">
        <w:rPr>
          <w:lang w:val="en-US"/>
        </w:rPr>
        <w:t>whether or not</w:t>
      </w:r>
      <w:proofErr w:type="gramEnd"/>
      <w:r w:rsidR="00C70ED1">
        <w:rPr>
          <w:lang w:val="en-US"/>
        </w:rPr>
        <w:t xml:space="preserve"> to expect the UE to generate the HARQ-ACK information for feedback. </w:t>
      </w:r>
      <w:proofErr w:type="gramStart"/>
      <w:r w:rsidR="00C70ED1">
        <w:rPr>
          <w:lang w:val="en-US"/>
        </w:rPr>
        <w:t>Hence</w:t>
      </w:r>
      <w:proofErr w:type="gramEnd"/>
      <w:r w:rsidR="00C70ED1">
        <w:rPr>
          <w:lang w:val="en-US"/>
        </w:rPr>
        <w:t xml:space="preserve"> we propose the following:</w:t>
      </w:r>
    </w:p>
    <w:p w14:paraId="3E8F2904" w14:textId="78D2F07D" w:rsidR="00C70ED1" w:rsidRPr="00C15AC5" w:rsidRDefault="00C70ED1" w:rsidP="00C70ED1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/>
          <w:bCs/>
          <w:szCs w:val="24"/>
          <w:lang w:val="en-US" w:eastAsia="x-none"/>
        </w:rPr>
      </w:pPr>
      <w:r w:rsidRPr="00C70ED1">
        <w:rPr>
          <w:rFonts w:ascii="Times" w:eastAsia="Batang" w:hAnsi="Times"/>
          <w:b/>
          <w:bCs/>
          <w:szCs w:val="24"/>
          <w:lang w:eastAsia="x-none"/>
        </w:rPr>
        <w:t xml:space="preserve">Proposal 1: For generating </w:t>
      </w:r>
      <w:r w:rsidRPr="00C15AC5">
        <w:rPr>
          <w:rFonts w:ascii="Times" w:eastAsia="Batang" w:hAnsi="Times"/>
          <w:b/>
          <w:bCs/>
          <w:szCs w:val="24"/>
          <w:lang w:eastAsia="x-none"/>
        </w:rPr>
        <w:t xml:space="preserve">HARQ feedback for SPS </w:t>
      </w:r>
      <w:r w:rsidRPr="00C70ED1">
        <w:rPr>
          <w:rFonts w:ascii="Times" w:eastAsia="Batang" w:hAnsi="Times"/>
          <w:b/>
          <w:bCs/>
          <w:szCs w:val="24"/>
          <w:lang w:eastAsia="x-none"/>
        </w:rPr>
        <w:t xml:space="preserve">after </w:t>
      </w:r>
      <w:r w:rsidRPr="00C15AC5">
        <w:rPr>
          <w:rFonts w:ascii="Times" w:eastAsia="Batang" w:hAnsi="Times"/>
          <w:b/>
          <w:bCs/>
          <w:szCs w:val="24"/>
          <w:lang w:eastAsia="x-none"/>
        </w:rPr>
        <w:t xml:space="preserve">activation </w:t>
      </w:r>
      <w:r w:rsidRPr="00C70ED1">
        <w:rPr>
          <w:rFonts w:ascii="Times" w:eastAsia="Batang" w:hAnsi="Times"/>
          <w:b/>
          <w:bCs/>
          <w:szCs w:val="24"/>
          <w:lang w:eastAsia="x-none"/>
        </w:rPr>
        <w:t>the</w:t>
      </w:r>
      <w:r w:rsidRPr="00C15AC5">
        <w:rPr>
          <w:rFonts w:ascii="Times" w:eastAsia="Batang" w:hAnsi="Times"/>
          <w:b/>
          <w:bCs/>
          <w:szCs w:val="24"/>
          <w:lang w:val="en-US" w:eastAsia="x-none"/>
        </w:rPr>
        <w:t xml:space="preserve"> UE follows the per-process configuration of HARQ feedback enabled/disabled for the associated HARQ process</w:t>
      </w:r>
      <w:r w:rsidRPr="00C70ED1">
        <w:rPr>
          <w:rFonts w:ascii="Times" w:eastAsia="Batang" w:hAnsi="Times"/>
          <w:b/>
          <w:bCs/>
          <w:szCs w:val="24"/>
          <w:lang w:val="en-US" w:eastAsia="x-none"/>
        </w:rPr>
        <w:t xml:space="preserve"> (Alt 1)</w:t>
      </w:r>
      <w:r>
        <w:rPr>
          <w:rFonts w:ascii="Times" w:eastAsia="Batang" w:hAnsi="Times"/>
          <w:b/>
          <w:bCs/>
          <w:szCs w:val="24"/>
          <w:lang w:val="en-US" w:eastAsia="x-none"/>
        </w:rPr>
        <w:t>.</w:t>
      </w:r>
    </w:p>
    <w:p w14:paraId="4E2CB021" w14:textId="77777777" w:rsidR="00C15AC5" w:rsidRPr="00C15AC5" w:rsidRDefault="00C15AC5" w:rsidP="001F201D">
      <w:pPr>
        <w:rPr>
          <w:lang w:val="en-US"/>
        </w:rPr>
      </w:pPr>
    </w:p>
    <w:bookmarkEnd w:id="1"/>
    <w:p w14:paraId="10445A01" w14:textId="480CC7E1" w:rsidR="00885580" w:rsidRDefault="007820D0" w:rsidP="00885580">
      <w:pPr>
        <w:pStyle w:val="Heading1"/>
      </w:pPr>
      <w:r>
        <w:t>Conclusion</w:t>
      </w:r>
    </w:p>
    <w:p w14:paraId="384567B8" w14:textId="1F39A7FE" w:rsidR="001337A5" w:rsidRDefault="00C70ED1" w:rsidP="001F201D">
      <w:r>
        <w:t>Based on the discussion above, we propose the following:</w:t>
      </w:r>
    </w:p>
    <w:p w14:paraId="1B4FD8DB" w14:textId="77777777" w:rsidR="00C70ED1" w:rsidRPr="00C15AC5" w:rsidRDefault="00C70ED1" w:rsidP="00C70ED1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/>
          <w:bCs/>
          <w:szCs w:val="24"/>
          <w:lang w:val="en-US" w:eastAsia="x-none"/>
        </w:rPr>
      </w:pPr>
      <w:r w:rsidRPr="00C70ED1">
        <w:rPr>
          <w:rFonts w:ascii="Times" w:eastAsia="Batang" w:hAnsi="Times"/>
          <w:b/>
          <w:bCs/>
          <w:szCs w:val="24"/>
          <w:lang w:eastAsia="x-none"/>
        </w:rPr>
        <w:t xml:space="preserve">Proposal 1: For generating </w:t>
      </w:r>
      <w:r w:rsidRPr="00C15AC5">
        <w:rPr>
          <w:rFonts w:ascii="Times" w:eastAsia="Batang" w:hAnsi="Times"/>
          <w:b/>
          <w:bCs/>
          <w:szCs w:val="24"/>
          <w:lang w:eastAsia="x-none"/>
        </w:rPr>
        <w:t xml:space="preserve">HARQ feedback for SPS </w:t>
      </w:r>
      <w:r w:rsidRPr="00C70ED1">
        <w:rPr>
          <w:rFonts w:ascii="Times" w:eastAsia="Batang" w:hAnsi="Times"/>
          <w:b/>
          <w:bCs/>
          <w:szCs w:val="24"/>
          <w:lang w:eastAsia="x-none"/>
        </w:rPr>
        <w:t xml:space="preserve">after </w:t>
      </w:r>
      <w:r w:rsidRPr="00C15AC5">
        <w:rPr>
          <w:rFonts w:ascii="Times" w:eastAsia="Batang" w:hAnsi="Times"/>
          <w:b/>
          <w:bCs/>
          <w:szCs w:val="24"/>
          <w:lang w:eastAsia="x-none"/>
        </w:rPr>
        <w:t xml:space="preserve">activation </w:t>
      </w:r>
      <w:r w:rsidRPr="00C70ED1">
        <w:rPr>
          <w:rFonts w:ascii="Times" w:eastAsia="Batang" w:hAnsi="Times"/>
          <w:b/>
          <w:bCs/>
          <w:szCs w:val="24"/>
          <w:lang w:eastAsia="x-none"/>
        </w:rPr>
        <w:t>the</w:t>
      </w:r>
      <w:r w:rsidRPr="00C15AC5">
        <w:rPr>
          <w:rFonts w:ascii="Times" w:eastAsia="Batang" w:hAnsi="Times"/>
          <w:b/>
          <w:bCs/>
          <w:szCs w:val="24"/>
          <w:lang w:val="en-US" w:eastAsia="x-none"/>
        </w:rPr>
        <w:t xml:space="preserve"> UE follows the per-process configuration of HARQ feedback enabled/disabled for the associated HARQ process</w:t>
      </w:r>
      <w:r w:rsidRPr="00C70ED1">
        <w:rPr>
          <w:rFonts w:ascii="Times" w:eastAsia="Batang" w:hAnsi="Times"/>
          <w:b/>
          <w:bCs/>
          <w:szCs w:val="24"/>
          <w:lang w:val="en-US" w:eastAsia="x-none"/>
        </w:rPr>
        <w:t xml:space="preserve"> (Alt 1)</w:t>
      </w:r>
      <w:r>
        <w:rPr>
          <w:rFonts w:ascii="Times" w:eastAsia="Batang" w:hAnsi="Times"/>
          <w:b/>
          <w:bCs/>
          <w:szCs w:val="24"/>
          <w:lang w:val="en-US" w:eastAsia="x-none"/>
        </w:rPr>
        <w:t>.</w:t>
      </w:r>
    </w:p>
    <w:p w14:paraId="01EE7CFD" w14:textId="77777777" w:rsidR="00C70ED1" w:rsidRPr="001337A5" w:rsidRDefault="00C70ED1" w:rsidP="001F201D">
      <w:pPr>
        <w:rPr>
          <w:lang w:val="en-US"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59385246" w14:textId="77777777" w:rsidR="00C15AC5" w:rsidRPr="00205A4B" w:rsidRDefault="00C15AC5" w:rsidP="00C15AC5">
      <w:pPr>
        <w:pStyle w:val="ListParagraph"/>
        <w:numPr>
          <w:ilvl w:val="0"/>
          <w:numId w:val="27"/>
        </w:numPr>
        <w:rPr>
          <w:sz w:val="20"/>
          <w:szCs w:val="20"/>
        </w:rPr>
      </w:pPr>
      <w:bookmarkStart w:id="2" w:name="_Ref94796981"/>
      <w:bookmarkStart w:id="3" w:name="_Ref95164284"/>
      <w:r w:rsidRPr="00E76D49">
        <w:rPr>
          <w:sz w:val="20"/>
          <w:szCs w:val="20"/>
        </w:rPr>
        <w:t>R1-2200002</w:t>
      </w:r>
      <w:r>
        <w:rPr>
          <w:sz w:val="20"/>
          <w:szCs w:val="20"/>
        </w:rPr>
        <w:t>, ”</w:t>
      </w:r>
      <w:proofErr w:type="spellStart"/>
      <w:r w:rsidRPr="003757DE">
        <w:rPr>
          <w:sz w:val="20"/>
          <w:szCs w:val="20"/>
        </w:rPr>
        <w:t>Final</w:t>
      </w:r>
      <w:proofErr w:type="spellEnd"/>
      <w:r w:rsidRPr="003757DE">
        <w:rPr>
          <w:sz w:val="20"/>
          <w:szCs w:val="20"/>
        </w:rPr>
        <w:t xml:space="preserve"> Report of 3GPP TSG RAN WG1 #107-e v1.0.0</w:t>
      </w:r>
      <w:r>
        <w:rPr>
          <w:sz w:val="20"/>
          <w:szCs w:val="20"/>
        </w:rPr>
        <w:t xml:space="preserve">”, </w:t>
      </w:r>
      <w:r w:rsidRPr="003D16CC">
        <w:rPr>
          <w:sz w:val="20"/>
          <w:szCs w:val="20"/>
        </w:rPr>
        <w:t>MCC Support</w:t>
      </w:r>
      <w:bookmarkEnd w:id="2"/>
      <w:bookmarkEnd w:id="3"/>
    </w:p>
    <w:sectPr w:rsidR="00C15AC5" w:rsidRPr="00205A4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B3A190" w14:textId="77777777" w:rsidR="00F16919" w:rsidRDefault="00F16919">
      <w:r>
        <w:separator/>
      </w:r>
    </w:p>
  </w:endnote>
  <w:endnote w:type="continuationSeparator" w:id="0">
    <w:p w14:paraId="3FA36840" w14:textId="77777777" w:rsidR="00F16919" w:rsidRDefault="00F1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6A1AC8" w14:textId="77777777" w:rsidR="00F16919" w:rsidRDefault="00F16919">
      <w:r>
        <w:separator/>
      </w:r>
    </w:p>
  </w:footnote>
  <w:footnote w:type="continuationSeparator" w:id="0">
    <w:p w14:paraId="49E1D33D" w14:textId="77777777" w:rsidR="00F16919" w:rsidRDefault="00F16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B36698"/>
    <w:multiLevelType w:val="multilevel"/>
    <w:tmpl w:val="6A024B6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62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27C143CE"/>
    <w:multiLevelType w:val="multilevel"/>
    <w:tmpl w:val="0ADCDBD6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7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6"/>
  </w:num>
  <w:num w:numId="2">
    <w:abstractNumId w:val="25"/>
  </w:num>
  <w:num w:numId="3">
    <w:abstractNumId w:val="0"/>
  </w:num>
  <w:num w:numId="4">
    <w:abstractNumId w:val="2"/>
  </w:num>
  <w:num w:numId="5">
    <w:abstractNumId w:val="15"/>
  </w:num>
  <w:num w:numId="6">
    <w:abstractNumId w:val="26"/>
  </w:num>
  <w:num w:numId="7">
    <w:abstractNumId w:val="17"/>
  </w:num>
  <w:num w:numId="8">
    <w:abstractNumId w:val="14"/>
  </w:num>
  <w:num w:numId="9">
    <w:abstractNumId w:val="30"/>
  </w:num>
  <w:num w:numId="10">
    <w:abstractNumId w:val="4"/>
  </w:num>
  <w:num w:numId="11">
    <w:abstractNumId w:val="19"/>
  </w:num>
  <w:num w:numId="12">
    <w:abstractNumId w:val="3"/>
  </w:num>
  <w:num w:numId="13">
    <w:abstractNumId w:val="12"/>
  </w:num>
  <w:num w:numId="14">
    <w:abstractNumId w:val="23"/>
  </w:num>
  <w:num w:numId="15">
    <w:abstractNumId w:val="16"/>
  </w:num>
  <w:num w:numId="16">
    <w:abstractNumId w:val="1"/>
  </w:num>
  <w:num w:numId="17">
    <w:abstractNumId w:val="21"/>
  </w:num>
  <w:num w:numId="18">
    <w:abstractNumId w:val="13"/>
  </w:num>
  <w:num w:numId="19">
    <w:abstractNumId w:val="18"/>
  </w:num>
  <w:num w:numId="20">
    <w:abstractNumId w:val="29"/>
  </w:num>
  <w:num w:numId="21">
    <w:abstractNumId w:val="31"/>
  </w:num>
  <w:num w:numId="22">
    <w:abstractNumId w:val="20"/>
  </w:num>
  <w:num w:numId="23">
    <w:abstractNumId w:val="11"/>
  </w:num>
  <w:num w:numId="24">
    <w:abstractNumId w:val="5"/>
  </w:num>
  <w:num w:numId="25">
    <w:abstractNumId w:val="28"/>
  </w:num>
  <w:num w:numId="26">
    <w:abstractNumId w:val="24"/>
  </w:num>
  <w:num w:numId="27">
    <w:abstractNumId w:val="8"/>
  </w:num>
  <w:num w:numId="28">
    <w:abstractNumId w:val="7"/>
  </w:num>
  <w:num w:numId="29">
    <w:abstractNumId w:val="22"/>
  </w:num>
  <w:num w:numId="30">
    <w:abstractNumId w:val="27"/>
  </w:num>
  <w:num w:numId="31">
    <w:abstractNumId w:val="10"/>
  </w:num>
  <w:num w:numId="32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470E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2B8C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33D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1E0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6347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AC5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0ED1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4C86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91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2022-02-14T18:56:00Z</dcterms:created>
  <dcterms:modified xsi:type="dcterms:W3CDTF">2022-02-14T18:56:00Z</dcterms:modified>
</cp:coreProperties>
</file>