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A0" w:rsidRPr="00140BA0" w:rsidRDefault="00140BA0" w:rsidP="00140BA0">
      <w:pPr>
        <w:snapToGrid w:val="0"/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40BA0" w:rsidRP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A0">
        <w:rPr>
          <w:rStyle w:val="Strong"/>
          <w:rFonts w:ascii="Times New Roman" w:hAnsi="Times New Roman" w:cs="Times New Roman"/>
          <w:sz w:val="24"/>
          <w:szCs w:val="24"/>
          <w:u w:val="single"/>
        </w:rPr>
        <w:t>Proposal 1.F</w:t>
      </w:r>
      <w:r w:rsidR="00FC5A31">
        <w:rPr>
          <w:rFonts w:ascii="Times New Roman" w:hAnsi="Times New Roman" w:cs="Times New Roman"/>
          <w:sz w:val="24"/>
          <w:szCs w:val="24"/>
        </w:rPr>
        <w:t xml:space="preserve">: After </w:t>
      </w:r>
      <w:r w:rsidRPr="00140BA0">
        <w:rPr>
          <w:rFonts w:ascii="Times New Roman" w:hAnsi="Times New Roman" w:cs="Times New Roman"/>
          <w:sz w:val="24"/>
          <w:szCs w:val="24"/>
        </w:rPr>
        <w:t xml:space="preserve">a UE is configured with Rel-17 TCI states, the following rules pertaining to QCL and UL spatial filter assumptions are used until the UE receives </w:t>
      </w:r>
      <w:r w:rsidR="00B972C0" w:rsidRPr="00B972C0">
        <w:rPr>
          <w:rFonts w:ascii="Times New Roman" w:hAnsi="Times New Roman" w:cs="Times New Roman"/>
          <w:color w:val="FF0000"/>
          <w:sz w:val="24"/>
          <w:szCs w:val="24"/>
        </w:rPr>
        <w:t xml:space="preserve">and applies </w:t>
      </w:r>
      <w:r w:rsidRPr="00140BA0">
        <w:rPr>
          <w:rFonts w:ascii="Times New Roman" w:hAnsi="Times New Roman" w:cs="Times New Roman"/>
          <w:sz w:val="24"/>
          <w:szCs w:val="24"/>
        </w:rPr>
        <w:t>a first instance of beam indication</w:t>
      </w:r>
    </w:p>
    <w:p w:rsidR="00140BA0" w:rsidRPr="00B972C0" w:rsidRDefault="005E5323" w:rsidP="00140BA0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</w:pPr>
      <w:r>
        <w:t>For all PDSCH</w:t>
      </w:r>
      <w:r w:rsidR="00140BA0" w:rsidRPr="00B972C0">
        <w:t xml:space="preserve">/PDCCH receptions in a CC [or in a set of configured CCs with common TCI state ID activation and update], as well as other signals/channels configured to sharing the same indicated Rel-17 TCI state as PDSCH /PDCCH reception,  the UE assumes that the corresponding DM-RS/CSI-RS antenna port is quasi co-located </w:t>
      </w:r>
      <w:r w:rsidR="00140BA0" w:rsidRPr="00D76127">
        <w:t xml:space="preserve">with the SS/PBCH block the UE identified during the initial access procedure, or </w:t>
      </w:r>
      <w:r w:rsidR="00140BA0" w:rsidRPr="00B972C0">
        <w:t>the SS/PBCH block or the CSI-RS resource the UE identified during the random access procedure initiated by the Reconfiguration with sync procedure</w:t>
      </w:r>
      <w:r w:rsidR="00D76127">
        <w:t xml:space="preserve"> </w:t>
      </w:r>
      <w:r w:rsidR="00140BA0" w:rsidRPr="00B972C0">
        <w:t>as described in [12, TS 38.331]</w:t>
      </w:r>
      <w:r w:rsidR="00140BA0" w:rsidRPr="00B972C0">
        <w:rPr>
          <w:strike/>
        </w:rPr>
        <w:t xml:space="preserve"> </w:t>
      </w:r>
    </w:p>
    <w:p w:rsidR="00140BA0" w:rsidRPr="00B972C0" w:rsidRDefault="00140BA0" w:rsidP="00140BA0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</w:pPr>
      <w:r w:rsidRPr="00B972C0">
        <w:t>For all PUSCH transmissions and all of PUCCH resources in a CC [or in a set of configured CCs with common TCI state ID activation and update], as well as other signals/channels configured to sharing the same indicated Rel-17 TCI state as PUSCH and all of PUCCH resources, the UE transmits the UL signal/channel using the same spatial domain transmission filter as for a PUSCH transmission scheduled by a RAR UL grant as described in clause 8.3 of TS 38.213</w:t>
      </w:r>
      <w:r w:rsidR="00817C07">
        <w:t xml:space="preserve"> </w:t>
      </w:r>
      <w:r w:rsidR="00817C07" w:rsidRPr="00817C07">
        <w:rPr>
          <w:color w:val="FF0000"/>
        </w:rPr>
        <w:t xml:space="preserve">or </w:t>
      </w:r>
      <w:proofErr w:type="spellStart"/>
      <w:r w:rsidR="00817C07" w:rsidRPr="00817C07">
        <w:rPr>
          <w:color w:val="FF0000"/>
        </w:rPr>
        <w:t>MsgA</w:t>
      </w:r>
      <w:proofErr w:type="spellEnd"/>
      <w:r w:rsidR="00817C07" w:rsidRPr="00817C07">
        <w:rPr>
          <w:color w:val="FF0000"/>
        </w:rPr>
        <w:t xml:space="preserve"> PUSCH</w:t>
      </w:r>
    </w:p>
    <w:p w:rsidR="00140BA0" w:rsidRPr="00B972C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BA0" w:rsidRPr="00B972C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BA0" w:rsidRPr="00B972C0" w:rsidRDefault="00140BA0" w:rsidP="00140BA0">
      <w:pPr>
        <w:pStyle w:val="NormalWeb"/>
        <w:snapToGrid w:val="0"/>
        <w:spacing w:before="0" w:beforeAutospacing="0" w:after="0" w:afterAutospacing="0"/>
      </w:pPr>
      <w:r w:rsidRPr="00B972C0">
        <w:rPr>
          <w:rStyle w:val="Strong"/>
          <w:u w:val="single"/>
        </w:rPr>
        <w:t>Proposal 2.B</w:t>
      </w:r>
      <w:r w:rsidRPr="00B972C0">
        <w:rPr>
          <w:rStyle w:val="Strong"/>
        </w:rPr>
        <w:t>: </w:t>
      </w:r>
      <w:r w:rsidRPr="00B972C0">
        <w:t>On Rel-17 enhancements for inter-cell beam management, in line with existing agreements, the UE monitors/receives paging and short message only from the serving cell</w:t>
      </w:r>
    </w:p>
    <w:p w:rsidR="00140BA0" w:rsidRPr="00D76127" w:rsidRDefault="00140BA0" w:rsidP="00140BA0">
      <w:pPr>
        <w:pStyle w:val="NormalWeb"/>
        <w:numPr>
          <w:ilvl w:val="0"/>
          <w:numId w:val="5"/>
        </w:numPr>
        <w:snapToGrid w:val="0"/>
        <w:spacing w:before="0" w:beforeAutospacing="0" w:after="0" w:afterAutospacing="0"/>
      </w:pPr>
      <w:r w:rsidRPr="00B972C0">
        <w:t xml:space="preserve">If the UE only supports a single activated TCI state, and if the </w:t>
      </w:r>
      <w:r w:rsidR="00D76127">
        <w:rPr>
          <w:color w:val="70AD47"/>
        </w:rPr>
        <w:t>UE is activated with only one</w:t>
      </w:r>
      <w:r w:rsidR="00D76127" w:rsidRPr="00B972C0">
        <w:t xml:space="preserve"> </w:t>
      </w:r>
      <w:r w:rsidRPr="00B972C0">
        <w:t>TCI state is associated with SSB with PCI different from the serving cell</w:t>
      </w:r>
      <w:r w:rsidR="00D76127">
        <w:t xml:space="preserve"> </w:t>
      </w:r>
      <w:r w:rsidR="00D76127" w:rsidRPr="00D76127">
        <w:rPr>
          <w:color w:val="FF0000"/>
        </w:rPr>
        <w:t>by MAC-CE</w:t>
      </w:r>
      <w:r w:rsidRPr="00B972C0">
        <w:t xml:space="preserve">, </w:t>
      </w:r>
      <w:r w:rsidR="00D76127" w:rsidRPr="00D76127">
        <w:rPr>
          <w:color w:val="FF0000"/>
        </w:rPr>
        <w:t xml:space="preserve">the </w:t>
      </w:r>
      <w:r w:rsidRPr="00B972C0">
        <w:t xml:space="preserve">UE is not required </w:t>
      </w:r>
      <w:r w:rsidRPr="001072E0">
        <w:t>to monitor any non-UE -dedicated signal/channel(s)</w:t>
      </w:r>
    </w:p>
    <w:p w:rsidR="00140BA0" w:rsidRP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140BA0" w:rsidRP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140BA0" w:rsidRP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40B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Proposed conclusion 2.C.1: </w:t>
      </w:r>
      <w:r w:rsidRPr="00140BA0">
        <w:rPr>
          <w:rFonts w:ascii="Times New Roman" w:hAnsi="Times New Roman" w:cs="Times New Roman"/>
          <w:sz w:val="24"/>
          <w:szCs w:val="24"/>
        </w:rPr>
        <w:t xml:space="preserve">On Rel-17 enhancements for inter-cell beam management and inter-cell </w:t>
      </w:r>
      <w:proofErr w:type="spellStart"/>
      <w:r w:rsidRPr="00140BA0">
        <w:rPr>
          <w:rFonts w:ascii="Times New Roman" w:hAnsi="Times New Roman" w:cs="Times New Roman"/>
          <w:sz w:val="24"/>
          <w:szCs w:val="24"/>
        </w:rPr>
        <w:t>mTRP</w:t>
      </w:r>
      <w:proofErr w:type="spellEnd"/>
      <w:r w:rsidRPr="00140BA0">
        <w:rPr>
          <w:rFonts w:ascii="Times New Roman" w:hAnsi="Times New Roman" w:cs="Times New Roman"/>
          <w:sz w:val="24"/>
          <w:szCs w:val="24"/>
        </w:rPr>
        <w:t>, in Rel-17, there is no consensus on s</w:t>
      </w:r>
      <w:r w:rsidRPr="00140BA0">
        <w:rPr>
          <w:rFonts w:ascii="Times New Roman" w:hAnsi="Times New Roman" w:cs="Times New Roman"/>
          <w:sz w:val="24"/>
          <w:szCs w:val="24"/>
          <w:lang w:eastAsia="en-US"/>
        </w:rPr>
        <w:t>upporting event-driven beam reporting</w:t>
      </w:r>
    </w:p>
    <w:p w:rsid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1072E0" w:rsidRPr="00140BA0" w:rsidRDefault="001072E0" w:rsidP="00140BA0">
      <w:pPr>
        <w:snapToGrid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140BA0" w:rsidRP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A0">
        <w:rPr>
          <w:rStyle w:val="Strong"/>
          <w:rFonts w:ascii="Times New Roman" w:hAnsi="Times New Roman" w:cs="Times New Roman"/>
          <w:sz w:val="24"/>
          <w:szCs w:val="24"/>
          <w:u w:val="single"/>
        </w:rPr>
        <w:t>Proposal 3.A</w:t>
      </w:r>
      <w:r w:rsidRPr="00140BA0">
        <w:rPr>
          <w:rFonts w:ascii="Times New Roman" w:hAnsi="Times New Roman" w:cs="Times New Roman"/>
          <w:sz w:val="24"/>
          <w:szCs w:val="24"/>
        </w:rPr>
        <w:t>: On Rel-17 DCI-based beam indication, regarding application time of the beam indication, the UE is configured with </w:t>
      </w:r>
      <w:r w:rsidRPr="001072E0">
        <w:rPr>
          <w:rFonts w:ascii="Times New Roman" w:hAnsi="Times New Roman" w:cs="Times New Roman"/>
          <w:sz w:val="24"/>
          <w:szCs w:val="24"/>
        </w:rPr>
        <w:t xml:space="preserve">at least one </w:t>
      </w:r>
      <w:r w:rsidRPr="00140BA0">
        <w:rPr>
          <w:rFonts w:ascii="Times New Roman" w:hAnsi="Times New Roman" w:cs="Times New Roman"/>
          <w:sz w:val="24"/>
          <w:szCs w:val="24"/>
        </w:rPr>
        <w:t>beam application time (BAT) </w:t>
      </w:r>
      <w:r w:rsidRPr="00140BA0">
        <w:rPr>
          <w:rFonts w:ascii="Times New Roman" w:hAnsi="Times New Roman" w:cs="Times New Roman"/>
          <w:color w:val="000000"/>
          <w:sz w:val="24"/>
          <w:szCs w:val="24"/>
        </w:rPr>
        <w:t>per BWP per CC</w:t>
      </w:r>
    </w:p>
    <w:p w:rsidR="00140BA0" w:rsidRPr="00140BA0" w:rsidRDefault="00140BA0" w:rsidP="00140BA0">
      <w:pPr>
        <w:pStyle w:val="ListParagraph"/>
        <w:numPr>
          <w:ilvl w:val="0"/>
          <w:numId w:val="5"/>
        </w:numPr>
        <w:snapToGrid w:val="0"/>
        <w:spacing w:after="0" w:line="240" w:lineRule="auto"/>
      </w:pPr>
      <w:r w:rsidRPr="00140BA0">
        <w:t>TBD (RAN1#107-e): whether a second configured BAT is also supported, e.g. for MPUE or inter-cell BM, per BWP per CC</w:t>
      </w:r>
    </w:p>
    <w:p w:rsidR="00140BA0" w:rsidRPr="00B972C0" w:rsidRDefault="006C2F34" w:rsidP="00140BA0">
      <w:pPr>
        <w:pStyle w:val="ListParagraph"/>
        <w:numPr>
          <w:ilvl w:val="0"/>
          <w:numId w:val="5"/>
        </w:numPr>
        <w:snapToGrid w:val="0"/>
        <w:spacing w:after="0" w:line="240" w:lineRule="auto"/>
      </w:pPr>
      <w:r w:rsidRPr="006C2F34">
        <w:rPr>
          <w:color w:val="FF0000"/>
        </w:rPr>
        <w:t xml:space="preserve">TBD (RAN1#107-e): Whether or not </w:t>
      </w:r>
      <w:r>
        <w:t>t</w:t>
      </w:r>
      <w:r w:rsidR="00140BA0" w:rsidRPr="00B972C0">
        <w:t>he</w:t>
      </w:r>
      <w:r w:rsidR="00B972C0">
        <w:t xml:space="preserve"> </w:t>
      </w:r>
      <w:r w:rsidR="00B972C0" w:rsidRPr="00B972C0">
        <w:rPr>
          <w:color w:val="FF0000"/>
        </w:rPr>
        <w:t>UE may assume that</w:t>
      </w:r>
      <w:r w:rsidR="00140BA0" w:rsidRPr="00B972C0">
        <w:rPr>
          <w:color w:val="FF0000"/>
        </w:rPr>
        <w:t xml:space="preserve"> </w:t>
      </w:r>
      <w:r w:rsidR="00140BA0" w:rsidRPr="00B972C0">
        <w:t>BWPs configured with same SCS</w:t>
      </w:r>
      <w:r w:rsidR="00987ADC">
        <w:t xml:space="preserve"> </w:t>
      </w:r>
      <w:r w:rsidR="00987ADC" w:rsidRPr="00987ADC">
        <w:rPr>
          <w:color w:val="FF0000"/>
        </w:rPr>
        <w:t xml:space="preserve">[in </w:t>
      </w:r>
      <w:r w:rsidR="00987ADC">
        <w:rPr>
          <w:color w:val="FF0000"/>
        </w:rPr>
        <w:t>a</w:t>
      </w:r>
      <w:r w:rsidR="00987ADC" w:rsidRPr="00987ADC">
        <w:rPr>
          <w:color w:val="FF0000"/>
        </w:rPr>
        <w:t xml:space="preserve"> same CC group]</w:t>
      </w:r>
      <w:r w:rsidR="00140BA0" w:rsidRPr="00B972C0">
        <w:t xml:space="preserve"> </w:t>
      </w:r>
      <w:r w:rsidR="00B972C0" w:rsidRPr="00B972C0">
        <w:rPr>
          <w:color w:val="FF0000"/>
        </w:rPr>
        <w:t xml:space="preserve">share </w:t>
      </w:r>
      <w:r w:rsidR="00140BA0" w:rsidRPr="00987ADC">
        <w:rPr>
          <w:strike/>
          <w:color w:val="FF0000"/>
        </w:rPr>
        <w:t>shall be configured with</w:t>
      </w:r>
      <w:r w:rsidR="00140BA0" w:rsidRPr="00987ADC">
        <w:rPr>
          <w:color w:val="FF0000"/>
        </w:rPr>
        <w:t xml:space="preserve"> </w:t>
      </w:r>
      <w:r w:rsidR="00140BA0" w:rsidRPr="00B972C0">
        <w:t>a same value of BAT</w:t>
      </w:r>
    </w:p>
    <w:p w:rsidR="00140BA0" w:rsidRP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140BA0" w:rsidRP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140BA0" w:rsidRP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140BA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Proposed conclusion 5.A: </w:t>
      </w:r>
      <w:r w:rsidRPr="00140BA0">
        <w:rPr>
          <w:rFonts w:ascii="Times New Roman" w:hAnsi="Times New Roman" w:cs="Times New Roman"/>
          <w:sz w:val="24"/>
          <w:szCs w:val="24"/>
          <w:lang w:eastAsia="zh-CN"/>
        </w:rPr>
        <w:t xml:space="preserve">On Rel.17 enhancements to facilitate MPE mitigation, there is no consensus on a specification-based criterion for </w:t>
      </w:r>
      <w:r w:rsidRPr="00140BA0">
        <w:rPr>
          <w:rFonts w:ascii="Times New Roman" w:hAnsi="Times New Roman" w:cs="Times New Roman"/>
          <w:sz w:val="24"/>
          <w:szCs w:val="24"/>
        </w:rPr>
        <w:t>selecting N from a candidate SSB/CSI-RS resource pool</w:t>
      </w:r>
    </w:p>
    <w:p w:rsidR="00140BA0" w:rsidRPr="00140BA0" w:rsidRDefault="00140BA0" w:rsidP="00140BA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C5" w:rsidRPr="00140BA0" w:rsidRDefault="002156C5" w:rsidP="00140BA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56C5" w:rsidRPr="0014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0DF"/>
    <w:multiLevelType w:val="hybridMultilevel"/>
    <w:tmpl w:val="A328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951"/>
    <w:multiLevelType w:val="hybridMultilevel"/>
    <w:tmpl w:val="DBAE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3D1A"/>
    <w:multiLevelType w:val="hybridMultilevel"/>
    <w:tmpl w:val="289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D46B2"/>
    <w:multiLevelType w:val="hybridMultilevel"/>
    <w:tmpl w:val="B8F2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00323"/>
    <w:multiLevelType w:val="multilevel"/>
    <w:tmpl w:val="EB7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C5"/>
    <w:rsid w:val="001072E0"/>
    <w:rsid w:val="00140BA0"/>
    <w:rsid w:val="002156C5"/>
    <w:rsid w:val="00237894"/>
    <w:rsid w:val="003E20E1"/>
    <w:rsid w:val="005E5323"/>
    <w:rsid w:val="006C2F34"/>
    <w:rsid w:val="00805469"/>
    <w:rsid w:val="00817C07"/>
    <w:rsid w:val="00987ADC"/>
    <w:rsid w:val="009B0876"/>
    <w:rsid w:val="00B972C0"/>
    <w:rsid w:val="00BC1C43"/>
    <w:rsid w:val="00BD7483"/>
    <w:rsid w:val="00D76127"/>
    <w:rsid w:val="00E0146C"/>
    <w:rsid w:val="00F5735B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AF401-E5B9-4885-80CD-ECBB7672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,목록 단락"/>
    <w:basedOn w:val="Normal"/>
    <w:link w:val="ListParagraphChar"/>
    <w:uiPriority w:val="34"/>
    <w:qFormat/>
    <w:rsid w:val="002156C5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2156C5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40B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0BA0"/>
  </w:style>
  <w:style w:type="character" w:styleId="Strong">
    <w:name w:val="Strong"/>
    <w:basedOn w:val="DefaultParagraphFont"/>
    <w:uiPriority w:val="22"/>
    <w:qFormat/>
    <w:rsid w:val="00140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2021-11-12T21:57:00Z</dcterms:created>
  <dcterms:modified xsi:type="dcterms:W3CDTF">2021-11-12T21:57:00Z</dcterms:modified>
</cp:coreProperties>
</file>