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sidRPr="006529B0">
              <w:rPr>
                <w:bCs/>
                <w:strike/>
                <w:color w:val="FF0000"/>
                <w:sz w:val="18"/>
                <w:szCs w:val="18"/>
              </w:rPr>
              <w:t>[</w:t>
            </w:r>
            <w:r w:rsidR="003721C9">
              <w:rPr>
                <w:bCs/>
                <w:sz w:val="18"/>
                <w:szCs w:val="18"/>
              </w:rPr>
              <w:t>in a band</w:t>
            </w:r>
            <w:r w:rsidR="003721C9" w:rsidRPr="006529B0">
              <w:rPr>
                <w:bCs/>
                <w:strike/>
                <w:color w:val="FF0000"/>
                <w:sz w:val="18"/>
                <w:szCs w:val="18"/>
              </w:rPr>
              <w:t>]</w:t>
            </w:r>
          </w:p>
          <w:p w14:paraId="267097AA" w14:textId="6C8152FE" w:rsidR="003518D3" w:rsidRPr="006529B0" w:rsidRDefault="00FD7CF4" w:rsidP="003518D3">
            <w:pPr>
              <w:numPr>
                <w:ilvl w:val="0"/>
                <w:numId w:val="28"/>
              </w:numPr>
              <w:snapToGrid w:val="0"/>
              <w:jc w:val="both"/>
              <w:rPr>
                <w:strike/>
                <w:color w:val="FF0000"/>
                <w:sz w:val="18"/>
                <w:szCs w:val="18"/>
              </w:rPr>
            </w:pPr>
            <w:r w:rsidRPr="006529B0">
              <w:rPr>
                <w:strike/>
                <w:color w:val="FF0000"/>
                <w:sz w:val="18"/>
                <w:szCs w:val="18"/>
              </w:rPr>
              <w:t>[</w:t>
            </w:r>
            <w:r w:rsidR="003518D3" w:rsidRPr="006529B0">
              <w:rPr>
                <w:strike/>
                <w:color w:val="FF0000"/>
                <w:sz w:val="18"/>
                <w:szCs w:val="18"/>
              </w:rPr>
              <w:t>The above is at least applicable for UE that supports no less than N configured unified TCI States per CC, where N is 64 for FR2 and N is maximum number of configured SSBs for FR1</w:t>
            </w:r>
            <w:r w:rsidRPr="006529B0">
              <w:rPr>
                <w:strike/>
                <w:color w:val="FF0000"/>
                <w:sz w:val="18"/>
                <w:szCs w:val="18"/>
              </w:rPr>
              <w:t>]</w:t>
            </w:r>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61234233" w14:textId="54A86973" w:rsidR="00344ADC" w:rsidRPr="00227CD5" w:rsidRDefault="004B59DE" w:rsidP="006529B0">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OPPO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af"/>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af"/>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af"/>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D04F94" w:rsidRPr="00732736" w14:paraId="7172CC52" w14:textId="77777777" w:rsidTr="00977E0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D04F94" w:rsidRPr="00227CD5" w:rsidRDefault="00D04F94" w:rsidP="00227CD5">
            <w:pPr>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98E0" w14:textId="77777777" w:rsidR="00D04F94" w:rsidRDefault="00D04F94" w:rsidP="00F972F4">
            <w:pPr>
              <w:snapToGrid w:val="0"/>
              <w:rPr>
                <w:rFonts w:eastAsia="SimSun"/>
                <w:color w:val="000000" w:themeColor="text1"/>
                <w:sz w:val="18"/>
                <w:lang w:eastAsia="x-none"/>
              </w:rPr>
            </w:pPr>
            <w:r w:rsidRPr="005475F1">
              <w:rPr>
                <w:b/>
                <w:color w:val="000000" w:themeColor="text1"/>
                <w:sz w:val="18"/>
                <w:u w:val="single"/>
                <w:lang w:eastAsia="x-none"/>
              </w:rPr>
              <w:t>Proposal</w:t>
            </w:r>
            <w:r>
              <w:rPr>
                <w:color w:val="000000" w:themeColor="text1"/>
                <w:sz w:val="18"/>
                <w:lang w:eastAsia="x-none"/>
              </w:rPr>
              <w:t xml:space="preserve">: </w:t>
            </w: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Pr>
                <w:color w:val="000000" w:themeColor="text1"/>
                <w:sz w:val="18"/>
                <w:lang w:eastAsia="x-none"/>
              </w:rPr>
              <w:t xml:space="preserve">, support </w:t>
            </w:r>
            <w:r>
              <w:rPr>
                <w:rFonts w:eastAsia="SimSun"/>
                <w:color w:val="000000" w:themeColor="text1"/>
                <w:sz w:val="18"/>
                <w:lang w:eastAsia="x-none"/>
              </w:rPr>
              <w:t>p</w:t>
            </w:r>
            <w:r w:rsidRPr="0087219B">
              <w:rPr>
                <w:rFonts w:eastAsia="SimSun"/>
                <w:color w:val="000000" w:themeColor="text1"/>
                <w:sz w:val="18"/>
                <w:lang w:eastAsia="x-none"/>
              </w:rPr>
              <w:t>er CORESET determination</w:t>
            </w:r>
            <w:r>
              <w:rPr>
                <w:rFonts w:eastAsia="SimSun"/>
                <w:color w:val="000000" w:themeColor="text1"/>
                <w:sz w:val="18"/>
                <w:lang w:eastAsia="x-none"/>
              </w:rPr>
              <w:t xml:space="preserve"> as follows:</w:t>
            </w:r>
          </w:p>
          <w:p w14:paraId="186CAE28" w14:textId="77777777" w:rsidR="00D04F94" w:rsidRPr="003B09D2" w:rsidRDefault="00D04F94" w:rsidP="005475F1">
            <w:pPr>
              <w:numPr>
                <w:ilvl w:val="0"/>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1C61F3C6" w14:textId="77777777" w:rsidR="00D04F94" w:rsidRPr="00BF63A0" w:rsidRDefault="00D04F94" w:rsidP="005475F1">
            <w:pPr>
              <w:numPr>
                <w:ilvl w:val="0"/>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4D1B217" w14:textId="77777777" w:rsidR="00D04F94" w:rsidRDefault="00D04F94" w:rsidP="00F972F4">
            <w:pPr>
              <w:snapToGrid w:val="0"/>
              <w:rPr>
                <w:color w:val="000000" w:themeColor="text1"/>
                <w:sz w:val="18"/>
                <w:lang w:eastAsia="x-none"/>
              </w:rPr>
            </w:pPr>
          </w:p>
          <w:p w14:paraId="2BAA2148" w14:textId="77777777" w:rsidR="00D04F94" w:rsidRDefault="00D04F94" w:rsidP="00F972F4">
            <w:pPr>
              <w:snapToGrid w:val="0"/>
              <w:rPr>
                <w:color w:val="000000" w:themeColor="text1"/>
                <w:sz w:val="18"/>
                <w:lang w:eastAsia="x-none"/>
              </w:rPr>
            </w:pPr>
            <w:r>
              <w:rPr>
                <w:color w:val="000000" w:themeColor="text1"/>
                <w:sz w:val="18"/>
                <w:lang w:eastAsia="x-none"/>
              </w:rPr>
              <w:t xml:space="preserve">(Version with more refinement for inter-cell to address the non-UE-dedicated reception issue for inter-cell) </w:t>
            </w:r>
          </w:p>
          <w:p w14:paraId="38CB83A0" w14:textId="77777777" w:rsidR="00D04F94" w:rsidRPr="003B09D2" w:rsidRDefault="00D04F94" w:rsidP="009A5E03">
            <w:pPr>
              <w:numPr>
                <w:ilvl w:val="0"/>
                <w:numId w:val="13"/>
              </w:numPr>
              <w:snapToGrid w:val="0"/>
              <w:jc w:val="both"/>
              <w:rPr>
                <w:rFonts w:eastAsia="SimSun"/>
                <w:bCs/>
                <w:sz w:val="18"/>
                <w:lang w:eastAsia="x-none"/>
              </w:rPr>
            </w:pPr>
            <w:r w:rsidRPr="009A5E03">
              <w:rPr>
                <w:rFonts w:eastAsia="SimSun"/>
                <w:color w:val="FF0000"/>
                <w:sz w:val="18"/>
                <w:lang w:eastAsia="x-none"/>
              </w:rPr>
              <w:t>For intra-cell beam indication</w:t>
            </w:r>
            <w:r>
              <w:rPr>
                <w:rFonts w:eastAsia="SimSun"/>
                <w:color w:val="000000" w:themeColor="text1"/>
                <w:sz w:val="18"/>
                <w:lang w:eastAsia="x-none"/>
              </w:rPr>
              <w:t>, f</w:t>
            </w:r>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855B00" w14:textId="77777777" w:rsidR="00D04F94" w:rsidRPr="00BF63A0" w:rsidRDefault="00D04F94" w:rsidP="009A5E03">
            <w:pPr>
              <w:numPr>
                <w:ilvl w:val="0"/>
                <w:numId w:val="13"/>
              </w:numPr>
              <w:snapToGrid w:val="0"/>
              <w:jc w:val="both"/>
              <w:rPr>
                <w:rFonts w:eastAsia="SimSun"/>
                <w:bCs/>
                <w:i/>
                <w:color w:val="000000" w:themeColor="text1"/>
                <w:sz w:val="18"/>
                <w:lang w:eastAsia="x-none"/>
              </w:rPr>
            </w:pPr>
            <w:r w:rsidRPr="009A5E03">
              <w:rPr>
                <w:rFonts w:eastAsia="SimSun"/>
                <w:color w:val="FF0000"/>
                <w:sz w:val="18"/>
                <w:lang w:eastAsia="x-none"/>
              </w:rPr>
              <w:t>For intra-cell beam indication,</w:t>
            </w:r>
            <w:r>
              <w:rPr>
                <w:rFonts w:eastAsia="SimSun"/>
                <w:color w:val="000000" w:themeColor="text1"/>
                <w:sz w:val="18"/>
                <w:lang w:eastAsia="x-none"/>
              </w:rPr>
              <w:t xml:space="preserve"> </w:t>
            </w:r>
            <w:r>
              <w:rPr>
                <w:color w:val="000000" w:themeColor="text1"/>
                <w:sz w:val="18"/>
                <w:lang w:eastAsia="x-none"/>
              </w:rPr>
              <w:t>f</w:t>
            </w:r>
            <w:r w:rsidRPr="00F972F4">
              <w:rPr>
                <w:color w:val="000000" w:themeColor="text1"/>
                <w:sz w:val="18"/>
                <w:lang w:eastAsia="x-none"/>
              </w:rPr>
              <w:t xml:space="preserve">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010112F4" w14:textId="77777777" w:rsidR="00D04F94" w:rsidRPr="00E51F03" w:rsidRDefault="00D04F94" w:rsidP="009A5E03">
            <w:pPr>
              <w:numPr>
                <w:ilvl w:val="0"/>
                <w:numId w:val="13"/>
              </w:numPr>
              <w:snapToGrid w:val="0"/>
              <w:jc w:val="both"/>
              <w:rPr>
                <w:rFonts w:eastAsia="SimSun"/>
                <w:bCs/>
                <w:sz w:val="18"/>
                <w:lang w:eastAsia="x-none"/>
              </w:rPr>
            </w:pPr>
            <w:r w:rsidRPr="009A5E03">
              <w:rPr>
                <w:rFonts w:eastAsia="SimSun"/>
                <w:bCs/>
                <w:color w:val="FF0000"/>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w:t>
            </w:r>
            <w:r w:rsidRPr="009A5E03">
              <w:rPr>
                <w:rFonts w:eastAsia="SimSun"/>
                <w:color w:val="FF0000"/>
                <w:sz w:val="18"/>
                <w:lang w:eastAsia="x-none"/>
              </w:rPr>
              <w:t>that is not associated with any CSS set and the respective PDSCH reception</w:t>
            </w:r>
            <w:r w:rsidRPr="003B09D2">
              <w:rPr>
                <w:rFonts w:eastAsia="SimSun"/>
                <w:sz w:val="18"/>
                <w:lang w:eastAsia="x-none"/>
              </w:rPr>
              <w:t>,</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p>
          <w:p w14:paraId="2140C92C" w14:textId="77777777" w:rsidR="00D04F94" w:rsidRPr="008908AD" w:rsidRDefault="00D04F94" w:rsidP="009A5E03">
            <w:pPr>
              <w:numPr>
                <w:ilvl w:val="0"/>
                <w:numId w:val="13"/>
              </w:numPr>
              <w:snapToGrid w:val="0"/>
              <w:jc w:val="both"/>
              <w:rPr>
                <w:rFonts w:eastAsia="SimSun"/>
                <w:bCs/>
                <w:sz w:val="18"/>
                <w:lang w:eastAsia="x-none"/>
              </w:rPr>
            </w:pPr>
            <w:r w:rsidRPr="009A5E03">
              <w:rPr>
                <w:rFonts w:eastAsia="SimSun"/>
                <w:bCs/>
                <w:color w:val="FF0000"/>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w:t>
            </w:r>
            <w:r w:rsidRPr="009A5E03">
              <w:rPr>
                <w:rFonts w:eastAsia="SimSun"/>
                <w:color w:val="FF0000"/>
                <w:sz w:val="18"/>
                <w:lang w:eastAsia="x-none"/>
              </w:rPr>
              <w:t>that is associated with any CSS set and the respective PDSCH reception</w:t>
            </w:r>
            <w:r w:rsidRPr="003B09D2">
              <w:rPr>
                <w:rFonts w:eastAsia="SimSun"/>
                <w:sz w:val="18"/>
                <w:lang w:eastAsia="x-none"/>
              </w:rPr>
              <w:t>,</w:t>
            </w:r>
            <w:r>
              <w:rPr>
                <w:rFonts w:eastAsia="SimSun"/>
                <w:sz w:val="18"/>
                <w:lang w:eastAsia="x-none"/>
              </w:rPr>
              <w:t xml:space="preserve"> </w:t>
            </w:r>
            <w:r w:rsidRPr="003B09D2">
              <w:rPr>
                <w:rFonts w:eastAsia="SimSun"/>
                <w:sz w:val="18"/>
                <w:lang w:eastAsia="x-none"/>
              </w:rPr>
              <w:t xml:space="preserve">UE </w:t>
            </w:r>
            <w:r>
              <w:rPr>
                <w:rFonts w:eastAsia="SimSun"/>
                <w:sz w:val="18"/>
                <w:lang w:eastAsia="x-none"/>
              </w:rPr>
              <w:t>does not apply</w:t>
            </w:r>
            <w:r w:rsidRPr="003B09D2">
              <w:rPr>
                <w:rFonts w:eastAsia="SimSun"/>
                <w:sz w:val="18"/>
                <w:lang w:eastAsia="x-none"/>
              </w:rPr>
              <w:t xml:space="preserve"> the indicated Rel-17 TCI state</w:t>
            </w:r>
            <w:r>
              <w:rPr>
                <w:rFonts w:eastAsia="SimSun"/>
                <w:sz w:val="18"/>
                <w:lang w:eastAsia="x-none"/>
              </w:rPr>
              <w:t>.</w:t>
            </w:r>
          </w:p>
          <w:p w14:paraId="4D726F1B" w14:textId="77777777" w:rsidR="00D04F94" w:rsidRDefault="00D04F94" w:rsidP="00F972F4">
            <w:pPr>
              <w:snapToGrid w:val="0"/>
              <w:rPr>
                <w:color w:val="000000" w:themeColor="text1"/>
                <w:sz w:val="18"/>
                <w:lang w:eastAsia="x-none"/>
              </w:rPr>
            </w:pPr>
          </w:p>
          <w:p w14:paraId="3A1D4726" w14:textId="77777777" w:rsidR="00D04F94" w:rsidRDefault="00D04F94" w:rsidP="00F972F4">
            <w:pPr>
              <w:snapToGrid w:val="0"/>
              <w:rPr>
                <w:color w:val="000000" w:themeColor="text1"/>
                <w:sz w:val="18"/>
                <w:lang w:eastAsia="x-none"/>
              </w:rPr>
            </w:pPr>
          </w:p>
          <w:p w14:paraId="103F40FE" w14:textId="77777777" w:rsidR="00D04F94" w:rsidRPr="0052761C" w:rsidRDefault="00D04F94" w:rsidP="00F972F4">
            <w:pPr>
              <w:snapToGrid w:val="0"/>
              <w:rPr>
                <w:color w:val="3333FF"/>
                <w:sz w:val="18"/>
                <w:u w:val="single"/>
                <w:lang w:eastAsia="x-none"/>
              </w:rPr>
            </w:pPr>
            <w:r w:rsidRPr="0052761C">
              <w:rPr>
                <w:b/>
                <w:color w:val="3333FF"/>
                <w:sz w:val="18"/>
                <w:u w:val="single"/>
                <w:lang w:eastAsia="x-none"/>
              </w:rPr>
              <w:t>FL Note</w:t>
            </w:r>
            <w:r w:rsidRPr="0052761C">
              <w:rPr>
                <w:color w:val="3333FF"/>
                <w:sz w:val="18"/>
                <w:lang w:eastAsia="x-none"/>
              </w:rPr>
              <w:t xml:space="preserve">: </w:t>
            </w:r>
            <w:r w:rsidRPr="0052761C">
              <w:rPr>
                <w:color w:val="3333FF"/>
                <w:sz w:val="18"/>
                <w:u w:val="single"/>
                <w:lang w:eastAsia="x-none"/>
              </w:rPr>
              <w:t>Summary of companies’ views</w:t>
            </w:r>
          </w:p>
          <w:p w14:paraId="65AD0EFD" w14:textId="77777777" w:rsidR="00D04F94" w:rsidRPr="0052761C" w:rsidRDefault="00D04F94" w:rsidP="00F972F4">
            <w:pPr>
              <w:snapToGrid w:val="0"/>
              <w:rPr>
                <w:rFonts w:eastAsia="PMingLiU"/>
                <w:color w:val="3333FF"/>
                <w:sz w:val="18"/>
                <w:lang w:eastAsia="zh-TW"/>
              </w:rPr>
            </w:pPr>
            <w:r w:rsidRPr="0052761C">
              <w:rPr>
                <w:color w:val="3333FF"/>
                <w:sz w:val="18"/>
                <w:lang w:eastAsia="x-none"/>
              </w:rPr>
              <w:t>For Rel-17 unified TCI framework, on applying the indicated Rel-17 TCI state to PDCCH reception and the respective PDSCH reception, for intra-cell and inter-cell BM:</w:t>
            </w:r>
            <w:r w:rsidRPr="0052761C">
              <w:rPr>
                <w:rFonts w:eastAsia="PMingLiU"/>
                <w:color w:val="3333FF"/>
                <w:sz w:val="18"/>
                <w:lang w:eastAsia="zh-TW"/>
              </w:rPr>
              <w:t xml:space="preserve"> </w:t>
            </w:r>
          </w:p>
          <w:p w14:paraId="3B24DB06" w14:textId="77777777" w:rsidR="00D04F94" w:rsidRPr="0052761C" w:rsidRDefault="00D04F94" w:rsidP="00D76A09">
            <w:pPr>
              <w:numPr>
                <w:ilvl w:val="0"/>
                <w:numId w:val="13"/>
              </w:numPr>
              <w:snapToGrid w:val="0"/>
              <w:jc w:val="both"/>
              <w:rPr>
                <w:rFonts w:eastAsia="SimSun"/>
                <w:color w:val="3333FF"/>
                <w:sz w:val="18"/>
                <w:lang w:eastAsia="x-none"/>
              </w:rPr>
            </w:pPr>
            <w:r w:rsidRPr="0052761C">
              <w:rPr>
                <w:rFonts w:eastAsia="SimSun"/>
                <w:color w:val="3333FF"/>
                <w:sz w:val="18"/>
                <w:lang w:eastAsia="x-none"/>
              </w:rPr>
              <w:t xml:space="preserve">Alt1: Per search space set determination </w:t>
            </w:r>
          </w:p>
          <w:p w14:paraId="0FF34A3A" w14:textId="77777777" w:rsidR="00D04F94" w:rsidRPr="0052761C" w:rsidRDefault="00D04F94" w:rsidP="00D76A09">
            <w:pPr>
              <w:numPr>
                <w:ilvl w:val="1"/>
                <w:numId w:val="13"/>
              </w:numPr>
              <w:snapToGrid w:val="0"/>
              <w:rPr>
                <w:rFonts w:eastAsia="SimSun"/>
                <w:bCs/>
                <w:color w:val="3333FF"/>
                <w:sz w:val="18"/>
                <w:lang w:eastAsia="x-none"/>
              </w:rPr>
            </w:pPr>
            <w:r w:rsidRPr="0052761C">
              <w:rPr>
                <w:rFonts w:eastAsia="SimSun"/>
                <w:color w:val="3333FF"/>
                <w:sz w:val="18"/>
                <w:lang w:eastAsia="x-none"/>
              </w:rPr>
              <w:t xml:space="preserve">For any PDCCH reception associated with a [Type2]/Type3 CSS and an USS set and the respective PDSCH reception, UE always applies the indicated Rel-17 TCI state. </w:t>
            </w:r>
          </w:p>
          <w:p w14:paraId="03734CC5" w14:textId="77777777" w:rsidR="00D04F94" w:rsidRPr="0052761C" w:rsidRDefault="00D04F94" w:rsidP="00D76A09">
            <w:pPr>
              <w:numPr>
                <w:ilvl w:val="1"/>
                <w:numId w:val="13"/>
              </w:numPr>
              <w:snapToGrid w:val="0"/>
              <w:rPr>
                <w:rFonts w:eastAsia="SimSun"/>
                <w:bCs/>
                <w:color w:val="3333FF"/>
                <w:sz w:val="18"/>
                <w:lang w:eastAsia="x-none"/>
              </w:rPr>
            </w:pPr>
            <w:r w:rsidRPr="0052761C">
              <w:rPr>
                <w:rFonts w:eastAsia="SimSun"/>
                <w:color w:val="3333FF"/>
                <w:sz w:val="18"/>
                <w:lang w:eastAsia="x-none"/>
              </w:rPr>
              <w:t>For other PDCCH reception and the respective PDSCH reception, whether UE to apply the indicated Rel-17 TCI state can be configured</w:t>
            </w:r>
            <w:r w:rsidRPr="0052761C">
              <w:rPr>
                <w:rFonts w:eastAsia="PMingLiU"/>
                <w:color w:val="3333FF"/>
                <w:sz w:val="18"/>
                <w:lang w:eastAsia="zh-TW"/>
              </w:rPr>
              <w:t xml:space="preserve"> </w:t>
            </w:r>
            <w:r w:rsidRPr="0052761C">
              <w:rPr>
                <w:rFonts w:eastAsia="SimSun"/>
                <w:color w:val="3333FF"/>
                <w:sz w:val="18"/>
                <w:lang w:eastAsia="x-none"/>
              </w:rPr>
              <w:t>per search space set by RRC</w:t>
            </w:r>
          </w:p>
          <w:p w14:paraId="7954CFCB" w14:textId="77777777" w:rsidR="00D04F94" w:rsidRPr="0052761C" w:rsidRDefault="00D04F94" w:rsidP="00D76A09">
            <w:pPr>
              <w:numPr>
                <w:ilvl w:val="0"/>
                <w:numId w:val="13"/>
              </w:numPr>
              <w:snapToGrid w:val="0"/>
              <w:rPr>
                <w:rFonts w:eastAsia="SimSun"/>
                <w:color w:val="3333FF"/>
                <w:sz w:val="18"/>
                <w:lang w:eastAsia="x-none"/>
              </w:rPr>
            </w:pPr>
            <w:r w:rsidRPr="0052761C">
              <w:rPr>
                <w:rFonts w:eastAsia="SimSun"/>
                <w:color w:val="3333FF"/>
                <w:sz w:val="18"/>
                <w:lang w:eastAsia="x-none"/>
              </w:rPr>
              <w:t>Alt2: Per CORESET determination (potential refinement for inter-cell per MTK’s input between V40 and V47)</w:t>
            </w:r>
          </w:p>
          <w:p w14:paraId="45B4A1B9" w14:textId="77777777" w:rsidR="00D04F94" w:rsidRPr="0052761C" w:rsidRDefault="00D04F94" w:rsidP="00D76A09">
            <w:pPr>
              <w:numPr>
                <w:ilvl w:val="1"/>
                <w:numId w:val="13"/>
              </w:numPr>
              <w:snapToGrid w:val="0"/>
              <w:jc w:val="both"/>
              <w:rPr>
                <w:rFonts w:eastAsia="SimSun"/>
                <w:bCs/>
                <w:color w:val="3333FF"/>
                <w:sz w:val="18"/>
                <w:lang w:eastAsia="x-none"/>
              </w:rPr>
            </w:pPr>
            <w:r w:rsidRPr="0052761C">
              <w:rPr>
                <w:rFonts w:eastAsia="SimSun"/>
                <w:color w:val="3333FF"/>
                <w:sz w:val="18"/>
                <w:lang w:eastAsia="x-none"/>
              </w:rPr>
              <w:t>For any PDCCH reception on a CORESET other than CORESET#0 that is associated with at least USS set(s) and the respective PDSCH reception, UE always applies the indicated Rel-17 TCI state.</w:t>
            </w:r>
          </w:p>
          <w:p w14:paraId="3DACFD2A" w14:textId="77777777" w:rsidR="00D04F94" w:rsidRPr="0052761C" w:rsidRDefault="00D04F94" w:rsidP="00D76A09">
            <w:pPr>
              <w:numPr>
                <w:ilvl w:val="1"/>
                <w:numId w:val="13"/>
              </w:numPr>
              <w:snapToGrid w:val="0"/>
              <w:jc w:val="both"/>
              <w:rPr>
                <w:rFonts w:eastAsia="SimSun"/>
                <w:bCs/>
                <w:i/>
                <w:color w:val="3333FF"/>
                <w:sz w:val="18"/>
                <w:lang w:eastAsia="x-none"/>
              </w:rPr>
            </w:pPr>
            <w:r w:rsidRPr="0052761C">
              <w:rPr>
                <w:color w:val="3333FF"/>
                <w:sz w:val="18"/>
                <w:lang w:eastAsia="x-none"/>
              </w:rPr>
              <w:t>For any PDCCH reception on CORESET#0 or a CORESET (other than CORESET#0) that is not associated with any USS set and the respective PDSCH reception, whether or not UE to apply the indicated Rel-17 TCI state is determined</w:t>
            </w:r>
            <w:r w:rsidRPr="0052761C">
              <w:rPr>
                <w:rFonts w:eastAsia="PMingLiU"/>
                <w:color w:val="3333FF"/>
                <w:sz w:val="18"/>
                <w:lang w:eastAsia="zh-TW"/>
              </w:rPr>
              <w:t xml:space="preserve"> </w:t>
            </w:r>
            <w:r w:rsidRPr="0052761C">
              <w:rPr>
                <w:color w:val="3333FF"/>
                <w:sz w:val="18"/>
                <w:lang w:eastAsia="x-none"/>
              </w:rPr>
              <w:t>per CORESET by RRC</w:t>
            </w:r>
          </w:p>
          <w:p w14:paraId="30790E9F" w14:textId="77777777" w:rsidR="00D04F94" w:rsidRPr="0052761C" w:rsidRDefault="00D04F94" w:rsidP="00D76A09">
            <w:pPr>
              <w:numPr>
                <w:ilvl w:val="0"/>
                <w:numId w:val="13"/>
              </w:numPr>
              <w:snapToGrid w:val="0"/>
              <w:jc w:val="both"/>
              <w:rPr>
                <w:rFonts w:eastAsia="SimSun"/>
                <w:color w:val="3333FF"/>
                <w:sz w:val="18"/>
                <w:lang w:eastAsia="x-none"/>
              </w:rPr>
            </w:pPr>
            <w:r w:rsidRPr="0052761C">
              <w:rPr>
                <w:rFonts w:eastAsia="SimSun"/>
                <w:color w:val="3333FF"/>
                <w:sz w:val="18"/>
                <w:lang w:eastAsia="x-none"/>
              </w:rPr>
              <w:t xml:space="preserve">Alt3: Per search space set determination </w:t>
            </w:r>
          </w:p>
          <w:p w14:paraId="2F32C5DA" w14:textId="77777777" w:rsidR="00D04F94" w:rsidRPr="0052761C" w:rsidRDefault="00D04F94" w:rsidP="00D76A09">
            <w:pPr>
              <w:numPr>
                <w:ilvl w:val="1"/>
                <w:numId w:val="13"/>
              </w:numPr>
              <w:snapToGrid w:val="0"/>
              <w:jc w:val="both"/>
              <w:rPr>
                <w:rFonts w:eastAsia="SimSun"/>
                <w:color w:val="3333FF"/>
                <w:sz w:val="18"/>
                <w:lang w:eastAsia="x-none"/>
              </w:rPr>
            </w:pPr>
            <w:r w:rsidRPr="0052761C">
              <w:rPr>
                <w:color w:val="3333FF"/>
                <w:sz w:val="18"/>
                <w:lang w:eastAsia="x-none"/>
              </w:rPr>
              <w:t>For any PDCCH reception associated with a CSS set and the respective PDSCH reception, whether UE to apply the indicated Rel-17 TCI state can be configured per search space set by RRC</w:t>
            </w:r>
          </w:p>
          <w:p w14:paraId="49DCF8BD" w14:textId="77777777" w:rsidR="00D04F94" w:rsidRPr="0052761C" w:rsidRDefault="00D04F94" w:rsidP="00D76A09">
            <w:pPr>
              <w:pStyle w:val="af"/>
              <w:numPr>
                <w:ilvl w:val="1"/>
                <w:numId w:val="13"/>
              </w:numPr>
              <w:snapToGrid w:val="0"/>
              <w:spacing w:after="0" w:line="240" w:lineRule="auto"/>
              <w:rPr>
                <w:color w:val="3333FF"/>
                <w:sz w:val="18"/>
                <w:lang w:eastAsia="x-none"/>
              </w:rPr>
            </w:pPr>
            <w:r w:rsidRPr="0052761C">
              <w:rPr>
                <w:color w:val="3333FF"/>
                <w:sz w:val="18"/>
                <w:lang w:eastAsia="x-none"/>
              </w:rPr>
              <w:t>For other PDCCH reception and the respective PDSCH reception, UE always applies the indicated Rel-17 TCI state.</w:t>
            </w:r>
          </w:p>
          <w:p w14:paraId="3D3F3B82" w14:textId="77777777" w:rsidR="00D04F94" w:rsidRPr="0052761C" w:rsidRDefault="00D04F94" w:rsidP="00D76A09">
            <w:pPr>
              <w:numPr>
                <w:ilvl w:val="0"/>
                <w:numId w:val="13"/>
              </w:numPr>
              <w:snapToGrid w:val="0"/>
              <w:rPr>
                <w:color w:val="3333FF"/>
                <w:sz w:val="18"/>
                <w:szCs w:val="18"/>
                <w:lang w:eastAsia="zh-CN"/>
              </w:rPr>
            </w:pPr>
            <w:r w:rsidRPr="0052761C">
              <w:rPr>
                <w:color w:val="3333FF"/>
                <w:sz w:val="18"/>
                <w:szCs w:val="18"/>
                <w:lang w:eastAsia="zh-CN"/>
              </w:rPr>
              <w:t xml:space="preserve">Alt4: Per </w:t>
            </w:r>
            <w:r w:rsidRPr="0052761C">
              <w:rPr>
                <w:rFonts w:hint="eastAsia"/>
                <w:color w:val="3333FF"/>
                <w:sz w:val="18"/>
                <w:szCs w:val="18"/>
                <w:lang w:eastAsia="zh-CN"/>
              </w:rPr>
              <w:t>MO</w:t>
            </w:r>
            <w:r w:rsidRPr="0052761C">
              <w:rPr>
                <w:color w:val="3333FF"/>
                <w:sz w:val="18"/>
                <w:szCs w:val="18"/>
                <w:lang w:eastAsia="zh-CN"/>
              </w:rPr>
              <w:t xml:space="preserve"> determination</w:t>
            </w:r>
          </w:p>
          <w:p w14:paraId="3DDAC3B1" w14:textId="77777777" w:rsidR="00D04F94" w:rsidRPr="0052761C" w:rsidRDefault="00D04F94" w:rsidP="00D76A09">
            <w:pPr>
              <w:numPr>
                <w:ilvl w:val="1"/>
                <w:numId w:val="13"/>
              </w:numPr>
              <w:snapToGrid w:val="0"/>
              <w:jc w:val="both"/>
              <w:rPr>
                <w:color w:val="3333FF"/>
                <w:sz w:val="18"/>
                <w:szCs w:val="18"/>
                <w:lang w:eastAsia="zh-CN"/>
              </w:rPr>
            </w:pPr>
            <w:r w:rsidRPr="0052761C">
              <w:rPr>
                <w:rFonts w:hint="eastAsia"/>
                <w:color w:val="3333FF"/>
                <w:sz w:val="18"/>
                <w:szCs w:val="18"/>
                <w:lang w:eastAsia="zh-CN"/>
              </w:rPr>
              <w:t>During each MO, f</w:t>
            </w:r>
            <w:r w:rsidRPr="0052761C">
              <w:rPr>
                <w:color w:val="3333FF"/>
                <w:sz w:val="18"/>
                <w:szCs w:val="18"/>
                <w:lang w:eastAsia="zh-CN"/>
              </w:rPr>
              <w:t>or any PDCCH reception on a CORESET that is associated with at least USS set(s) and the respective PDSCH reception, UE always applies the indicated Rel-17 TCI state.</w:t>
            </w:r>
          </w:p>
          <w:p w14:paraId="0C92327F" w14:textId="77777777" w:rsidR="00D04F94" w:rsidRPr="0052761C" w:rsidRDefault="00D04F94" w:rsidP="00C45DD1">
            <w:pPr>
              <w:numPr>
                <w:ilvl w:val="1"/>
                <w:numId w:val="13"/>
              </w:numPr>
              <w:snapToGrid w:val="0"/>
              <w:jc w:val="both"/>
              <w:rPr>
                <w:color w:val="3333FF"/>
                <w:sz w:val="18"/>
                <w:szCs w:val="18"/>
                <w:lang w:eastAsia="zh-CN"/>
              </w:rPr>
            </w:pPr>
            <w:r w:rsidRPr="0052761C">
              <w:rPr>
                <w:rFonts w:hint="eastAsia"/>
                <w:color w:val="3333FF"/>
                <w:sz w:val="18"/>
                <w:szCs w:val="18"/>
                <w:lang w:eastAsia="zh-CN"/>
              </w:rPr>
              <w:t>During each MO, f</w:t>
            </w:r>
            <w:r w:rsidRPr="0052761C">
              <w:rPr>
                <w:color w:val="3333FF"/>
                <w:sz w:val="18"/>
                <w:szCs w:val="18"/>
                <w:lang w:eastAsia="zh-CN"/>
              </w:rPr>
              <w:t>or any PDCCH reception on a CORESET that is not associated with any USS set and the respective PDSCH reception, whether UE to apply the indicated Rel-17 TCI state can be configured per CORESET by RRC</w:t>
            </w:r>
          </w:p>
          <w:p w14:paraId="5FA7F9C4" w14:textId="77777777" w:rsidR="00D04F94" w:rsidRPr="0052761C" w:rsidRDefault="00D04F94" w:rsidP="0052761C">
            <w:pPr>
              <w:snapToGrid w:val="0"/>
              <w:rPr>
                <w:b/>
                <w:color w:val="3333FF"/>
                <w:sz w:val="18"/>
                <w:szCs w:val="18"/>
                <w:lang w:val="sv-SE"/>
              </w:rPr>
            </w:pPr>
            <w:r w:rsidRPr="0052761C">
              <w:rPr>
                <w:b/>
                <w:color w:val="3333FF"/>
                <w:sz w:val="18"/>
                <w:szCs w:val="18"/>
                <w:lang w:val="sv-SE"/>
              </w:rPr>
              <w:t xml:space="preserve">Alt1: </w:t>
            </w:r>
            <w:r w:rsidRPr="0052761C">
              <w:rPr>
                <w:bCs/>
                <w:color w:val="3333FF"/>
                <w:sz w:val="18"/>
                <w:szCs w:val="18"/>
                <w:lang w:val="sv-SE"/>
              </w:rPr>
              <w:t xml:space="preserve">Apple </w:t>
            </w:r>
          </w:p>
          <w:p w14:paraId="4A25C6EB" w14:textId="77777777" w:rsidR="00D04F94" w:rsidRPr="0052761C" w:rsidRDefault="00D04F94" w:rsidP="0052761C">
            <w:pPr>
              <w:snapToGrid w:val="0"/>
              <w:rPr>
                <w:color w:val="3333FF"/>
                <w:sz w:val="18"/>
                <w:szCs w:val="18"/>
                <w:lang w:val="sv-SE"/>
              </w:rPr>
            </w:pPr>
            <w:r w:rsidRPr="0052761C">
              <w:rPr>
                <w:b/>
                <w:color w:val="3333FF"/>
                <w:sz w:val="18"/>
                <w:szCs w:val="18"/>
                <w:lang w:val="sv-SE"/>
              </w:rPr>
              <w:t xml:space="preserve">Alt2: </w:t>
            </w:r>
            <w:r w:rsidRPr="0052761C">
              <w:rPr>
                <w:color w:val="3333FF"/>
                <w:sz w:val="18"/>
                <w:szCs w:val="18"/>
                <w:lang w:val="sv-SE"/>
              </w:rPr>
              <w:t>Samsung, MTK, ZTE, NTT Docomo, TCL, Intel, Lenovo/MotM, vivo, Sony</w:t>
            </w:r>
            <w:r w:rsidRPr="0052761C">
              <w:rPr>
                <w:rFonts w:hint="eastAsia"/>
                <w:color w:val="3333FF"/>
                <w:sz w:val="18"/>
                <w:szCs w:val="18"/>
                <w:lang w:val="sv-SE" w:eastAsia="zh-CN"/>
              </w:rPr>
              <w:t>,</w:t>
            </w:r>
            <w:r w:rsidRPr="0052761C">
              <w:rPr>
                <w:color w:val="3333FF"/>
                <w:sz w:val="18"/>
                <w:szCs w:val="18"/>
                <w:lang w:val="sv-SE" w:eastAsia="zh-CN"/>
              </w:rPr>
              <w:t xml:space="preserve"> NEC, Ericsson, OPPO, ZTE, Xiaomi, Fraunhofer IIS/HHI, Futurewei</w:t>
            </w:r>
            <w:r w:rsidRPr="0052761C">
              <w:rPr>
                <w:color w:val="3333FF"/>
                <w:sz w:val="18"/>
                <w:szCs w:val="18"/>
                <w:lang w:val="sv-SE"/>
              </w:rPr>
              <w:t xml:space="preserve"> </w:t>
            </w:r>
          </w:p>
          <w:p w14:paraId="264D02BC" w14:textId="77777777" w:rsidR="00D04F94" w:rsidRPr="0052761C" w:rsidRDefault="00D04F94" w:rsidP="0052761C">
            <w:pPr>
              <w:snapToGrid w:val="0"/>
              <w:rPr>
                <w:color w:val="3333FF"/>
                <w:sz w:val="18"/>
                <w:szCs w:val="18"/>
                <w:lang w:val="sv-SE"/>
              </w:rPr>
            </w:pPr>
            <w:r w:rsidRPr="0052761C">
              <w:rPr>
                <w:b/>
                <w:color w:val="3333FF"/>
                <w:sz w:val="18"/>
                <w:szCs w:val="18"/>
                <w:lang w:val="sv-SE"/>
              </w:rPr>
              <w:t xml:space="preserve">Alt3: </w:t>
            </w:r>
            <w:r w:rsidRPr="0052761C">
              <w:rPr>
                <w:color w:val="3333FF"/>
                <w:sz w:val="18"/>
                <w:szCs w:val="18"/>
                <w:lang w:val="sv-SE"/>
              </w:rPr>
              <w:t>QC, NTT Docomo</w:t>
            </w:r>
          </w:p>
          <w:p w14:paraId="736EA635" w14:textId="77777777" w:rsidR="00D04F94" w:rsidRPr="0052761C" w:rsidRDefault="00D04F94" w:rsidP="0052761C">
            <w:pPr>
              <w:snapToGrid w:val="0"/>
              <w:jc w:val="both"/>
              <w:rPr>
                <w:b/>
                <w:color w:val="3333FF"/>
                <w:sz w:val="18"/>
                <w:u w:val="single"/>
                <w:lang w:eastAsia="x-none"/>
              </w:rPr>
            </w:pPr>
            <w:r w:rsidRPr="0052761C">
              <w:rPr>
                <w:b/>
                <w:color w:val="3333FF"/>
                <w:sz w:val="18"/>
                <w:szCs w:val="18"/>
                <w:lang w:val="sv-SE"/>
              </w:rPr>
              <w:t>Alt4</w:t>
            </w:r>
            <w:r w:rsidRPr="0052761C">
              <w:rPr>
                <w:color w:val="3333FF"/>
                <w:sz w:val="18"/>
                <w:szCs w:val="18"/>
                <w:lang w:val="sv-SE"/>
              </w:rPr>
              <w:t>: CATT</w:t>
            </w:r>
          </w:p>
          <w:p w14:paraId="76EB3D21" w14:textId="77777777" w:rsidR="00D04F94" w:rsidRDefault="00D04F94" w:rsidP="002764CB">
            <w:pPr>
              <w:snapToGrid w:val="0"/>
              <w:jc w:val="both"/>
              <w:rPr>
                <w:b/>
                <w:color w:val="3333FF"/>
                <w:sz w:val="18"/>
                <w:u w:val="single"/>
                <w:lang w:eastAsia="x-none"/>
              </w:rPr>
            </w:pPr>
          </w:p>
          <w:p w14:paraId="64B43C1B" w14:textId="39952130" w:rsidR="00D04F94" w:rsidRPr="008D2F74" w:rsidRDefault="00D04F94" w:rsidP="00227CD5">
            <w:pPr>
              <w:snapToGrid w:val="0"/>
              <w:rPr>
                <w:b/>
                <w:sz w:val="18"/>
                <w:szCs w:val="18"/>
                <w:lang w:val="sv-SE"/>
              </w:rPr>
            </w:pPr>
            <w:r w:rsidRPr="00593975">
              <w:rPr>
                <w:b/>
                <w:color w:val="3333FF"/>
                <w:sz w:val="18"/>
                <w:u w:val="single"/>
                <w:lang w:eastAsia="x-none"/>
              </w:rPr>
              <w:t>FL Note</w:t>
            </w:r>
            <w:r w:rsidRPr="00593975">
              <w:rPr>
                <w:color w:val="3333FF"/>
                <w:sz w:val="18"/>
                <w:lang w:eastAsia="x-none"/>
              </w:rPr>
              <w:t xml:space="preserve">: </w:t>
            </w:r>
            <w:r>
              <w:rPr>
                <w:color w:val="3333FF"/>
                <w:sz w:val="18"/>
                <w:lang w:eastAsia="x-none"/>
              </w:rPr>
              <w:t>IMO, t</w:t>
            </w:r>
            <w:r w:rsidRPr="00593975">
              <w:rPr>
                <w:color w:val="3333FF"/>
                <w:sz w:val="18"/>
                <w:lang w:eastAsia="x-none"/>
              </w:rPr>
              <w:t>his can (should) be left up to the editors (i.e. as long as the agreed function is properly implemented</w:t>
            </w:r>
            <w:r>
              <w:rPr>
                <w:color w:val="3333FF"/>
                <w:sz w:val="18"/>
                <w:lang w:eastAsia="x-none"/>
              </w:rPr>
              <w:t xml:space="preserve"> in the specs</w:t>
            </w:r>
            <w:r w:rsidRPr="00593975">
              <w:rPr>
                <w:color w:val="3333FF"/>
                <w:sz w:val="18"/>
                <w:lang w:eastAsia="x-none"/>
              </w:rPr>
              <w:t>, it shouldn’t be an issue). But we can discuss and see if there is any additional insight.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6B6C4EC6" w:rsidR="00693057" w:rsidRPr="00693057" w:rsidRDefault="00693057" w:rsidP="00693057">
            <w:pPr>
              <w:snapToGrid w:val="0"/>
              <w:rPr>
                <w:sz w:val="18"/>
              </w:rPr>
            </w:pPr>
            <w:r w:rsidRPr="00693057">
              <w:rPr>
                <w:rStyle w:val="ac"/>
                <w:sz w:val="18"/>
                <w:u w:val="single"/>
              </w:rPr>
              <w:t>Proposal 1.F</w:t>
            </w:r>
            <w:r w:rsidRPr="00693057">
              <w:rPr>
                <w:sz w:val="18"/>
              </w:rPr>
              <w:t>: After a UE is configured with more than one Rel-17 TCI states, before the UE receives and applies a first instance of</w:t>
            </w:r>
            <w:r w:rsidR="003B09D2">
              <w:rPr>
                <w:sz w:val="18"/>
              </w:rPr>
              <w:t xml:space="preserve"> Rel-17 MAC-CE/DCI-based</w:t>
            </w:r>
            <w:r w:rsidRPr="00693057">
              <w:rPr>
                <w:sz w:val="18"/>
              </w:rPr>
              <w:t xml:space="preserve"> beam indication</w:t>
            </w:r>
          </w:p>
          <w:p w14:paraId="7F2BABE2" w14:textId="77777777" w:rsidR="002B0004" w:rsidRDefault="00693057" w:rsidP="00F972F4">
            <w:pPr>
              <w:pStyle w:v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746D28AC" w14:textId="1FFE706C" w:rsidR="00693057" w:rsidRPr="002B0004" w:rsidRDefault="00693057" w:rsidP="00F972F4">
            <w:pPr>
              <w:pStyle w:val="Web"/>
              <w:numPr>
                <w:ilvl w:val="0"/>
                <w:numId w:val="32"/>
              </w:numPr>
              <w:snapToGrid w:val="0"/>
              <w:spacing w:before="0" w:after="0"/>
              <w:rPr>
                <w:sz w:val="18"/>
              </w:rPr>
            </w:pPr>
            <w:r w:rsidRPr="002B0004">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r w:rsidR="003B09D2" w:rsidRPr="002B0004">
              <w:rPr>
                <w:color w:val="FF0000"/>
                <w:sz w:val="18"/>
              </w:rPr>
              <w:t xml:space="preserve"> </w:t>
            </w:r>
            <w:r w:rsidR="003B09D2" w:rsidRPr="002B0004">
              <w:rPr>
                <w:sz w:val="18"/>
              </w:rPr>
              <w:t>using the same spatial domain transmission filter</w:t>
            </w:r>
            <w:r w:rsidRPr="002B0004">
              <w:rPr>
                <w:sz w:val="18"/>
              </w:rPr>
              <w:t xml:space="preserve"> based on the Rel-15/16 rules for PUCCH</w:t>
            </w:r>
            <w:r w:rsidR="003B09D2" w:rsidRPr="002B0004">
              <w:rPr>
                <w:sz w:val="18"/>
              </w:rPr>
              <w:t xml:space="preserve"> transmission when a UE doesn't have dedicated PUCCH resource configuration</w:t>
            </w:r>
            <w:r w:rsidR="003B09D2" w:rsidRPr="002B0004">
              <w:rPr>
                <w:color w:val="FF0000"/>
                <w:sz w:val="18"/>
              </w:rPr>
              <w:t>.</w:t>
            </w:r>
            <w:r w:rsidR="003B09D2" w:rsidRPr="002B0004" w:rsidDel="003B09D2">
              <w:rPr>
                <w:sz w:val="18"/>
              </w:rPr>
              <w:t xml:space="preserve"> </w:t>
            </w:r>
            <w:r w:rsidR="00180E6D" w:rsidRPr="002B0004">
              <w:rPr>
                <w:color w:val="000000" w:themeColor="text1"/>
                <w:sz w:val="18"/>
                <w:lang w:eastAsia="x-none"/>
              </w:rPr>
              <w:t xml:space="preserve">Note: For the case after a UE is configured with only one Rel-17 TCI state, the configured TCI state applies (without any need for beam indication) </w:t>
            </w:r>
          </w:p>
          <w:p w14:paraId="4E995092" w14:textId="77777777" w:rsidR="00180E6D" w:rsidRDefault="00180E6D" w:rsidP="00F972F4">
            <w:pPr>
              <w:snapToGrid w:val="0"/>
              <w:rPr>
                <w:color w:val="000000" w:themeColor="text1"/>
                <w:sz w:val="18"/>
                <w:lang w:eastAsia="x-none"/>
              </w:rPr>
            </w:pPr>
          </w:p>
          <w:p w14:paraId="0F709040" w14:textId="24D64D07" w:rsidR="00693057" w:rsidRDefault="00693057" w:rsidP="00FA0104">
            <w:pPr>
              <w:pStyle w:v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4C55CF0C" w14:textId="12F4E078" w:rsidR="002B0004" w:rsidRDefault="002B0004" w:rsidP="00FA0104">
            <w:pPr>
              <w:pStyle w:val="Web"/>
              <w:snapToGrid w:val="0"/>
              <w:spacing w:before="0" w:after="0"/>
              <w:rPr>
                <w:color w:val="000000" w:themeColor="text1"/>
                <w:sz w:val="18"/>
                <w:lang w:eastAsia="x-none"/>
              </w:rPr>
            </w:pPr>
          </w:p>
          <w:p w14:paraId="57541EA7" w14:textId="4131924A" w:rsidR="002B0004" w:rsidRDefault="002B0004" w:rsidP="00FA0104">
            <w:pPr>
              <w:pStyle w:val="Web"/>
              <w:snapToGrid w:val="0"/>
              <w:spacing w:before="0" w:after="0"/>
              <w:rPr>
                <w:color w:val="000000" w:themeColor="text1"/>
                <w:sz w:val="18"/>
                <w:lang w:eastAsia="x-none"/>
              </w:rPr>
            </w:pPr>
            <w:r w:rsidRPr="002B0004">
              <w:rPr>
                <w:b/>
                <w:color w:val="3333FF"/>
                <w:sz w:val="18"/>
                <w:u w:val="single"/>
                <w:lang w:eastAsia="x-none"/>
              </w:rPr>
              <w:t>FL Note 2</w:t>
            </w:r>
            <w:r w:rsidRPr="002B0004">
              <w:rPr>
                <w:color w:val="3333FF"/>
                <w:sz w:val="18"/>
                <w:lang w:eastAsia="x-none"/>
              </w:rPr>
              <w:t xml:space="preserve">: It seem difficult to come up with precise wording without any reference to a spec text. Perhaps this can be left to maintenance as ZTE suggested.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ＭＳ 明朝"/>
                <w:sz w:val="18"/>
                <w:szCs w:val="18"/>
                <w:lang w:eastAsia="ja-JP"/>
              </w:rPr>
            </w:pPr>
            <w:r>
              <w:rPr>
                <w:rFonts w:eastAsia="ＭＳ 明朝" w:hint="eastAsia"/>
                <w:sz w:val="18"/>
                <w:szCs w:val="18"/>
                <w:lang w:eastAsia="ja-JP"/>
              </w:rPr>
              <w:t>NTT Docomo</w:t>
            </w:r>
            <w:r>
              <w:rPr>
                <w:rFonts w:eastAsia="ＭＳ 明朝"/>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ＭＳ 明朝"/>
                <w:sz w:val="18"/>
                <w:szCs w:val="18"/>
                <w:lang w:eastAsia="ja-JP"/>
              </w:rPr>
            </w:pPr>
            <w:r>
              <w:rPr>
                <w:rFonts w:eastAsia="ＭＳ 明朝" w:hint="eastAsia"/>
                <w:sz w:val="18"/>
                <w:szCs w:val="18"/>
                <w:lang w:eastAsia="ja-JP"/>
              </w:rPr>
              <w:t>Proposal 1.A.3: Re Intel</w:t>
            </w:r>
            <w:r>
              <w:rPr>
                <w:rFonts w:eastAsia="ＭＳ 明朝"/>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ＭＳ 明朝"/>
                <w:sz w:val="18"/>
                <w:szCs w:val="18"/>
                <w:lang w:eastAsia="ja-JP"/>
              </w:rPr>
            </w:pPr>
            <w:r>
              <w:rPr>
                <w:rFonts w:eastAsia="ＭＳ 明朝"/>
                <w:sz w:val="18"/>
                <w:szCs w:val="18"/>
                <w:lang w:eastAsia="ja-JP"/>
              </w:rPr>
              <w:t xml:space="preserve">But, on the other hand, we agree with Intel’s concern. </w:t>
            </w:r>
            <w:r w:rsidRPr="00706216">
              <w:rPr>
                <w:rFonts w:eastAsia="ＭＳ 明朝"/>
                <w:sz w:val="18"/>
                <w:szCs w:val="18"/>
                <w:lang w:eastAsia="ja-JP"/>
              </w:rPr>
              <w:t>In Rel.17, many features except 8.1.1 are enhanced based on Rel.15/16 TCI state/spatial-relation (e.g. M-TRP,</w:t>
            </w:r>
            <w:r>
              <w:rPr>
                <w:rFonts w:eastAsia="ＭＳ 明朝"/>
                <w:sz w:val="18"/>
                <w:szCs w:val="18"/>
                <w:lang w:eastAsia="ja-JP"/>
              </w:rPr>
              <w:t xml:space="preserve"> etc.</w:t>
            </w:r>
            <w:r w:rsidRPr="00706216">
              <w:rPr>
                <w:rFonts w:eastAsia="ＭＳ 明朝"/>
                <w:sz w:val="18"/>
                <w:szCs w:val="18"/>
                <w:lang w:eastAsia="ja-JP"/>
              </w:rPr>
              <w:t>).</w:t>
            </w:r>
          </w:p>
          <w:p w14:paraId="5EDE5936" w14:textId="7A32A92D" w:rsidR="00706216" w:rsidRPr="00706216" w:rsidRDefault="00706216" w:rsidP="00F65F89">
            <w:pPr>
              <w:snapToGrid w:val="0"/>
              <w:rPr>
                <w:rFonts w:eastAsia="ＭＳ 明朝"/>
                <w:sz w:val="18"/>
                <w:szCs w:val="18"/>
                <w:lang w:eastAsia="ja-JP"/>
              </w:rPr>
            </w:pPr>
            <w:r>
              <w:rPr>
                <w:rFonts w:eastAsia="ＭＳ 明朝"/>
                <w:sz w:val="18"/>
                <w:szCs w:val="18"/>
                <w:lang w:eastAsia="ja-JP"/>
              </w:rPr>
              <w:t>Based on Proposal 1.A.3, i</w:t>
            </w:r>
            <w:r w:rsidRPr="00706216">
              <w:rPr>
                <w:rFonts w:eastAsia="ＭＳ 明朝"/>
                <w:sz w:val="18"/>
                <w:szCs w:val="18"/>
                <w:lang w:eastAsia="ja-JP"/>
              </w:rPr>
              <w:t>f unified TCI state is configured in any of CC, these features cannot be configured. In other word, if NW configures any of these features in any of CC, NW cannot configure Rel. 17 TCI state.</w:t>
            </w:r>
            <w:r>
              <w:rPr>
                <w:rFonts w:eastAsia="ＭＳ 明朝"/>
                <w:sz w:val="18"/>
                <w:szCs w:val="18"/>
                <w:lang w:eastAsia="ja-JP"/>
              </w:rPr>
              <w:t xml:space="preserve"> We think this is too restrictive, and we </w:t>
            </w:r>
            <w:r w:rsidR="00F65F89">
              <w:rPr>
                <w:rFonts w:eastAsia="ＭＳ 明朝"/>
                <w:sz w:val="18"/>
                <w:szCs w:val="18"/>
                <w:lang w:eastAsia="ja-JP"/>
              </w:rPr>
              <w:t>need to</w:t>
            </w:r>
            <w:r>
              <w:rPr>
                <w:rFonts w:eastAsia="ＭＳ 明朝"/>
                <w:sz w:val="18"/>
                <w:szCs w:val="18"/>
                <w:lang w:eastAsia="ja-JP"/>
              </w:rPr>
              <w:t xml:space="preserve"> consider this issue more. Otherwise, the applicability of unified TCI state becomes too limited.</w:t>
            </w:r>
            <w:r w:rsidR="00F65F89">
              <w:rPr>
                <w:rFonts w:eastAsia="ＭＳ 明朝"/>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ＭＳ 明朝"/>
                <w:sz w:val="18"/>
                <w:szCs w:val="18"/>
                <w:lang w:eastAsia="ja-JP"/>
              </w:rPr>
            </w:pPr>
            <w:r>
              <w:rPr>
                <w:rFonts w:eastAsia="ＭＳ 明朝"/>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ＭＳ 明朝"/>
                <w:b/>
                <w:color w:val="3333FF"/>
                <w:sz w:val="18"/>
                <w:szCs w:val="18"/>
                <w:lang w:eastAsia="ja-JP"/>
              </w:rPr>
            </w:pPr>
            <w:r w:rsidRPr="00693057">
              <w:rPr>
                <w:rFonts w:eastAsia="ＭＳ 明朝"/>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ＭＳ 明朝"/>
                <w:b/>
                <w:color w:val="3333FF"/>
                <w:sz w:val="18"/>
                <w:szCs w:val="18"/>
                <w:lang w:eastAsia="ja-JP"/>
              </w:rPr>
            </w:pPr>
          </w:p>
          <w:p w14:paraId="0A5C591C" w14:textId="64F0305C" w:rsidR="00693057" w:rsidRPr="00693057" w:rsidRDefault="00693057" w:rsidP="00706216">
            <w:pPr>
              <w:snapToGrid w:val="0"/>
              <w:rPr>
                <w:rFonts w:eastAsia="ＭＳ 明朝"/>
                <w:b/>
                <w:color w:val="3333FF"/>
                <w:sz w:val="18"/>
                <w:szCs w:val="18"/>
                <w:lang w:eastAsia="ja-JP"/>
              </w:rPr>
            </w:pPr>
            <w:r>
              <w:rPr>
                <w:rFonts w:eastAsia="ＭＳ 明朝"/>
                <w:b/>
                <w:color w:val="3333FF"/>
                <w:sz w:val="18"/>
                <w:szCs w:val="18"/>
                <w:lang w:eastAsia="ja-JP"/>
              </w:rPr>
              <w:t>Also added proposal 1.H back with revision.</w:t>
            </w:r>
          </w:p>
          <w:p w14:paraId="2D5E55E4" w14:textId="024CF37C" w:rsidR="00693057" w:rsidRDefault="00693057" w:rsidP="00706216">
            <w:pPr>
              <w:snapToGrid w:val="0"/>
              <w:rPr>
                <w:rFonts w:eastAsia="ＭＳ 明朝"/>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ＭＳ 明朝"/>
                <w:sz w:val="18"/>
                <w:szCs w:val="18"/>
                <w:lang w:eastAsia="ja-JP"/>
              </w:rPr>
            </w:pPr>
            <w:r>
              <w:rPr>
                <w:rFonts w:eastAsia="ＭＳ 明朝"/>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ＭＳ 明朝"/>
                <w:bCs/>
                <w:sz w:val="18"/>
                <w:szCs w:val="18"/>
                <w:lang w:eastAsia="ja-JP"/>
              </w:rPr>
            </w:pPr>
            <w:r w:rsidRPr="00722391">
              <w:rPr>
                <w:rFonts w:eastAsia="ＭＳ 明朝"/>
                <w:bCs/>
                <w:sz w:val="18"/>
                <w:szCs w:val="18"/>
                <w:lang w:eastAsia="ja-JP"/>
              </w:rPr>
              <w:t xml:space="preserve">For Proposal 1.A.1, 1.A.2 and 1.A.3: </w:t>
            </w:r>
            <w:r>
              <w:rPr>
                <w:rFonts w:eastAsia="ＭＳ 明朝"/>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ＭＳ 明朝"/>
                <w:bCs/>
                <w:sz w:val="18"/>
                <w:szCs w:val="18"/>
                <w:lang w:eastAsia="ja-JP"/>
              </w:rPr>
              <w:t>e</w:t>
            </w:r>
            <w:r>
              <w:rPr>
                <w:rFonts w:eastAsia="ＭＳ 明朝"/>
                <w:bCs/>
                <w:sz w:val="18"/>
                <w:szCs w:val="18"/>
                <w:lang w:eastAsia="ja-JP"/>
              </w:rPr>
              <w:t>s have to be re-designed because the current MAC C</w:t>
            </w:r>
            <w:r w:rsidR="005457D9">
              <w:rPr>
                <w:rFonts w:eastAsia="ＭＳ 明朝"/>
                <w:bCs/>
                <w:sz w:val="18"/>
                <w:szCs w:val="18"/>
                <w:lang w:eastAsia="ja-JP"/>
              </w:rPr>
              <w:t>e</w:t>
            </w:r>
            <w:r>
              <w:rPr>
                <w:rFonts w:eastAsia="ＭＳ 明朝"/>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ＭＳ 明朝"/>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ＭＳ 明朝"/>
                <w:bCs/>
                <w:sz w:val="18"/>
                <w:szCs w:val="18"/>
                <w:lang w:eastAsia="ja-JP"/>
              </w:rPr>
            </w:pPr>
            <w:r>
              <w:rPr>
                <w:rFonts w:eastAsia="ＭＳ 明朝"/>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ＭＳ 明朝"/>
                <w:bCs/>
                <w:sz w:val="18"/>
                <w:szCs w:val="18"/>
                <w:lang w:eastAsia="ja-JP"/>
              </w:rPr>
              <w:t xml:space="preserve">. </w:t>
            </w:r>
          </w:p>
          <w:p w14:paraId="377385C0" w14:textId="11D046E3" w:rsidR="007806CC" w:rsidRDefault="00981CCA" w:rsidP="00706216">
            <w:pPr>
              <w:snapToGrid w:val="0"/>
              <w:rPr>
                <w:rFonts w:eastAsia="ＭＳ 明朝"/>
                <w:bCs/>
                <w:sz w:val="18"/>
                <w:szCs w:val="18"/>
                <w:lang w:eastAsia="ja-JP"/>
              </w:rPr>
            </w:pPr>
            <w:r>
              <w:rPr>
                <w:rFonts w:eastAsia="ＭＳ 明朝"/>
                <w:bCs/>
                <w:sz w:val="18"/>
                <w:szCs w:val="18"/>
                <w:lang w:eastAsia="ja-JP"/>
              </w:rPr>
              <w:t>Your concern has been resolved in 1.A.2 bullets.</w:t>
            </w:r>
            <w:r w:rsidR="00CD0710">
              <w:rPr>
                <w:rFonts w:eastAsia="ＭＳ 明朝"/>
                <w:bCs/>
                <w:sz w:val="18"/>
                <w:szCs w:val="18"/>
                <w:lang w:eastAsia="ja-JP"/>
              </w:rPr>
              <w:t>]</w:t>
            </w:r>
          </w:p>
          <w:p w14:paraId="61A0301C" w14:textId="77777777" w:rsidR="00CD0710" w:rsidRDefault="00CD0710" w:rsidP="00706216">
            <w:pPr>
              <w:snapToGrid w:val="0"/>
              <w:rPr>
                <w:rFonts w:eastAsia="ＭＳ 明朝"/>
                <w:bCs/>
                <w:sz w:val="18"/>
                <w:szCs w:val="18"/>
                <w:lang w:eastAsia="ja-JP"/>
              </w:rPr>
            </w:pPr>
          </w:p>
          <w:p w14:paraId="75EA5BB9" w14:textId="09B5DAF2" w:rsidR="004F706D" w:rsidRDefault="007806CC" w:rsidP="00706216">
            <w:pPr>
              <w:snapToGrid w:val="0"/>
              <w:rPr>
                <w:rFonts w:eastAsia="ＭＳ 明朝"/>
                <w:bCs/>
                <w:sz w:val="18"/>
                <w:szCs w:val="18"/>
                <w:lang w:eastAsia="ja-JP"/>
              </w:rPr>
            </w:pPr>
            <w:r>
              <w:rPr>
                <w:rFonts w:eastAsia="ＭＳ 明朝"/>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ＭＳ 明朝"/>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ＭＳ 明朝"/>
                <w:bCs/>
                <w:sz w:val="18"/>
                <w:szCs w:val="18"/>
                <w:lang w:eastAsia="ja-JP"/>
              </w:rPr>
            </w:pPr>
          </w:p>
          <w:p w14:paraId="5E631B39" w14:textId="497DB089" w:rsidR="007806CC" w:rsidRDefault="007806CC" w:rsidP="00706216">
            <w:pPr>
              <w:snapToGrid w:val="0"/>
              <w:rPr>
                <w:rFonts w:eastAsia="ＭＳ 明朝"/>
                <w:bCs/>
                <w:sz w:val="18"/>
                <w:szCs w:val="18"/>
                <w:lang w:eastAsia="ja-JP"/>
              </w:rPr>
            </w:pPr>
            <w:r>
              <w:rPr>
                <w:rFonts w:eastAsia="ＭＳ 明朝"/>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ＭＳ 明朝"/>
                <w:bCs/>
                <w:sz w:val="18"/>
                <w:szCs w:val="18"/>
                <w:lang w:eastAsia="ja-JP"/>
              </w:rPr>
            </w:pPr>
          </w:p>
          <w:p w14:paraId="228B8768" w14:textId="77777777" w:rsidR="007806CC" w:rsidRDefault="007806CC" w:rsidP="00706216">
            <w:pPr>
              <w:snapToGrid w:val="0"/>
              <w:rPr>
                <w:rFonts w:eastAsia="ＭＳ 明朝"/>
                <w:bCs/>
                <w:sz w:val="18"/>
                <w:szCs w:val="18"/>
                <w:lang w:eastAsia="ja-JP"/>
              </w:rPr>
            </w:pPr>
            <w:r>
              <w:rPr>
                <w:rFonts w:eastAsia="ＭＳ 明朝"/>
                <w:bCs/>
                <w:sz w:val="18"/>
                <w:szCs w:val="18"/>
                <w:lang w:eastAsia="ja-JP"/>
              </w:rPr>
              <w:t xml:space="preserve">On 1.5: </w:t>
            </w:r>
          </w:p>
          <w:p w14:paraId="30605502" w14:textId="77777777"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1</w:t>
            </w:r>
            <w:r w:rsidRPr="007806CC">
              <w:rPr>
                <w:rFonts w:eastAsia="ＭＳ 明朝"/>
                <w:bCs/>
                <w:sz w:val="18"/>
                <w:szCs w:val="18"/>
                <w:vertAlign w:val="superscript"/>
                <w:lang w:eastAsia="ja-JP"/>
              </w:rPr>
              <w:t>st</w:t>
            </w:r>
            <w:r>
              <w:rPr>
                <w:rFonts w:eastAsia="ＭＳ 明朝"/>
                <w:bCs/>
                <w:sz w:val="18"/>
                <w:szCs w:val="18"/>
                <w:lang w:eastAsia="ja-JP"/>
              </w:rPr>
              <w:t xml:space="preserve"> bracket: remove the text. This should not be limited to joint TCI only.</w:t>
            </w:r>
          </w:p>
          <w:p w14:paraId="27DD9D24" w14:textId="585E3A16"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2</w:t>
            </w:r>
            <w:r w:rsidRPr="007806CC">
              <w:rPr>
                <w:rFonts w:eastAsia="ＭＳ 明朝"/>
                <w:bCs/>
                <w:sz w:val="18"/>
                <w:szCs w:val="18"/>
                <w:vertAlign w:val="superscript"/>
                <w:lang w:eastAsia="ja-JP"/>
              </w:rPr>
              <w:t>nd</w:t>
            </w:r>
            <w:r>
              <w:rPr>
                <w:rFonts w:eastAsia="ＭＳ 明朝"/>
                <w:bCs/>
                <w:sz w:val="18"/>
                <w:szCs w:val="18"/>
                <w:lang w:eastAsia="ja-JP"/>
              </w:rPr>
              <w:t xml:space="preserve"> b</w:t>
            </w:r>
            <w:r w:rsidR="004F706D">
              <w:rPr>
                <w:rFonts w:eastAsia="ＭＳ 明朝"/>
                <w:bCs/>
                <w:sz w:val="18"/>
                <w:szCs w:val="18"/>
                <w:lang w:eastAsia="ja-JP"/>
              </w:rPr>
              <w:t>r</w:t>
            </w:r>
            <w:r>
              <w:rPr>
                <w:rFonts w:eastAsia="ＭＳ 明朝"/>
                <w:bCs/>
                <w:sz w:val="18"/>
                <w:szCs w:val="18"/>
                <w:lang w:eastAsia="ja-JP"/>
              </w:rPr>
              <w:t>acket: keep the text</w:t>
            </w:r>
          </w:p>
          <w:p w14:paraId="65814164" w14:textId="31E730A4"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3</w:t>
            </w:r>
            <w:r w:rsidRPr="007806CC">
              <w:rPr>
                <w:rFonts w:eastAsia="ＭＳ 明朝"/>
                <w:bCs/>
                <w:sz w:val="18"/>
                <w:szCs w:val="18"/>
                <w:vertAlign w:val="superscript"/>
                <w:lang w:eastAsia="ja-JP"/>
              </w:rPr>
              <w:t>rd</w:t>
            </w:r>
            <w:r>
              <w:rPr>
                <w:rFonts w:eastAsia="ＭＳ 明朝"/>
                <w:bCs/>
                <w:sz w:val="18"/>
                <w:szCs w:val="18"/>
                <w:lang w:eastAsia="ja-JP"/>
              </w:rPr>
              <w:t xml:space="preserve"> b</w:t>
            </w:r>
            <w:r w:rsidR="004F706D">
              <w:rPr>
                <w:rFonts w:eastAsia="ＭＳ 明朝"/>
                <w:bCs/>
                <w:sz w:val="18"/>
                <w:szCs w:val="18"/>
                <w:lang w:eastAsia="ja-JP"/>
              </w:rPr>
              <w:t>r</w:t>
            </w:r>
            <w:r>
              <w:rPr>
                <w:rFonts w:eastAsia="ＭＳ 明朝"/>
                <w:bCs/>
                <w:sz w:val="18"/>
                <w:szCs w:val="18"/>
                <w:lang w:eastAsia="ja-JP"/>
              </w:rPr>
              <w:t>acket: remove the text. The BFR is only applied to each CC, not a set of CCs.</w:t>
            </w:r>
            <w:r w:rsidR="004F706D">
              <w:rPr>
                <w:rFonts w:eastAsia="ＭＳ 明朝"/>
                <w:bCs/>
                <w:sz w:val="18"/>
                <w:szCs w:val="18"/>
                <w:lang w:eastAsia="ja-JP"/>
              </w:rPr>
              <w:t xml:space="preserve"> Same reason as in 1.4</w:t>
            </w:r>
          </w:p>
          <w:p w14:paraId="7AD59F2E" w14:textId="77777777" w:rsidR="004F706D" w:rsidRDefault="004F706D"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4</w:t>
            </w:r>
            <w:r w:rsidRPr="004F706D">
              <w:rPr>
                <w:rFonts w:eastAsia="ＭＳ 明朝"/>
                <w:bCs/>
                <w:sz w:val="18"/>
                <w:szCs w:val="18"/>
                <w:vertAlign w:val="superscript"/>
                <w:lang w:eastAsia="ja-JP"/>
              </w:rPr>
              <w:t>th</w:t>
            </w:r>
            <w:r>
              <w:rPr>
                <w:rFonts w:eastAsia="ＭＳ 明朝"/>
                <w:bCs/>
                <w:sz w:val="18"/>
                <w:szCs w:val="18"/>
                <w:lang w:eastAsia="ja-JP"/>
              </w:rPr>
              <w:t xml:space="preserve"> bracket: keep the text. CBRA shall be supported here.</w:t>
            </w:r>
          </w:p>
          <w:p w14:paraId="5787360D" w14:textId="77777777" w:rsidR="004F706D" w:rsidRDefault="004F706D" w:rsidP="004F706D">
            <w:pPr>
              <w:snapToGrid w:val="0"/>
              <w:rPr>
                <w:rFonts w:eastAsia="ＭＳ 明朝"/>
                <w:bCs/>
                <w:sz w:val="18"/>
                <w:szCs w:val="18"/>
                <w:lang w:eastAsia="ja-JP"/>
              </w:rPr>
            </w:pPr>
            <w:r>
              <w:rPr>
                <w:rFonts w:eastAsia="ＭＳ 明朝"/>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ＭＳ 明朝"/>
                <w:bCs/>
                <w:sz w:val="18"/>
                <w:szCs w:val="18"/>
                <w:lang w:eastAsia="ja-JP"/>
              </w:rPr>
            </w:pPr>
          </w:p>
          <w:p w14:paraId="6E53EFC5" w14:textId="020E25E7" w:rsidR="004F706D" w:rsidRPr="004F706D" w:rsidRDefault="004F706D" w:rsidP="004F706D">
            <w:pPr>
              <w:snapToGrid w:val="0"/>
              <w:rPr>
                <w:rFonts w:eastAsia="ＭＳ 明朝"/>
                <w:bCs/>
                <w:sz w:val="18"/>
                <w:szCs w:val="18"/>
                <w:lang w:eastAsia="ja-JP"/>
              </w:rPr>
            </w:pPr>
            <w:r>
              <w:rPr>
                <w:rFonts w:eastAsia="ＭＳ 明朝"/>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ＭＳ 明朝"/>
                <w:sz w:val="18"/>
                <w:szCs w:val="18"/>
                <w:lang w:eastAsia="ja-JP"/>
              </w:rPr>
            </w:pPr>
            <w:r>
              <w:rPr>
                <w:rFonts w:eastAsia="ＭＳ 明朝"/>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ＭＳ 明朝"/>
                <w:sz w:val="18"/>
                <w:szCs w:val="18"/>
                <w:lang w:eastAsia="ja-JP"/>
              </w:rPr>
            </w:pPr>
            <w:r>
              <w:rPr>
                <w:rFonts w:eastAsia="ＭＳ 明朝"/>
                <w:sz w:val="18"/>
                <w:szCs w:val="18"/>
                <w:lang w:eastAsia="ja-JP"/>
              </w:rPr>
              <w:t>Lenovo/M</w:t>
            </w:r>
            <w:r w:rsidR="005457D9">
              <w:rPr>
                <w:rFonts w:eastAsia="ＭＳ 明朝"/>
                <w:sz w:val="18"/>
                <w:szCs w:val="18"/>
                <w:lang w:eastAsia="ja-JP"/>
              </w:rPr>
              <w:t>o</w:t>
            </w:r>
            <w:r>
              <w:rPr>
                <w:rFonts w:eastAsia="ＭＳ 明朝"/>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ＭＳ 明朝"/>
                <w:b/>
                <w:sz w:val="18"/>
                <w:szCs w:val="18"/>
                <w:lang w:eastAsia="ja-JP"/>
              </w:rPr>
            </w:pPr>
            <w:r>
              <w:rPr>
                <w:rFonts w:eastAsia="ＭＳ 明朝"/>
                <w:b/>
                <w:sz w:val="18"/>
                <w:szCs w:val="18"/>
                <w:lang w:eastAsia="ja-JP"/>
              </w:rPr>
              <w:t xml:space="preserve">Proposal 1.A.3: </w:t>
            </w:r>
            <w:r w:rsidRPr="008F03E6">
              <w:rPr>
                <w:rFonts w:eastAsia="ＭＳ 明朝"/>
                <w:bCs/>
                <w:sz w:val="18"/>
                <w:szCs w:val="18"/>
                <w:lang w:eastAsia="ja-JP"/>
              </w:rPr>
              <w:t>We support the main</w:t>
            </w:r>
            <w:r>
              <w:rPr>
                <w:rFonts w:eastAsia="ＭＳ 明朝"/>
                <w:bCs/>
                <w:sz w:val="18"/>
                <w:szCs w:val="18"/>
                <w:lang w:eastAsia="ja-JP"/>
              </w:rPr>
              <w:t xml:space="preserve"> </w:t>
            </w:r>
            <w:r w:rsidRPr="008F03E6">
              <w:rPr>
                <w:rFonts w:eastAsia="ＭＳ 明朝"/>
                <w:bCs/>
                <w:sz w:val="18"/>
                <w:szCs w:val="18"/>
                <w:lang w:eastAsia="ja-JP"/>
              </w:rPr>
              <w:t>bullet, but</w:t>
            </w:r>
            <w:r>
              <w:rPr>
                <w:rFonts w:eastAsia="ＭＳ 明朝"/>
                <w:b/>
                <w:sz w:val="18"/>
                <w:szCs w:val="18"/>
                <w:lang w:eastAsia="ja-JP"/>
              </w:rPr>
              <w:t xml:space="preserve"> w</w:t>
            </w:r>
            <w:r w:rsidRPr="008F03E6">
              <w:rPr>
                <w:rFonts w:eastAsia="ＭＳ 明朝"/>
                <w:bCs/>
                <w:sz w:val="18"/>
                <w:szCs w:val="18"/>
                <w:lang w:eastAsia="ja-JP"/>
              </w:rPr>
              <w:t>e</w:t>
            </w:r>
            <w:r>
              <w:rPr>
                <w:rFonts w:eastAsia="ＭＳ 明朝"/>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ＭＳ 明朝"/>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ＭＳ 明朝"/>
                <w:b/>
                <w:sz w:val="18"/>
                <w:szCs w:val="18"/>
                <w:lang w:eastAsia="ja-JP"/>
              </w:rPr>
              <w:t xml:space="preserve">Proposal 1.F: </w:t>
            </w:r>
            <w:r w:rsidRPr="008F03E6">
              <w:rPr>
                <w:rFonts w:eastAsia="ＭＳ 明朝"/>
                <w:bCs/>
                <w:sz w:val="18"/>
                <w:szCs w:val="18"/>
                <w:lang w:eastAsia="ja-JP"/>
              </w:rPr>
              <w:t>support</w:t>
            </w:r>
            <w:r>
              <w:rPr>
                <w:rFonts w:eastAsia="ＭＳ 明朝"/>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ＭＳ 明朝"/>
                <w:sz w:val="18"/>
                <w:szCs w:val="18"/>
                <w:lang w:eastAsia="ja-JP"/>
              </w:rPr>
            </w:pPr>
            <w:r>
              <w:rPr>
                <w:rFonts w:eastAsia="ＭＳ 明朝"/>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ＭＳ 明朝"/>
                <w:bCs/>
                <w:sz w:val="18"/>
                <w:szCs w:val="18"/>
                <w:lang w:eastAsia="ja-JP"/>
              </w:rPr>
            </w:pPr>
            <w:r>
              <w:rPr>
                <w:rFonts w:eastAsia="ＭＳ 明朝"/>
                <w:b/>
                <w:sz w:val="18"/>
                <w:szCs w:val="18"/>
                <w:lang w:eastAsia="ja-JP"/>
              </w:rPr>
              <w:t xml:space="preserve">Proposal 1.A.2: </w:t>
            </w:r>
            <w:r w:rsidRPr="00096449">
              <w:rPr>
                <w:rFonts w:eastAsia="ＭＳ 明朝"/>
                <w:bCs/>
                <w:sz w:val="18"/>
                <w:szCs w:val="18"/>
                <w:lang w:eastAsia="ja-JP"/>
              </w:rPr>
              <w:t>In our view the last bullet is important. We do not support to change the PC from set level into resource level.</w:t>
            </w:r>
            <w:r>
              <w:rPr>
                <w:rFonts w:eastAsia="ＭＳ 明朝"/>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ＭＳ 明朝"/>
                <w:bCs/>
                <w:sz w:val="18"/>
                <w:szCs w:val="18"/>
                <w:lang w:eastAsia="ja-JP"/>
              </w:rPr>
            </w:pPr>
            <w:r>
              <w:rPr>
                <w:rFonts w:eastAsia="ＭＳ 明朝"/>
                <w:bCs/>
                <w:sz w:val="18"/>
                <w:szCs w:val="18"/>
                <w:lang w:eastAsia="ja-JP"/>
              </w:rPr>
              <w:t>[Mod: rephrased to avoid concern on violating previous agreement]</w:t>
            </w:r>
          </w:p>
          <w:p w14:paraId="7F67B367" w14:textId="77777777" w:rsidR="00664CC6" w:rsidRDefault="00664CC6" w:rsidP="00CC6994">
            <w:pPr>
              <w:snapToGrid w:val="0"/>
              <w:rPr>
                <w:rFonts w:eastAsia="ＭＳ 明朝"/>
                <w:bCs/>
                <w:sz w:val="18"/>
                <w:szCs w:val="18"/>
                <w:lang w:eastAsia="ja-JP"/>
              </w:rPr>
            </w:pPr>
          </w:p>
          <w:p w14:paraId="5795BDA8" w14:textId="1F24AF5E" w:rsidR="00096449" w:rsidRDefault="00096449" w:rsidP="00CC6994">
            <w:pPr>
              <w:snapToGrid w:val="0"/>
              <w:rPr>
                <w:rFonts w:eastAsia="ＭＳ 明朝"/>
                <w:bCs/>
                <w:sz w:val="18"/>
                <w:szCs w:val="18"/>
                <w:lang w:eastAsia="ja-JP"/>
              </w:rPr>
            </w:pPr>
            <w:r>
              <w:rPr>
                <w:rFonts w:eastAsia="ＭＳ 明朝"/>
                <w:b/>
                <w:sz w:val="18"/>
                <w:szCs w:val="18"/>
                <w:lang w:eastAsia="ja-JP"/>
              </w:rPr>
              <w:t xml:space="preserve">Proposal 1.F: </w:t>
            </w:r>
            <w:r w:rsidRPr="00096449">
              <w:rPr>
                <w:rFonts w:eastAsia="ＭＳ 明朝"/>
                <w:bCs/>
                <w:sz w:val="18"/>
                <w:szCs w:val="18"/>
                <w:lang w:eastAsia="ja-JP"/>
              </w:rPr>
              <w:t>The starting time is unclear in this proposal.</w:t>
            </w:r>
          </w:p>
          <w:p w14:paraId="5D685A00" w14:textId="4F9BE887" w:rsidR="00096449" w:rsidRDefault="00096449" w:rsidP="00CC6994">
            <w:pPr>
              <w:snapToGrid w:val="0"/>
              <w:rPr>
                <w:rFonts w:eastAsia="ＭＳ 明朝"/>
                <w:bCs/>
                <w:sz w:val="18"/>
                <w:szCs w:val="18"/>
                <w:lang w:eastAsia="ja-JP"/>
              </w:rPr>
            </w:pPr>
            <w:r>
              <w:rPr>
                <w:rFonts w:eastAsia="ＭＳ 明朝"/>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ＭＳ 明朝"/>
                <w:bCs/>
                <w:sz w:val="18"/>
                <w:szCs w:val="18"/>
                <w:lang w:eastAsia="ja-JP"/>
              </w:rPr>
            </w:pPr>
            <w:r>
              <w:rPr>
                <w:rFonts w:eastAsia="ＭＳ 明朝"/>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ＭＳ 明朝"/>
                <w:b/>
                <w:sz w:val="18"/>
                <w:szCs w:val="18"/>
                <w:lang w:eastAsia="ja-JP"/>
              </w:rPr>
            </w:pPr>
            <w:r>
              <w:rPr>
                <w:rFonts w:eastAsia="ＭＳ 明朝"/>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ＭＳ 明朝"/>
                <w:b/>
                <w:sz w:val="18"/>
                <w:szCs w:val="18"/>
                <w:lang w:eastAsia="ja-JP"/>
              </w:rPr>
            </w:pPr>
          </w:p>
          <w:p w14:paraId="255953E1" w14:textId="5C7EEE6A" w:rsidR="00096449" w:rsidRPr="00693057" w:rsidRDefault="00096449" w:rsidP="00096449">
            <w:pPr>
              <w:snapToGrid w:val="0"/>
              <w:rPr>
                <w:sz w:val="18"/>
              </w:rPr>
            </w:pPr>
            <w:r w:rsidRPr="00693057">
              <w:rPr>
                <w:rStyle w:val="ac"/>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ＭＳ 明朝"/>
                <w:b/>
                <w:sz w:val="18"/>
                <w:szCs w:val="18"/>
                <w:lang w:eastAsia="ja-JP"/>
              </w:rPr>
            </w:pPr>
          </w:p>
          <w:p w14:paraId="3A77EA03" w14:textId="77777777" w:rsidR="00096449" w:rsidRDefault="00096449" w:rsidP="00CC6994">
            <w:pPr>
              <w:snapToGrid w:val="0"/>
              <w:rPr>
                <w:rFonts w:eastAsia="ＭＳ 明朝"/>
                <w:b/>
                <w:sz w:val="18"/>
                <w:szCs w:val="18"/>
                <w:lang w:eastAsia="ja-JP"/>
              </w:rPr>
            </w:pPr>
          </w:p>
          <w:p w14:paraId="2D6EE026" w14:textId="77777777" w:rsidR="00096449" w:rsidRDefault="00096449" w:rsidP="00CC6994">
            <w:pPr>
              <w:snapToGrid w:val="0"/>
              <w:rPr>
                <w:rFonts w:eastAsia="ＭＳ 明朝"/>
                <w:b/>
                <w:sz w:val="18"/>
                <w:szCs w:val="18"/>
                <w:lang w:eastAsia="ja-JP"/>
              </w:rPr>
            </w:pPr>
          </w:p>
          <w:p w14:paraId="24A37B7E" w14:textId="291889E5" w:rsidR="00096449" w:rsidRDefault="00096449" w:rsidP="00CC6994">
            <w:pPr>
              <w:snapToGrid w:val="0"/>
              <w:rPr>
                <w:rFonts w:eastAsia="ＭＳ 明朝"/>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ＭＳ 明朝"/>
                <w:sz w:val="18"/>
                <w:szCs w:val="18"/>
                <w:lang w:eastAsia="ja-JP"/>
              </w:rPr>
            </w:pPr>
            <w:r>
              <w:rPr>
                <w:rFonts w:eastAsia="ＭＳ 明朝"/>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1.4: </w:t>
            </w:r>
            <w:r>
              <w:rPr>
                <w:rFonts w:eastAsia="ＭＳ 明朝"/>
                <w:sz w:val="18"/>
                <w:szCs w:val="18"/>
                <w:lang w:eastAsia="ja-JP"/>
              </w:rPr>
              <w:t>Regarding the addition suggestion, we have the following comments:</w:t>
            </w:r>
          </w:p>
          <w:p w14:paraId="0C84758B" w14:textId="77777777" w:rsidR="007A2041" w:rsidRPr="009C4463" w:rsidRDefault="007A2041" w:rsidP="007A2041">
            <w:pPr>
              <w:pStyle w:val="af"/>
              <w:numPr>
                <w:ilvl w:val="0"/>
                <w:numId w:val="38"/>
              </w:numPr>
              <w:snapToGrid w:val="0"/>
              <w:rPr>
                <w:rFonts w:eastAsia="ＭＳ 明朝"/>
                <w:b/>
                <w:sz w:val="18"/>
                <w:szCs w:val="18"/>
                <w:lang w:eastAsia="ja-JP"/>
              </w:rPr>
            </w:pPr>
            <w:r>
              <w:rPr>
                <w:rFonts w:eastAsia="ＭＳ 明朝"/>
                <w:sz w:val="18"/>
                <w:szCs w:val="18"/>
                <w:lang w:eastAsia="ja-JP"/>
              </w:rPr>
              <w:t>Regarding t</w:t>
            </w:r>
            <w:r w:rsidRPr="009C4463">
              <w:rPr>
                <w:rFonts w:eastAsia="ＭＳ 明朝"/>
                <w:sz w:val="18"/>
                <w:szCs w:val="18"/>
                <w:lang w:eastAsia="ja-JP"/>
              </w:rPr>
              <w:t>he note of ‘q_new only provides QCL-TypeD indication for CCs different from the failed CC’</w:t>
            </w:r>
            <w:r>
              <w:rPr>
                <w:rFonts w:eastAsia="ＭＳ 明朝"/>
                <w:sz w:val="18"/>
                <w:szCs w:val="18"/>
                <w:lang w:eastAsia="ja-JP"/>
              </w:rPr>
              <w:t>, it</w:t>
            </w:r>
            <w:r w:rsidRPr="009C4463">
              <w:rPr>
                <w:rFonts w:eastAsia="ＭＳ 明朝"/>
                <w:sz w:val="18"/>
                <w:szCs w:val="18"/>
                <w:lang w:eastAsia="ja-JP"/>
              </w:rPr>
              <w:t xml:space="preserve"> is </w:t>
            </w:r>
            <w:r>
              <w:rPr>
                <w:rFonts w:eastAsia="ＭＳ 明朝"/>
                <w:sz w:val="18"/>
                <w:szCs w:val="18"/>
                <w:lang w:eastAsia="ja-JP"/>
              </w:rPr>
              <w:t xml:space="preserve">a little bit </w:t>
            </w:r>
            <w:r w:rsidRPr="009C4463">
              <w:rPr>
                <w:rFonts w:eastAsia="ＭＳ 明朝"/>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af"/>
              <w:numPr>
                <w:ilvl w:val="0"/>
                <w:numId w:val="38"/>
              </w:numPr>
              <w:snapToGrid w:val="0"/>
              <w:rPr>
                <w:rFonts w:eastAsia="ＭＳ 明朝"/>
                <w:b/>
                <w:sz w:val="18"/>
                <w:szCs w:val="18"/>
                <w:lang w:eastAsia="ja-JP"/>
              </w:rPr>
            </w:pPr>
            <w:r w:rsidRPr="009C4463">
              <w:rPr>
                <w:rFonts w:eastAsia="ＭＳ 明朝"/>
                <w:sz w:val="18"/>
                <w:szCs w:val="18"/>
                <w:lang w:eastAsia="ja-JP"/>
              </w:rPr>
              <w:t>Regarding ‘corresponding RS’, does it means that we need to identify some another RS</w:t>
            </w:r>
            <w:r>
              <w:rPr>
                <w:rFonts w:eastAsia="ＭＳ 明朝"/>
                <w:sz w:val="18"/>
                <w:szCs w:val="18"/>
                <w:lang w:eastAsia="ja-JP"/>
              </w:rPr>
              <w:t>(s)</w:t>
            </w:r>
            <w:r w:rsidRPr="009C4463">
              <w:rPr>
                <w:rFonts w:eastAsia="ＭＳ 明朝"/>
                <w:sz w:val="18"/>
                <w:szCs w:val="18"/>
                <w:lang w:eastAsia="ja-JP"/>
              </w:rPr>
              <w:t xml:space="preserve"> but associated with the q_new to update the QCL assumption in the set of CCs. Some clarification is needed.</w:t>
            </w:r>
            <w:r>
              <w:rPr>
                <w:rFonts w:eastAsia="ＭＳ 明朝"/>
                <w:sz w:val="18"/>
                <w:szCs w:val="18"/>
                <w:lang w:eastAsia="ja-JP"/>
              </w:rPr>
              <w:t xml:space="preserve"> In our initial thoughts. </w:t>
            </w:r>
            <w:r w:rsidR="005457D9">
              <w:rPr>
                <w:rFonts w:eastAsia="ＭＳ 明朝"/>
                <w:sz w:val="18"/>
                <w:szCs w:val="18"/>
                <w:lang w:eastAsia="ja-JP"/>
              </w:rPr>
              <w:t>Q</w:t>
            </w:r>
            <w:r>
              <w:rPr>
                <w:rFonts w:eastAsia="ＭＳ 明朝"/>
                <w:sz w:val="18"/>
                <w:szCs w:val="18"/>
                <w:lang w:eastAsia="ja-JP"/>
              </w:rPr>
              <w:t>_new seems to be sufficient</w:t>
            </w:r>
          </w:p>
          <w:p w14:paraId="57C5A168" w14:textId="71CB807F" w:rsidR="007A2041" w:rsidRPr="006208A3" w:rsidRDefault="007A2041" w:rsidP="007A2041">
            <w:pPr>
              <w:snapToGrid w:val="0"/>
              <w:rPr>
                <w:rFonts w:eastAsia="ＭＳ 明朝"/>
                <w:sz w:val="18"/>
                <w:szCs w:val="18"/>
                <w:lang w:eastAsia="ja-JP"/>
              </w:rPr>
            </w:pPr>
            <w:r>
              <w:rPr>
                <w:rFonts w:eastAsia="ＭＳ 明朝"/>
                <w:b/>
                <w:sz w:val="18"/>
                <w:szCs w:val="18"/>
                <w:lang w:eastAsia="ja-JP"/>
              </w:rPr>
              <w:t xml:space="preserve">Proposal 1.5: </w:t>
            </w:r>
            <w:r w:rsidRPr="006208A3">
              <w:rPr>
                <w:rFonts w:eastAsia="ＭＳ 明朝"/>
                <w:sz w:val="18"/>
                <w:szCs w:val="18"/>
                <w:lang w:eastAsia="ja-JP"/>
              </w:rPr>
              <w:t>Regarding</w:t>
            </w:r>
            <w:r>
              <w:rPr>
                <w:rFonts w:eastAsia="ＭＳ 明朝"/>
                <w:sz w:val="18"/>
                <w:szCs w:val="18"/>
                <w:lang w:eastAsia="ja-JP"/>
              </w:rPr>
              <w:t xml:space="preserve"> additional suggestions, in our views, ‘the index q_new’ may be needed still for S</w:t>
            </w:r>
            <w:r w:rsidR="005457D9">
              <w:rPr>
                <w:rFonts w:eastAsia="ＭＳ 明朝"/>
                <w:sz w:val="18"/>
                <w:szCs w:val="18"/>
                <w:lang w:eastAsia="ja-JP"/>
              </w:rPr>
              <w:t>c</w:t>
            </w:r>
            <w:r>
              <w:rPr>
                <w:rFonts w:eastAsia="ＭＳ 明朝"/>
                <w:sz w:val="18"/>
                <w:szCs w:val="18"/>
                <w:lang w:eastAsia="ja-JP"/>
              </w:rPr>
              <w:t>ell-BFR where there is no PRACH transmission.</w:t>
            </w:r>
          </w:p>
          <w:p w14:paraId="53CDF90F" w14:textId="77777777" w:rsidR="007A2041" w:rsidRDefault="007A2041" w:rsidP="007A2041">
            <w:pPr>
              <w:snapToGrid w:val="0"/>
              <w:rPr>
                <w:rFonts w:eastAsia="ＭＳ 明朝"/>
                <w:b/>
                <w:sz w:val="18"/>
                <w:szCs w:val="18"/>
                <w:lang w:eastAsia="ja-JP"/>
              </w:rPr>
            </w:pPr>
          </w:p>
          <w:p w14:paraId="1FD88BF8"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1.6: </w:t>
            </w:r>
            <w:r>
              <w:rPr>
                <w:rFonts w:eastAsia="ＭＳ 明朝"/>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ＭＳ 明朝"/>
                <w:sz w:val="18"/>
                <w:szCs w:val="18"/>
                <w:lang w:eastAsia="ja-JP"/>
              </w:rPr>
            </w:pPr>
          </w:p>
          <w:p w14:paraId="7898145D"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1.7: </w:t>
            </w:r>
            <w:r>
              <w:rPr>
                <w:rFonts w:eastAsia="ＭＳ 明朝"/>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ＭＳ 明朝"/>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ＭＳ 明朝"/>
                <w:sz w:val="18"/>
                <w:szCs w:val="18"/>
                <w:lang w:eastAsia="ja-JP"/>
              </w:rPr>
            </w:pPr>
            <w:r>
              <w:rPr>
                <w:rFonts w:eastAsia="ＭＳ 明朝"/>
                <w:sz w:val="18"/>
                <w:szCs w:val="18"/>
                <w:lang w:eastAsia="ja-JP"/>
              </w:rPr>
              <w:t xml:space="preserve">  </w:t>
            </w:r>
          </w:p>
          <w:p w14:paraId="5B8EFE5D" w14:textId="31B204CE" w:rsidR="007A2041" w:rsidRDefault="007A2041" w:rsidP="007A2041">
            <w:pPr>
              <w:snapToGrid w:val="0"/>
              <w:rPr>
                <w:rFonts w:eastAsia="ＭＳ 明朝"/>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ＭＳ 明朝"/>
                <w:sz w:val="18"/>
                <w:szCs w:val="18"/>
                <w:lang w:eastAsia="ja-JP"/>
              </w:rPr>
            </w:pPr>
            <w:r>
              <w:rPr>
                <w:rFonts w:eastAsia="ＭＳ 明朝"/>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ＭＳ 明朝"/>
                <w:bCs/>
                <w:sz w:val="18"/>
                <w:szCs w:val="18"/>
                <w:lang w:eastAsia="ja-JP"/>
              </w:rPr>
            </w:pPr>
            <w:r w:rsidRPr="001C1D35">
              <w:rPr>
                <w:rFonts w:eastAsia="ＭＳ 明朝"/>
                <w:bCs/>
                <w:sz w:val="18"/>
                <w:szCs w:val="18"/>
                <w:lang w:eastAsia="ja-JP"/>
              </w:rPr>
              <w:t>For 1</w:t>
            </w:r>
            <w:r>
              <w:rPr>
                <w:rFonts w:eastAsia="ＭＳ 明朝"/>
                <w:bCs/>
                <w:sz w:val="18"/>
                <w:szCs w:val="18"/>
                <w:lang w:eastAsia="ja-JP"/>
              </w:rPr>
              <w:t>.</w:t>
            </w:r>
            <w:r w:rsidRPr="001C1D35">
              <w:rPr>
                <w:rFonts w:eastAsia="ＭＳ 明朝"/>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ＭＳ 明朝"/>
                <w:bCs/>
                <w:sz w:val="18"/>
                <w:szCs w:val="18"/>
                <w:lang w:eastAsia="ja-JP"/>
              </w:rPr>
            </w:pPr>
          </w:p>
          <w:p w14:paraId="7D65728F" w14:textId="77777777" w:rsidR="00C504AD" w:rsidRPr="00AB208E" w:rsidRDefault="00C504AD" w:rsidP="00C504AD">
            <w:pPr>
              <w:pStyle w:val="af"/>
              <w:numPr>
                <w:ilvl w:val="0"/>
                <w:numId w:val="16"/>
              </w:numPr>
              <w:snapToGrid w:val="0"/>
              <w:spacing w:after="0" w:line="240" w:lineRule="auto"/>
              <w:jc w:val="both"/>
              <w:rPr>
                <w:rFonts w:eastAsia="ＭＳ 明朝"/>
                <w:bCs/>
                <w:sz w:val="18"/>
                <w:szCs w:val="18"/>
                <w:lang w:eastAsia="ja-JP"/>
              </w:rPr>
            </w:pPr>
            <w:r w:rsidRPr="00AB208E">
              <w:rPr>
                <w:rFonts w:eastAsia="ＭＳ 明朝"/>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ＭＳ 明朝"/>
                <w:bCs/>
                <w:sz w:val="18"/>
                <w:szCs w:val="18"/>
                <w:lang w:eastAsia="ja-JP"/>
              </w:rPr>
            </w:pPr>
          </w:p>
          <w:p w14:paraId="78F2F658" w14:textId="77777777" w:rsidR="00C504AD" w:rsidRPr="00110067" w:rsidRDefault="00C504AD" w:rsidP="00C504AD">
            <w:pPr>
              <w:snapToGrid w:val="0"/>
              <w:rPr>
                <w:rFonts w:eastAsia="ＭＳ 明朝"/>
                <w:bCs/>
                <w:sz w:val="18"/>
                <w:szCs w:val="18"/>
                <w:lang w:eastAsia="ja-JP"/>
              </w:rPr>
            </w:pPr>
            <w:r w:rsidRPr="00110067">
              <w:rPr>
                <w:rFonts w:eastAsia="ＭＳ 明朝"/>
                <w:bCs/>
                <w:sz w:val="18"/>
                <w:szCs w:val="18"/>
                <w:lang w:eastAsia="ja-JP"/>
              </w:rPr>
              <w:t>For 1</w:t>
            </w:r>
            <w:r>
              <w:rPr>
                <w:rFonts w:eastAsia="ＭＳ 明朝"/>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ＭＳ 明朝"/>
                <w:bCs/>
                <w:sz w:val="18"/>
                <w:szCs w:val="18"/>
                <w:lang w:eastAsia="ja-JP"/>
              </w:rPr>
            </w:pPr>
          </w:p>
          <w:p w14:paraId="37E9D637" w14:textId="77777777" w:rsidR="00C504AD" w:rsidRPr="00AB208E" w:rsidRDefault="00C504AD" w:rsidP="00C504AD">
            <w:pPr>
              <w:numPr>
                <w:ilvl w:val="0"/>
                <w:numId w:val="28"/>
              </w:numPr>
              <w:snapToGrid w:val="0"/>
              <w:jc w:val="both"/>
              <w:rPr>
                <w:rFonts w:eastAsia="ＭＳ 明朝"/>
                <w:bCs/>
                <w:sz w:val="18"/>
                <w:szCs w:val="18"/>
                <w:lang w:eastAsia="ja-JP"/>
              </w:rPr>
            </w:pPr>
            <w:r w:rsidRPr="00AB208E">
              <w:rPr>
                <w:rFonts w:eastAsia="ＭＳ 明朝"/>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ＭＳ 明朝"/>
                <w:bCs/>
                <w:sz w:val="18"/>
                <w:szCs w:val="18"/>
                <w:lang w:eastAsia="ja-JP"/>
              </w:rPr>
            </w:pPr>
          </w:p>
          <w:p w14:paraId="47AE4143" w14:textId="77777777" w:rsidR="00C504AD" w:rsidRDefault="00C504AD" w:rsidP="00C504AD">
            <w:pPr>
              <w:snapToGrid w:val="0"/>
              <w:rPr>
                <w:rFonts w:eastAsia="ＭＳ 明朝"/>
                <w:bCs/>
                <w:sz w:val="18"/>
                <w:szCs w:val="18"/>
                <w:lang w:eastAsia="ja-JP"/>
              </w:rPr>
            </w:pPr>
            <w:r w:rsidRPr="00AB208E">
              <w:rPr>
                <w:rFonts w:eastAsia="ＭＳ 明朝"/>
                <w:bCs/>
                <w:sz w:val="18"/>
                <w:szCs w:val="18"/>
                <w:lang w:eastAsia="ja-JP"/>
              </w:rPr>
              <w:t>For 1.4</w:t>
            </w:r>
          </w:p>
          <w:p w14:paraId="030A7E8F" w14:textId="4934F164"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For 1</w:t>
            </w:r>
            <w:r w:rsidRPr="00AE0DE2">
              <w:rPr>
                <w:rFonts w:eastAsia="ＭＳ 明朝"/>
                <w:bCs/>
                <w:sz w:val="18"/>
                <w:szCs w:val="18"/>
                <w:vertAlign w:val="superscript"/>
                <w:lang w:eastAsia="ja-JP"/>
              </w:rPr>
              <w:t>st</w:t>
            </w:r>
            <w:r w:rsidRPr="00AE0DE2">
              <w:rPr>
                <w:rFonts w:eastAsia="ＭＳ 明朝"/>
                <w:bCs/>
                <w:sz w:val="18"/>
                <w:szCs w:val="18"/>
                <w:lang w:eastAsia="ja-JP"/>
              </w:rPr>
              <w:t xml:space="preserve"> bracket, suggest to add “failed CC(s)” to align R16 S</w:t>
            </w:r>
            <w:r w:rsidR="005457D9" w:rsidRPr="00AE0DE2">
              <w:rPr>
                <w:rFonts w:eastAsia="ＭＳ 明朝"/>
                <w:bCs/>
                <w:sz w:val="18"/>
                <w:szCs w:val="18"/>
                <w:lang w:eastAsia="ja-JP"/>
              </w:rPr>
              <w:t>c</w:t>
            </w:r>
            <w:r w:rsidRPr="00AE0DE2">
              <w:rPr>
                <w:rFonts w:eastAsia="ＭＳ 明朝"/>
                <w:bCs/>
                <w:sz w:val="18"/>
                <w:szCs w:val="18"/>
                <w:lang w:eastAsia="ja-JP"/>
              </w:rPr>
              <w:t>ell BFR beam resetting behavior</w:t>
            </w:r>
          </w:p>
          <w:p w14:paraId="44A5F7E9" w14:textId="77777777" w:rsidR="00C504AD" w:rsidRPr="00AE0DE2" w:rsidRDefault="00C504AD" w:rsidP="00C504AD">
            <w:pPr>
              <w:pStyle w:val="af"/>
              <w:numPr>
                <w:ilvl w:val="1"/>
                <w:numId w:val="16"/>
              </w:numPr>
              <w:snapToGrid w:val="0"/>
              <w:rPr>
                <w:rFonts w:eastAsia="ＭＳ 明朝"/>
                <w:bCs/>
                <w:sz w:val="18"/>
                <w:szCs w:val="18"/>
                <w:lang w:eastAsia="ja-JP"/>
              </w:rPr>
            </w:pPr>
            <w:r w:rsidRPr="00AE0DE2">
              <w:rPr>
                <w:rFonts w:eastAsia="ＭＳ 明朝"/>
                <w:bCs/>
                <w:sz w:val="18"/>
                <w:szCs w:val="18"/>
                <w:lang w:eastAsia="ja-JP"/>
              </w:rPr>
              <w:t xml:space="preserve">or </w:t>
            </w:r>
            <w:r w:rsidRPr="00AE0DE2">
              <w:rPr>
                <w:rFonts w:eastAsia="ＭＳ 明朝"/>
                <w:bCs/>
                <w:color w:val="FF0000"/>
                <w:sz w:val="18"/>
                <w:szCs w:val="18"/>
                <w:lang w:eastAsia="ja-JP"/>
              </w:rPr>
              <w:t>failed CC(s)</w:t>
            </w:r>
            <w:r w:rsidRPr="00AE0DE2">
              <w:rPr>
                <w:rFonts w:eastAsia="ＭＳ 明朝"/>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For 2</w:t>
            </w:r>
            <w:r w:rsidRPr="00AE0DE2">
              <w:rPr>
                <w:rFonts w:eastAsia="ＭＳ 明朝"/>
                <w:bCs/>
                <w:sz w:val="18"/>
                <w:szCs w:val="18"/>
                <w:vertAlign w:val="superscript"/>
                <w:lang w:eastAsia="ja-JP"/>
              </w:rPr>
              <w:t>nd</w:t>
            </w:r>
            <w:r w:rsidRPr="00AE0DE2">
              <w:rPr>
                <w:rFonts w:eastAsia="ＭＳ 明朝"/>
                <w:bCs/>
                <w:sz w:val="18"/>
                <w:szCs w:val="18"/>
                <w:lang w:eastAsia="ja-JP"/>
              </w:rPr>
              <w:t xml:space="preserve"> bracket, fine to remove the bracket</w:t>
            </w:r>
          </w:p>
          <w:p w14:paraId="47C8D168" w14:textId="77777777" w:rsidR="00C504AD" w:rsidRDefault="00C504AD" w:rsidP="00C504AD">
            <w:pPr>
              <w:snapToGrid w:val="0"/>
              <w:rPr>
                <w:rFonts w:eastAsia="ＭＳ 明朝"/>
                <w:bCs/>
                <w:sz w:val="18"/>
                <w:szCs w:val="18"/>
                <w:lang w:eastAsia="ja-JP"/>
              </w:rPr>
            </w:pPr>
          </w:p>
          <w:p w14:paraId="7E164DA2"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For 1.5</w:t>
            </w:r>
          </w:p>
          <w:p w14:paraId="38AD2B4D" w14:textId="77777777"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1</w:t>
            </w:r>
            <w:r w:rsidRPr="005457D9">
              <w:rPr>
                <w:rFonts w:eastAsia="ＭＳ 明朝"/>
                <w:bCs/>
                <w:sz w:val="18"/>
                <w:szCs w:val="18"/>
                <w:vertAlign w:val="superscript"/>
                <w:lang w:eastAsia="ja-JP"/>
              </w:rPr>
              <w:t>st</w:t>
            </w:r>
            <w:r>
              <w:rPr>
                <w:rFonts w:eastAsia="ＭＳ 明朝"/>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2</w:t>
            </w:r>
            <w:r w:rsidRPr="005457D9">
              <w:rPr>
                <w:rFonts w:eastAsia="ＭＳ 明朝"/>
                <w:bCs/>
                <w:sz w:val="18"/>
                <w:szCs w:val="18"/>
                <w:vertAlign w:val="superscript"/>
                <w:lang w:eastAsia="ja-JP"/>
              </w:rPr>
              <w:t>nd</w:t>
            </w:r>
            <w:r>
              <w:rPr>
                <w:rFonts w:eastAsia="ＭＳ 明朝"/>
                <w:bCs/>
                <w:sz w:val="18"/>
                <w:szCs w:val="18"/>
                <w:lang w:eastAsia="ja-JP"/>
              </w:rPr>
              <w:t xml:space="preserve"> bracket, suggest to only keep q_new and remove PRACH. It is the S</w:t>
            </w:r>
            <w:r w:rsidR="005457D9">
              <w:rPr>
                <w:rFonts w:eastAsia="ＭＳ 明朝"/>
                <w:bCs/>
                <w:sz w:val="18"/>
                <w:szCs w:val="18"/>
                <w:lang w:eastAsia="ja-JP"/>
              </w:rPr>
              <w:t>c</w:t>
            </w:r>
            <w:r>
              <w:rPr>
                <w:rFonts w:eastAsia="ＭＳ 明朝"/>
                <w:bCs/>
                <w:sz w:val="18"/>
                <w:szCs w:val="18"/>
                <w:lang w:eastAsia="ja-JP"/>
              </w:rPr>
              <w:t>ell BFR behavior, i.e. q_new is used for both DL and UL</w:t>
            </w:r>
          </w:p>
          <w:p w14:paraId="7C6D59E4" w14:textId="0F90DE3A"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 xml:space="preserve">For </w:t>
            </w:r>
            <w:r>
              <w:rPr>
                <w:rFonts w:eastAsia="ＭＳ 明朝"/>
                <w:bCs/>
                <w:sz w:val="18"/>
                <w:szCs w:val="18"/>
                <w:lang w:eastAsia="ja-JP"/>
              </w:rPr>
              <w:t>3</w:t>
            </w:r>
            <w:r w:rsidRPr="00584D9B">
              <w:rPr>
                <w:rFonts w:eastAsia="ＭＳ 明朝"/>
                <w:bCs/>
                <w:sz w:val="18"/>
                <w:szCs w:val="18"/>
                <w:vertAlign w:val="superscript"/>
                <w:lang w:eastAsia="ja-JP"/>
              </w:rPr>
              <w:t>rd</w:t>
            </w:r>
            <w:r>
              <w:rPr>
                <w:rFonts w:eastAsia="ＭＳ 明朝"/>
                <w:bCs/>
                <w:sz w:val="18"/>
                <w:szCs w:val="18"/>
                <w:lang w:eastAsia="ja-JP"/>
              </w:rPr>
              <w:t xml:space="preserve"> </w:t>
            </w:r>
            <w:r w:rsidRPr="00AE0DE2">
              <w:rPr>
                <w:rFonts w:eastAsia="ＭＳ 明朝"/>
                <w:bCs/>
                <w:sz w:val="18"/>
                <w:szCs w:val="18"/>
                <w:lang w:eastAsia="ja-JP"/>
              </w:rPr>
              <w:t>bracket, suggest to add “failed CC(s)” to align R16 S</w:t>
            </w:r>
            <w:r w:rsidR="005457D9" w:rsidRPr="00AE0DE2">
              <w:rPr>
                <w:rFonts w:eastAsia="ＭＳ 明朝"/>
                <w:bCs/>
                <w:sz w:val="18"/>
                <w:szCs w:val="18"/>
                <w:lang w:eastAsia="ja-JP"/>
              </w:rPr>
              <w:t>c</w:t>
            </w:r>
            <w:r w:rsidRPr="00AE0DE2">
              <w:rPr>
                <w:rFonts w:eastAsia="ＭＳ 明朝"/>
                <w:bCs/>
                <w:sz w:val="18"/>
                <w:szCs w:val="18"/>
                <w:lang w:eastAsia="ja-JP"/>
              </w:rPr>
              <w:t>ell BFR beam resetting behavior</w:t>
            </w:r>
          </w:p>
          <w:p w14:paraId="0A1E777E" w14:textId="77777777" w:rsidR="00C504AD" w:rsidRPr="00AE0DE2" w:rsidRDefault="00C504AD" w:rsidP="00C504AD">
            <w:pPr>
              <w:pStyle w:val="af"/>
              <w:numPr>
                <w:ilvl w:val="1"/>
                <w:numId w:val="16"/>
              </w:numPr>
              <w:snapToGrid w:val="0"/>
              <w:rPr>
                <w:rFonts w:eastAsia="ＭＳ 明朝"/>
                <w:bCs/>
                <w:sz w:val="18"/>
                <w:szCs w:val="18"/>
                <w:lang w:eastAsia="ja-JP"/>
              </w:rPr>
            </w:pPr>
            <w:r w:rsidRPr="00AE0DE2">
              <w:rPr>
                <w:rFonts w:eastAsia="ＭＳ 明朝"/>
                <w:bCs/>
                <w:sz w:val="18"/>
                <w:szCs w:val="18"/>
                <w:lang w:eastAsia="ja-JP"/>
              </w:rPr>
              <w:t xml:space="preserve">or </w:t>
            </w:r>
            <w:r w:rsidRPr="00AE0DE2">
              <w:rPr>
                <w:rFonts w:eastAsia="ＭＳ 明朝"/>
                <w:bCs/>
                <w:color w:val="FF0000"/>
                <w:sz w:val="18"/>
                <w:szCs w:val="18"/>
                <w:lang w:eastAsia="ja-JP"/>
              </w:rPr>
              <w:t>failed CC(s)</w:t>
            </w:r>
            <w:r w:rsidRPr="00AE0DE2">
              <w:rPr>
                <w:rFonts w:eastAsia="ＭＳ 明朝"/>
                <w:bCs/>
                <w:sz w:val="18"/>
                <w:szCs w:val="18"/>
                <w:lang w:eastAsia="ja-JP"/>
              </w:rPr>
              <w:t xml:space="preserve"> in a set of configured CCs with common TCI state ID activation and update</w:t>
            </w:r>
          </w:p>
          <w:p w14:paraId="4DDAD365" w14:textId="77777777"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the 4</w:t>
            </w:r>
            <w:r w:rsidRPr="005457D9">
              <w:rPr>
                <w:rFonts w:eastAsia="ＭＳ 明朝"/>
                <w:bCs/>
                <w:sz w:val="18"/>
                <w:szCs w:val="18"/>
                <w:vertAlign w:val="superscript"/>
                <w:lang w:eastAsia="ja-JP"/>
              </w:rPr>
              <w:t>th</w:t>
            </w:r>
            <w:r>
              <w:rPr>
                <w:rFonts w:eastAsia="ＭＳ 明朝"/>
                <w:bCs/>
                <w:sz w:val="18"/>
                <w:szCs w:val="18"/>
                <w:lang w:eastAsia="ja-JP"/>
              </w:rPr>
              <w:t xml:space="preserve"> bracket, fine to remove the bracket</w:t>
            </w:r>
          </w:p>
          <w:p w14:paraId="5EECB37D" w14:textId="77777777" w:rsidR="00C504AD" w:rsidRPr="00066187" w:rsidRDefault="00C504AD" w:rsidP="00C504AD">
            <w:pPr>
              <w:snapToGrid w:val="0"/>
              <w:rPr>
                <w:rFonts w:eastAsia="ＭＳ 明朝"/>
                <w:bCs/>
                <w:sz w:val="18"/>
                <w:szCs w:val="18"/>
                <w:lang w:eastAsia="ja-JP"/>
              </w:rPr>
            </w:pPr>
          </w:p>
          <w:p w14:paraId="39AEAE88"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ＭＳ 明朝"/>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ＭＳ 明朝"/>
                <w:bCs/>
                <w:sz w:val="18"/>
                <w:szCs w:val="18"/>
                <w:lang w:eastAsia="ja-JP"/>
              </w:rPr>
            </w:pPr>
          </w:p>
          <w:p w14:paraId="1B6E2A47"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ＭＳ 明朝"/>
                <w:bCs/>
                <w:sz w:val="18"/>
                <w:szCs w:val="18"/>
                <w:vertAlign w:val="superscript"/>
                <w:lang w:eastAsia="ja-JP"/>
              </w:rPr>
              <w:t>st</w:t>
            </w:r>
            <w:r>
              <w:rPr>
                <w:rFonts w:eastAsia="ＭＳ 明朝"/>
                <w:bCs/>
                <w:sz w:val="18"/>
                <w:szCs w:val="18"/>
                <w:lang w:eastAsia="ja-JP"/>
              </w:rPr>
              <w:t xml:space="preserve"> bullet, the corresponding scenario should be more than one R17 DL or joint TCIs. For 2</w:t>
            </w:r>
            <w:r w:rsidRPr="00C833BF">
              <w:rPr>
                <w:rFonts w:eastAsia="ＭＳ 明朝"/>
                <w:bCs/>
                <w:sz w:val="18"/>
                <w:szCs w:val="18"/>
                <w:vertAlign w:val="superscript"/>
                <w:lang w:eastAsia="ja-JP"/>
              </w:rPr>
              <w:t>nd</w:t>
            </w:r>
            <w:r>
              <w:rPr>
                <w:rFonts w:eastAsia="ＭＳ 明朝"/>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ＭＳ 明朝"/>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ＭＳ 明朝"/>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ＭＳ 明朝"/>
                <w:b/>
                <w:sz w:val="18"/>
                <w:szCs w:val="18"/>
                <w:lang w:eastAsia="ja-JP"/>
              </w:rPr>
            </w:pPr>
          </w:p>
          <w:p w14:paraId="688AF503" w14:textId="77777777" w:rsidR="00A55A1A" w:rsidRDefault="00A55A1A" w:rsidP="00A55A1A">
            <w:pPr>
              <w:snapToGrid w:val="0"/>
              <w:rPr>
                <w:rFonts w:eastAsia="ＭＳ 明朝"/>
                <w:sz w:val="18"/>
                <w:szCs w:val="18"/>
                <w:lang w:eastAsia="ja-JP"/>
              </w:rPr>
            </w:pPr>
            <w:r w:rsidRPr="00017874">
              <w:rPr>
                <w:rFonts w:eastAsia="ＭＳ 明朝"/>
                <w:b/>
                <w:sz w:val="18"/>
                <w:szCs w:val="18"/>
                <w:lang w:eastAsia="ja-JP"/>
              </w:rPr>
              <w:t xml:space="preserve">Issue 1.4: Re ZTE, </w:t>
            </w:r>
            <w:r w:rsidRPr="00017874">
              <w:rPr>
                <w:rFonts w:eastAsia="ＭＳ 明朝"/>
                <w:sz w:val="18"/>
                <w:szCs w:val="18"/>
                <w:lang w:eastAsia="ja-JP"/>
              </w:rPr>
              <w:t>the current text of Proposal 1.F does not cover the case of CBRA BFR. Also, the reason why PUCCH spatial relation after CBRA-BFR is specified in sect. 6 of 38.213 is</w:t>
            </w:r>
            <w:r>
              <w:rPr>
                <w:rFonts w:eastAsia="ＭＳ 明朝"/>
                <w:sz w:val="18"/>
                <w:szCs w:val="18"/>
                <w:lang w:eastAsia="ja-JP"/>
              </w:rPr>
              <w:t>,</w:t>
            </w:r>
            <w:r w:rsidRPr="00017874">
              <w:rPr>
                <w:rFonts w:eastAsia="ＭＳ 明朝"/>
                <w:sz w:val="18"/>
                <w:szCs w:val="18"/>
                <w:lang w:eastAsia="ja-JP"/>
              </w:rPr>
              <w:t xml:space="preserve"> from gNB perspective, gNB cannot differentiate the purpose of CBRA</w:t>
            </w:r>
            <w:r>
              <w:rPr>
                <w:rFonts w:eastAsia="ＭＳ 明朝"/>
                <w:sz w:val="18"/>
                <w:szCs w:val="18"/>
                <w:lang w:eastAsia="ja-JP"/>
              </w:rPr>
              <w:t>, but when Rel.16 CBRA-BFR contains BFR-MAC CE on Msg.3/A, gNB can understand the purpose of CBRA is for BFR</w:t>
            </w:r>
            <w:r w:rsidRPr="00017874">
              <w:rPr>
                <w:rFonts w:eastAsia="ＭＳ 明朝"/>
                <w:sz w:val="18"/>
                <w:szCs w:val="18"/>
                <w:lang w:eastAsia="ja-JP"/>
              </w:rPr>
              <w:t>.</w:t>
            </w:r>
            <w:r>
              <w:rPr>
                <w:rFonts w:eastAsia="ＭＳ 明朝"/>
                <w:sz w:val="18"/>
                <w:szCs w:val="18"/>
                <w:lang w:eastAsia="ja-JP"/>
              </w:rPr>
              <w:t xml:space="preserve"> So, we believe we should include Rel.16 </w:t>
            </w:r>
            <w:r w:rsidRPr="00017874">
              <w:rPr>
                <w:rFonts w:eastAsia="ＭＳ 明朝"/>
                <w:sz w:val="18"/>
                <w:szCs w:val="18"/>
                <w:lang w:eastAsia="ja-JP"/>
              </w:rPr>
              <w:t>CBRA BFR</w:t>
            </w:r>
            <w:r>
              <w:rPr>
                <w:rFonts w:eastAsia="ＭＳ 明朝"/>
                <w:sz w:val="18"/>
                <w:szCs w:val="18"/>
                <w:lang w:eastAsia="ja-JP"/>
              </w:rPr>
              <w:t>.</w:t>
            </w:r>
          </w:p>
          <w:p w14:paraId="35E66BAD" w14:textId="77777777" w:rsidR="00A55A1A" w:rsidRDefault="00A55A1A" w:rsidP="00A55A1A">
            <w:pPr>
              <w:snapToGrid w:val="0"/>
              <w:rPr>
                <w:rFonts w:eastAsia="ＭＳ 明朝"/>
                <w:sz w:val="18"/>
                <w:szCs w:val="18"/>
                <w:lang w:eastAsia="ja-JP"/>
              </w:rPr>
            </w:pPr>
          </w:p>
          <w:p w14:paraId="63BDA1CA" w14:textId="77777777" w:rsidR="00A55A1A" w:rsidRPr="00017874" w:rsidRDefault="00A55A1A" w:rsidP="00A55A1A">
            <w:pPr>
              <w:snapToGrid w:val="0"/>
              <w:rPr>
                <w:rFonts w:eastAsia="ＭＳ 明朝"/>
                <w:sz w:val="18"/>
                <w:szCs w:val="18"/>
                <w:lang w:eastAsia="ja-JP"/>
              </w:rPr>
            </w:pPr>
            <w:r>
              <w:rPr>
                <w:rFonts w:eastAsia="ＭＳ 明朝"/>
                <w:sz w:val="18"/>
                <w:szCs w:val="18"/>
                <w:lang w:eastAsia="ja-JP"/>
              </w:rPr>
              <w:t>Regarding to “</w:t>
            </w:r>
            <w:r w:rsidRPr="00017874">
              <w:rPr>
                <w:rFonts w:eastAsia="ＭＳ 明朝"/>
                <w:sz w:val="18"/>
                <w:szCs w:val="18"/>
                <w:lang w:eastAsia="ja-JP"/>
              </w:rPr>
              <w:t>Add Note: q_new only provides QCL-TypeD indication for CCs different from the failed CC</w:t>
            </w:r>
            <w:r>
              <w:rPr>
                <w:rFonts w:eastAsia="ＭＳ 明朝"/>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ＭＳ 明朝"/>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ＭＳ 明朝"/>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ＭＳ 明朝"/>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ＭＳ 明朝"/>
                <w:bCs/>
                <w:sz w:val="18"/>
                <w:szCs w:val="18"/>
                <w:lang w:eastAsia="ja-JP"/>
              </w:rPr>
            </w:pPr>
            <w:r w:rsidRPr="00FC3C14">
              <w:rPr>
                <w:rFonts w:eastAsia="ＭＳ 明朝"/>
                <w:bCs/>
                <w:sz w:val="18"/>
                <w:szCs w:val="18"/>
                <w:lang w:eastAsia="ja-JP"/>
              </w:rPr>
              <w:t xml:space="preserve">On Proposal 1.F, if we check current </w:t>
            </w:r>
            <w:r>
              <w:rPr>
                <w:rFonts w:eastAsia="ＭＳ 明朝"/>
                <w:bCs/>
                <w:sz w:val="18"/>
                <w:szCs w:val="18"/>
                <w:lang w:eastAsia="ja-JP"/>
              </w:rPr>
              <w:t xml:space="preserve">213 </w:t>
            </w:r>
            <w:r w:rsidRPr="00FC3C14">
              <w:rPr>
                <w:rFonts w:eastAsia="ＭＳ 明朝"/>
                <w:bCs/>
                <w:sz w:val="18"/>
                <w:szCs w:val="18"/>
                <w:lang w:eastAsia="ja-JP"/>
              </w:rPr>
              <w:t>spe</w:t>
            </w:r>
            <w:r>
              <w:rPr>
                <w:rFonts w:eastAsia="ＭＳ 明朝"/>
                <w:bCs/>
                <w:sz w:val="18"/>
                <w:szCs w:val="18"/>
                <w:lang w:eastAsia="ja-JP"/>
              </w:rPr>
              <w:t xml:space="preserve">c for PDCCH-DMRS, there are two corresponding paragraphs, one for CORESET#0, another one for CORESET other than CORESET#0. According to current wording of </w:t>
            </w:r>
            <w:r w:rsidRPr="00FC3C14">
              <w:rPr>
                <w:rFonts w:eastAsia="ＭＳ 明朝"/>
                <w:bCs/>
                <w:sz w:val="18"/>
                <w:szCs w:val="18"/>
                <w:lang w:eastAsia="ja-JP"/>
              </w:rPr>
              <w:t>Proposal 1.F</w:t>
            </w:r>
            <w:r>
              <w:rPr>
                <w:rFonts w:eastAsia="ＭＳ 明朝"/>
                <w:bCs/>
                <w:sz w:val="18"/>
                <w:szCs w:val="18"/>
                <w:lang w:eastAsia="ja-JP"/>
              </w:rPr>
              <w:t xml:space="preserve">, it is unclear which one is followed? </w:t>
            </w:r>
          </w:p>
          <w:p w14:paraId="6BCAB97C" w14:textId="77777777" w:rsidR="00D17EA2" w:rsidRDefault="00D17EA2" w:rsidP="00D17EA2">
            <w:pPr>
              <w:snapToGrid w:val="0"/>
              <w:rPr>
                <w:rFonts w:eastAsia="ＭＳ 明朝"/>
                <w:bCs/>
                <w:sz w:val="18"/>
                <w:szCs w:val="18"/>
                <w:lang w:eastAsia="ja-JP"/>
              </w:rPr>
            </w:pPr>
          </w:p>
          <w:p w14:paraId="5B3AC6BA" w14:textId="6EE77D12" w:rsidR="00D17EA2" w:rsidRPr="005C3DE3" w:rsidRDefault="00D17EA2" w:rsidP="00D17EA2">
            <w:pPr>
              <w:snapToGrid w:val="0"/>
              <w:rPr>
                <w:rFonts w:eastAsia="ＭＳ 明朝"/>
                <w:bCs/>
                <w:sz w:val="18"/>
                <w:szCs w:val="18"/>
                <w:lang w:eastAsia="ja-JP"/>
              </w:rPr>
            </w:pPr>
            <w:r>
              <w:rPr>
                <w:rFonts w:eastAsia="ＭＳ 明朝"/>
                <w:bCs/>
                <w:sz w:val="18"/>
                <w:szCs w:val="18"/>
                <w:lang w:eastAsia="ja-JP"/>
              </w:rPr>
              <w:t>The same problem for PUCCH. In fact, current spec doesn</w:t>
            </w:r>
            <w:r w:rsidR="005457D9">
              <w:rPr>
                <w:rFonts w:eastAsia="ＭＳ 明朝"/>
                <w:bCs/>
                <w:sz w:val="18"/>
                <w:szCs w:val="18"/>
                <w:lang w:eastAsia="ja-JP"/>
              </w:rPr>
              <w:t>’</w:t>
            </w:r>
            <w:r>
              <w:rPr>
                <w:rFonts w:eastAsia="ＭＳ 明朝"/>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ＭＳ 明朝"/>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ＭＳ 明朝"/>
                <w:b/>
                <w:sz w:val="18"/>
                <w:szCs w:val="18"/>
                <w:lang w:eastAsia="zh-TW"/>
              </w:rPr>
            </w:pPr>
          </w:p>
          <w:p w14:paraId="2505726B" w14:textId="4896BD6F" w:rsidR="00D17EA2" w:rsidRDefault="00D17EA2" w:rsidP="00D17EA2">
            <w:pPr>
              <w:snapToGrid w:val="0"/>
              <w:rPr>
                <w:sz w:val="18"/>
                <w:szCs w:val="18"/>
              </w:rPr>
            </w:pPr>
            <w:r w:rsidRPr="005C3DE3">
              <w:rPr>
                <w:rFonts w:eastAsia="ＭＳ 明朝"/>
                <w:bCs/>
                <w:sz w:val="18"/>
                <w:szCs w:val="18"/>
                <w:lang w:eastAsia="ja-JP"/>
              </w:rPr>
              <w:t xml:space="preserve">This is why we suggest to directly clarify </w:t>
            </w:r>
            <w:r>
              <w:rPr>
                <w:rFonts w:eastAsia="ＭＳ 明朝"/>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ＭＳ 明朝"/>
                <w:bCs/>
                <w:sz w:val="18"/>
                <w:szCs w:val="18"/>
                <w:lang w:eastAsia="ja-JP"/>
              </w:rPr>
            </w:pPr>
            <w:r>
              <w:rPr>
                <w:rFonts w:eastAsia="ＭＳ 明朝" w:hint="eastAsia"/>
                <w:bCs/>
                <w:sz w:val="18"/>
                <w:szCs w:val="18"/>
                <w:lang w:eastAsia="ja-JP"/>
              </w:rPr>
              <w:t>O</w:t>
            </w:r>
            <w:r>
              <w:rPr>
                <w:rFonts w:eastAsia="ＭＳ 明朝"/>
                <w:bCs/>
                <w:sz w:val="18"/>
                <w:szCs w:val="18"/>
                <w:lang w:eastAsia="ja-JP"/>
              </w:rPr>
              <w:t xml:space="preserve">n </w:t>
            </w:r>
            <w:r w:rsidRPr="003403E4">
              <w:rPr>
                <w:rFonts w:eastAsia="ＭＳ 明朝"/>
                <w:b/>
                <w:sz w:val="18"/>
                <w:szCs w:val="18"/>
                <w:lang w:eastAsia="ja-JP"/>
              </w:rPr>
              <w:t>Proposal 1.A.3,</w:t>
            </w:r>
            <w:r>
              <w:rPr>
                <w:rFonts w:eastAsia="ＭＳ 明朝"/>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af"/>
              <w:numPr>
                <w:ilvl w:val="0"/>
                <w:numId w:val="45"/>
              </w:numPr>
              <w:snapToGrid w:val="0"/>
              <w:spacing w:after="0" w:line="240" w:lineRule="auto"/>
              <w:rPr>
                <w:rFonts w:eastAsia="ＭＳ 明朝"/>
                <w:bCs/>
                <w:sz w:val="18"/>
                <w:szCs w:val="18"/>
                <w:lang w:eastAsia="ja-JP"/>
              </w:rPr>
            </w:pPr>
            <w:r>
              <w:rPr>
                <w:rFonts w:eastAsia="ＭＳ 明朝" w:hint="eastAsia"/>
                <w:bCs/>
                <w:sz w:val="18"/>
                <w:szCs w:val="18"/>
                <w:lang w:eastAsia="ja-JP"/>
              </w:rPr>
              <w:t>I</w:t>
            </w:r>
            <w:r>
              <w:rPr>
                <w:rFonts w:eastAsia="ＭＳ 明朝"/>
                <w:bCs/>
                <w:sz w:val="18"/>
                <w:szCs w:val="18"/>
                <w:lang w:eastAsia="ja-JP"/>
              </w:rPr>
              <w:t xml:space="preserve">s there any possibility that (as of now) Rel.17 unified TCI state cannot cover all the functions provided by Rel.15/16 TCI state or spatial relation information? </w:t>
            </w:r>
            <w:r w:rsidR="004347C5">
              <w:rPr>
                <w:rFonts w:eastAsia="ＭＳ 明朝"/>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af"/>
              <w:numPr>
                <w:ilvl w:val="0"/>
                <w:numId w:val="45"/>
              </w:numPr>
              <w:snapToGrid w:val="0"/>
              <w:spacing w:after="0" w:line="240" w:lineRule="auto"/>
              <w:rPr>
                <w:rFonts w:eastAsia="ＭＳ 明朝"/>
                <w:bCs/>
                <w:sz w:val="18"/>
                <w:szCs w:val="18"/>
                <w:lang w:eastAsia="ja-JP"/>
              </w:rPr>
            </w:pPr>
            <w:r>
              <w:rPr>
                <w:rFonts w:eastAsia="ＭＳ 明朝"/>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ＭＳ 明朝"/>
                <w:bCs/>
                <w:sz w:val="18"/>
                <w:szCs w:val="18"/>
                <w:lang w:eastAsia="ja-JP"/>
              </w:rPr>
              <w:t>c</w:t>
            </w:r>
            <w:r>
              <w:rPr>
                <w:rFonts w:eastAsia="ＭＳ 明朝"/>
                <w:bCs/>
                <w:sz w:val="18"/>
                <w:szCs w:val="18"/>
                <w:lang w:eastAsia="ja-JP"/>
              </w:rPr>
              <w:t>ell in FR1 uses legacy TCI/spatial relation, and the S</w:t>
            </w:r>
            <w:r w:rsidR="005457D9">
              <w:rPr>
                <w:rFonts w:eastAsia="ＭＳ 明朝"/>
                <w:bCs/>
                <w:sz w:val="18"/>
                <w:szCs w:val="18"/>
                <w:lang w:eastAsia="ja-JP"/>
              </w:rPr>
              <w:t>c</w:t>
            </w:r>
            <w:r>
              <w:rPr>
                <w:rFonts w:eastAsia="ＭＳ 明朝"/>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af"/>
              <w:numPr>
                <w:ilvl w:val="0"/>
                <w:numId w:val="45"/>
              </w:numPr>
              <w:snapToGrid w:val="0"/>
              <w:spacing w:after="0" w:line="240" w:lineRule="auto"/>
              <w:rPr>
                <w:rFonts w:eastAsia="ＭＳ 明朝"/>
                <w:bCs/>
                <w:sz w:val="18"/>
                <w:szCs w:val="18"/>
                <w:lang w:eastAsia="ja-JP"/>
              </w:rPr>
            </w:pPr>
            <w:r>
              <w:rPr>
                <w:rFonts w:eastAsia="ＭＳ 明朝"/>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ＭＳ 明朝"/>
                <w:bCs/>
                <w:sz w:val="18"/>
                <w:szCs w:val="18"/>
                <w:lang w:eastAsia="ja-JP"/>
              </w:rPr>
              <w:t xml:space="preserve">band not supporting Rel.17 TCI states, legacy scheme should be applied. </w:t>
            </w:r>
          </w:p>
          <w:p w14:paraId="23CC0C86" w14:textId="130EFDE1" w:rsidR="00BD3E80" w:rsidRPr="003403E4" w:rsidRDefault="00BD3E80" w:rsidP="004347C5">
            <w:pPr>
              <w:pStyle w:val="af"/>
              <w:numPr>
                <w:ilvl w:val="0"/>
                <w:numId w:val="45"/>
              </w:numPr>
              <w:snapToGrid w:val="0"/>
              <w:spacing w:after="0" w:line="240" w:lineRule="auto"/>
              <w:rPr>
                <w:rFonts w:eastAsia="ＭＳ 明朝"/>
                <w:bCs/>
                <w:sz w:val="18"/>
                <w:szCs w:val="18"/>
                <w:lang w:eastAsia="ja-JP"/>
              </w:rPr>
            </w:pPr>
            <w:r>
              <w:rPr>
                <w:rFonts w:eastAsia="ＭＳ 明朝" w:hint="eastAsia"/>
                <w:bCs/>
                <w:sz w:val="18"/>
                <w:szCs w:val="18"/>
                <w:lang w:eastAsia="ja-JP"/>
              </w:rPr>
              <w:t>S</w:t>
            </w:r>
            <w:r>
              <w:rPr>
                <w:rFonts w:eastAsia="ＭＳ 明朝"/>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ＭＳ 明朝"/>
                <w:sz w:val="18"/>
                <w:szCs w:val="18"/>
                <w:lang w:eastAsia="ja-JP"/>
              </w:rPr>
            </w:pPr>
            <w:r>
              <w:rPr>
                <w:rFonts w:eastAsia="ＭＳ 明朝"/>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ＭＳ 明朝"/>
                <w:bCs/>
                <w:sz w:val="18"/>
                <w:szCs w:val="18"/>
                <w:lang w:eastAsia="ja-JP"/>
              </w:rPr>
            </w:pPr>
            <w:r w:rsidRPr="00DA3D0D">
              <w:rPr>
                <w:rFonts w:eastAsia="ＭＳ 明朝"/>
                <w:b/>
                <w:bCs/>
                <w:sz w:val="18"/>
                <w:szCs w:val="18"/>
                <w:lang w:eastAsia="ja-JP"/>
              </w:rPr>
              <w:t>Proposal 1.F:</w:t>
            </w:r>
            <w:r>
              <w:rPr>
                <w:rFonts w:eastAsia="ＭＳ 明朝"/>
                <w:bCs/>
                <w:sz w:val="18"/>
                <w:szCs w:val="18"/>
                <w:lang w:eastAsia="ja-JP"/>
              </w:rPr>
              <w:t xml:space="preserve"> Why would there be “</w:t>
            </w:r>
            <w:r w:rsidRPr="00064D34">
              <w:rPr>
                <w:rFonts w:eastAsia="ＭＳ 明朝"/>
                <w:bCs/>
                <w:sz w:val="18"/>
                <w:szCs w:val="18"/>
                <w:lang w:eastAsia="ja-JP"/>
              </w:rPr>
              <w:t>a prior Rel-17 TCI state configuration</w:t>
            </w:r>
            <w:r>
              <w:rPr>
                <w:rFonts w:eastAsia="ＭＳ 明朝"/>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ＭＳ 明朝"/>
                <w:sz w:val="18"/>
                <w:szCs w:val="18"/>
                <w:lang w:eastAsia="ja-JP"/>
              </w:rPr>
            </w:pPr>
            <w:r w:rsidRPr="00237E28">
              <w:rPr>
                <w:rFonts w:eastAsia="ＭＳ 明朝"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ＭＳ 明朝"/>
                <w:bCs/>
                <w:sz w:val="18"/>
                <w:szCs w:val="18"/>
                <w:lang w:eastAsia="ja-JP"/>
              </w:rPr>
            </w:pPr>
            <w:r w:rsidRPr="00237E28">
              <w:rPr>
                <w:rFonts w:eastAsia="ＭＳ 明朝"/>
                <w:bCs/>
                <w:sz w:val="18"/>
                <w:szCs w:val="18"/>
                <w:lang w:eastAsia="ja-JP"/>
              </w:rPr>
              <w:t>Proposal 1.A.</w:t>
            </w:r>
            <w:r w:rsidRPr="00237E28">
              <w:rPr>
                <w:rFonts w:eastAsia="ＭＳ 明朝" w:hint="eastAsia"/>
                <w:bCs/>
                <w:sz w:val="18"/>
                <w:szCs w:val="18"/>
                <w:lang w:eastAsia="ja-JP"/>
              </w:rPr>
              <w:t>2</w:t>
            </w:r>
            <w:r w:rsidRPr="00237E28">
              <w:rPr>
                <w:rFonts w:eastAsia="ＭＳ 明朝"/>
                <w:bCs/>
                <w:sz w:val="18"/>
                <w:szCs w:val="18"/>
                <w:lang w:eastAsia="ja-JP"/>
              </w:rPr>
              <w:t xml:space="preserve">: </w:t>
            </w:r>
            <w:r w:rsidRPr="00237E28">
              <w:rPr>
                <w:rFonts w:eastAsia="ＭＳ 明朝" w:hint="eastAsia"/>
                <w:bCs/>
                <w:sz w:val="18"/>
                <w:szCs w:val="18"/>
                <w:lang w:eastAsia="ja-JP"/>
              </w:rPr>
              <w:t>w</w:t>
            </w:r>
            <w:r w:rsidRPr="00237E28">
              <w:rPr>
                <w:rFonts w:eastAsia="ＭＳ 明朝"/>
                <w:bCs/>
                <w:sz w:val="18"/>
                <w:szCs w:val="18"/>
                <w:lang w:eastAsia="ja-JP"/>
              </w:rPr>
              <w:t xml:space="preserve">e support </w:t>
            </w:r>
            <w:r w:rsidRPr="00237E28">
              <w:rPr>
                <w:rFonts w:eastAsia="ＭＳ 明朝" w:hint="eastAsia"/>
                <w:bCs/>
                <w:sz w:val="18"/>
                <w:szCs w:val="18"/>
                <w:lang w:eastAsia="ja-JP"/>
              </w:rPr>
              <w:t xml:space="preserve">to remove the last bullet. This is not aligned with the former agreement as given by Samsung, i.e. </w:t>
            </w:r>
            <w:r w:rsidRPr="00237E28">
              <w:rPr>
                <w:rFonts w:eastAsia="ＭＳ 明朝"/>
                <w:bCs/>
                <w:sz w:val="18"/>
                <w:szCs w:val="18"/>
                <w:lang w:eastAsia="ja-JP"/>
              </w:rPr>
              <w:t>SRS should follow the Rel-17 PC parameters</w:t>
            </w:r>
            <w:r w:rsidRPr="00237E28">
              <w:rPr>
                <w:rFonts w:eastAsia="ＭＳ 明朝" w:hint="eastAsia"/>
                <w:bCs/>
                <w:sz w:val="18"/>
                <w:szCs w:val="18"/>
                <w:lang w:eastAsia="ja-JP"/>
              </w:rPr>
              <w:t>.</w:t>
            </w:r>
          </w:p>
          <w:p w14:paraId="60307017" w14:textId="77777777" w:rsidR="001151E5" w:rsidRPr="00237E28" w:rsidRDefault="001151E5" w:rsidP="001151E5">
            <w:pPr>
              <w:snapToGrid w:val="0"/>
              <w:rPr>
                <w:rFonts w:eastAsia="ＭＳ 明朝"/>
                <w:bCs/>
                <w:sz w:val="18"/>
                <w:szCs w:val="18"/>
                <w:lang w:eastAsia="ja-JP"/>
              </w:rPr>
            </w:pPr>
          </w:p>
          <w:p w14:paraId="3D48FD65" w14:textId="77777777" w:rsidR="001151E5" w:rsidRPr="00237E28" w:rsidRDefault="001151E5" w:rsidP="001151E5">
            <w:pPr>
              <w:snapToGrid w:val="0"/>
              <w:rPr>
                <w:rFonts w:eastAsia="ＭＳ 明朝"/>
                <w:bCs/>
                <w:sz w:val="18"/>
                <w:szCs w:val="18"/>
                <w:lang w:eastAsia="ja-JP"/>
              </w:rPr>
            </w:pPr>
            <w:r w:rsidRPr="00237E28">
              <w:rPr>
                <w:rFonts w:eastAsia="ＭＳ 明朝"/>
                <w:bCs/>
                <w:sz w:val="18"/>
                <w:szCs w:val="18"/>
                <w:lang w:eastAsia="ja-JP"/>
              </w:rPr>
              <w:t>Proposal 1.A.</w:t>
            </w:r>
            <w:r w:rsidRPr="00237E28">
              <w:rPr>
                <w:rFonts w:eastAsia="ＭＳ 明朝" w:hint="eastAsia"/>
                <w:bCs/>
                <w:sz w:val="18"/>
                <w:szCs w:val="18"/>
                <w:lang w:eastAsia="ja-JP"/>
              </w:rPr>
              <w:t>3</w:t>
            </w:r>
            <w:r w:rsidRPr="00237E28">
              <w:rPr>
                <w:rFonts w:eastAsia="ＭＳ 明朝"/>
                <w:bCs/>
                <w:sz w:val="18"/>
                <w:szCs w:val="18"/>
                <w:lang w:eastAsia="ja-JP"/>
              </w:rPr>
              <w:t xml:space="preserve">: </w:t>
            </w:r>
            <w:r w:rsidRPr="00237E28">
              <w:rPr>
                <w:rFonts w:eastAsia="ＭＳ 明朝" w:hint="eastAsia"/>
                <w:bCs/>
                <w:sz w:val="18"/>
                <w:szCs w:val="18"/>
                <w:lang w:eastAsia="ja-JP"/>
              </w:rPr>
              <w:t xml:space="preserve">we support the main bullet. From our opinion, the target of this proposal aims to reduce the </w:t>
            </w:r>
            <w:r w:rsidRPr="00237E28">
              <w:rPr>
                <w:rFonts w:eastAsia="ＭＳ 明朝"/>
                <w:bCs/>
                <w:sz w:val="18"/>
                <w:szCs w:val="18"/>
                <w:lang w:eastAsia="ja-JP"/>
              </w:rPr>
              <w:t>redundancy</w:t>
            </w:r>
            <w:r w:rsidRPr="00237E28">
              <w:rPr>
                <w:rFonts w:eastAsia="ＭＳ 明朝" w:hint="eastAsia"/>
                <w:bCs/>
                <w:sz w:val="18"/>
                <w:szCs w:val="18"/>
                <w:lang w:eastAsia="ja-JP"/>
              </w:rPr>
              <w:t xml:space="preserve"> of beam indication. Whenever configured the unified TCI states (no matter the number of TCI states), </w:t>
            </w:r>
            <w:r w:rsidRPr="00237E28">
              <w:rPr>
                <w:rFonts w:eastAsia="ＭＳ 明朝"/>
                <w:bCs/>
                <w:sz w:val="18"/>
                <w:szCs w:val="18"/>
                <w:lang w:eastAsia="ja-JP"/>
              </w:rPr>
              <w:t>Rel-15/Rel-16 TCI/SpatialRelationInfo</w:t>
            </w:r>
            <w:r w:rsidRPr="00237E28">
              <w:rPr>
                <w:rFonts w:eastAsia="ＭＳ 明朝"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ＭＳ 明朝"/>
                <w:bCs/>
                <w:sz w:val="18"/>
                <w:szCs w:val="18"/>
                <w:lang w:eastAsia="ja-JP"/>
              </w:rPr>
            </w:pPr>
          </w:p>
          <w:p w14:paraId="5E081861" w14:textId="77777777" w:rsidR="001151E5" w:rsidRPr="00237E28" w:rsidRDefault="001151E5" w:rsidP="001151E5">
            <w:pPr>
              <w:snapToGrid w:val="0"/>
              <w:rPr>
                <w:rFonts w:eastAsia="ＭＳ 明朝"/>
                <w:bCs/>
                <w:sz w:val="18"/>
                <w:szCs w:val="18"/>
                <w:lang w:eastAsia="ja-JP"/>
              </w:rPr>
            </w:pPr>
            <w:r w:rsidRPr="00237E28">
              <w:rPr>
                <w:rFonts w:eastAsia="ＭＳ 明朝" w:hint="eastAsia"/>
                <w:bCs/>
                <w:sz w:val="18"/>
                <w:szCs w:val="18"/>
                <w:lang w:eastAsia="ja-JP"/>
              </w:rPr>
              <w:t>Proposal 1.F: Support.</w:t>
            </w:r>
          </w:p>
          <w:p w14:paraId="10371C9C" w14:textId="77777777" w:rsidR="001151E5" w:rsidRPr="00DA3D0D" w:rsidRDefault="001151E5" w:rsidP="001151E5">
            <w:pPr>
              <w:snapToGrid w:val="0"/>
              <w:rPr>
                <w:rFonts w:eastAsia="ＭＳ 明朝"/>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ＭＳ 明朝"/>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ＭＳ 明朝"/>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ＭＳ 明朝"/>
                <w:sz w:val="18"/>
                <w:szCs w:val="18"/>
                <w:lang w:eastAsia="ja-JP"/>
              </w:rPr>
            </w:pPr>
            <w:r>
              <w:rPr>
                <w:rFonts w:eastAsia="ＭＳ 明朝"/>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ＭＳ 明朝"/>
                <w:b/>
                <w:bCs/>
                <w:color w:val="3333FF"/>
                <w:sz w:val="18"/>
                <w:szCs w:val="18"/>
                <w:lang w:eastAsia="ja-JP"/>
              </w:rPr>
            </w:pPr>
            <w:r w:rsidRPr="00FE3B02">
              <w:rPr>
                <w:rFonts w:eastAsia="ＭＳ 明朝"/>
                <w:b/>
                <w:bCs/>
                <w:color w:val="3333FF"/>
                <w:sz w:val="18"/>
                <w:szCs w:val="18"/>
                <w:lang w:eastAsia="ja-JP"/>
              </w:rPr>
              <w:t>Minor revision on proposals</w:t>
            </w:r>
          </w:p>
          <w:p w14:paraId="19E75100" w14:textId="77777777" w:rsidR="001151E5" w:rsidRPr="00FE3B02" w:rsidRDefault="001151E5" w:rsidP="001151E5">
            <w:pPr>
              <w:snapToGrid w:val="0"/>
              <w:rPr>
                <w:rFonts w:eastAsia="ＭＳ 明朝"/>
                <w:b/>
                <w:bCs/>
                <w:color w:val="3333FF"/>
                <w:sz w:val="18"/>
                <w:szCs w:val="18"/>
                <w:lang w:eastAsia="ja-JP"/>
              </w:rPr>
            </w:pPr>
          </w:p>
          <w:p w14:paraId="262528A1" w14:textId="6EB715AB" w:rsidR="001151E5" w:rsidRPr="00DA3D0D" w:rsidRDefault="001151E5" w:rsidP="001151E5">
            <w:pPr>
              <w:snapToGrid w:val="0"/>
              <w:rPr>
                <w:rFonts w:eastAsia="ＭＳ 明朝"/>
                <w:b/>
                <w:bCs/>
                <w:sz w:val="18"/>
                <w:szCs w:val="18"/>
                <w:lang w:eastAsia="ja-JP"/>
              </w:rPr>
            </w:pPr>
            <w:r w:rsidRPr="00FE3B02">
              <w:rPr>
                <w:rFonts w:eastAsia="ＭＳ 明朝"/>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ＭＳ 明朝"/>
                <w:sz w:val="18"/>
                <w:szCs w:val="18"/>
                <w:lang w:eastAsia="ja-JP"/>
              </w:rPr>
            </w:pPr>
            <w:r>
              <w:rPr>
                <w:rFonts w:eastAsia="ＭＳ 明朝"/>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ＭＳ 明朝"/>
                <w:bCs/>
                <w:sz w:val="18"/>
                <w:szCs w:val="18"/>
                <w:lang w:eastAsia="ja-JP"/>
              </w:rPr>
            </w:pPr>
            <w:r w:rsidRPr="005457D9">
              <w:rPr>
                <w:rFonts w:eastAsia="ＭＳ 明朝"/>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ＭＳ 明朝"/>
                <w:bCs/>
                <w:sz w:val="18"/>
                <w:szCs w:val="18"/>
                <w:lang w:eastAsia="ja-JP"/>
              </w:rPr>
            </w:pPr>
            <w:r w:rsidRPr="005457D9">
              <w:rPr>
                <w:rFonts w:eastAsia="ＭＳ 明朝"/>
                <w:bCs/>
                <w:sz w:val="18"/>
                <w:szCs w:val="18"/>
                <w:lang w:eastAsia="ja-JP"/>
              </w:rPr>
              <w:t xml:space="preserve">1.A.3: </w:t>
            </w:r>
            <w:r>
              <w:rPr>
                <w:rFonts w:eastAsia="ＭＳ 明朝"/>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ＭＳ 明朝"/>
                <w:bCs/>
                <w:color w:val="3333FF"/>
                <w:sz w:val="18"/>
                <w:szCs w:val="18"/>
                <w:lang w:eastAsia="ja-JP"/>
              </w:rPr>
            </w:pPr>
            <w:r>
              <w:rPr>
                <w:rFonts w:eastAsia="ＭＳ 明朝"/>
                <w:bCs/>
                <w:sz w:val="18"/>
                <w:szCs w:val="18"/>
                <w:lang w:eastAsia="ja-JP"/>
              </w:rPr>
              <w:t xml:space="preserve">1.7: Fine with the latest </w:t>
            </w:r>
            <w:r w:rsidR="00085161">
              <w:rPr>
                <w:rFonts w:eastAsia="ＭＳ 明朝"/>
                <w:bCs/>
                <w:sz w:val="18"/>
                <w:szCs w:val="18"/>
                <w:lang w:eastAsia="ja-JP"/>
              </w:rPr>
              <w:t xml:space="preserve">version </w:t>
            </w:r>
            <w:r>
              <w:rPr>
                <w:rFonts w:eastAsia="ＭＳ 明朝"/>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ＭＳ 明朝"/>
                <w:sz w:val="18"/>
                <w:szCs w:val="18"/>
                <w:lang w:eastAsia="ja-JP"/>
              </w:rPr>
            </w:pPr>
            <w:r w:rsidRPr="00DD3E18">
              <w:rPr>
                <w:rFonts w:eastAsia="ＭＳ 明朝"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ac"/>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ＭＳ 明朝"/>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ＭＳ 明朝"/>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ＭＳ 明朝"/>
                <w:bCs/>
                <w:sz w:val="18"/>
                <w:szCs w:val="18"/>
                <w:lang w:eastAsia="ja-JP"/>
              </w:rPr>
            </w:pPr>
          </w:p>
          <w:p w14:paraId="7BFB4A65" w14:textId="77777777" w:rsidR="00062F42" w:rsidRPr="00275DAC" w:rsidRDefault="00062F42" w:rsidP="00062F42">
            <w:pPr>
              <w:pStyle w:v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3"/>
              <w:rPr>
                <w:i/>
                <w:sz w:val="18"/>
              </w:rPr>
            </w:pPr>
            <w:bookmarkStart w:id="3" w:name="_Ref498101660"/>
            <w:bookmarkStart w:id="4" w:name="_Toc12021476"/>
            <w:bookmarkStart w:id="5" w:name="_Toc20311588"/>
            <w:bookmarkStart w:id="6" w:name="_Toc26719413"/>
            <w:bookmarkStart w:id="7" w:name="_Toc29894848"/>
            <w:bookmarkStart w:id="8" w:name="_Toc29899147"/>
            <w:bookmarkStart w:id="9" w:name="_Toc29899565"/>
            <w:bookmarkStart w:id="10" w:name="_Toc29917302"/>
            <w:bookmarkStart w:id="11" w:name="_Toc36498176"/>
            <w:bookmarkStart w:id="12" w:name="_Toc45699202"/>
            <w:bookmarkStart w:id="13" w:name="_Toc74762941"/>
            <w:r w:rsidRPr="00794DAD">
              <w:rPr>
                <w:i/>
                <w:sz w:val="18"/>
              </w:rPr>
              <w:t>9.2.1</w:t>
            </w:r>
            <w:r w:rsidRPr="00794DAD">
              <w:rPr>
                <w:i/>
                <w:sz w:val="18"/>
              </w:rPr>
              <w:tab/>
              <w:t>PUCCH Resource Sets</w:t>
            </w:r>
            <w:bookmarkEnd w:id="3"/>
            <w:bookmarkEnd w:id="4"/>
            <w:bookmarkEnd w:id="5"/>
            <w:bookmarkEnd w:id="6"/>
            <w:bookmarkEnd w:id="7"/>
            <w:bookmarkEnd w:id="8"/>
            <w:bookmarkEnd w:id="9"/>
            <w:bookmarkEnd w:id="10"/>
            <w:bookmarkEnd w:id="11"/>
            <w:bookmarkEnd w:id="12"/>
            <w:bookmarkEnd w:id="13"/>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ＭＳ 明朝"/>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ＭＳ 明朝"/>
                <w:sz w:val="18"/>
                <w:szCs w:val="18"/>
                <w:lang w:eastAsia="ja-JP"/>
              </w:rPr>
            </w:pPr>
            <w:r>
              <w:rPr>
                <w:rFonts w:eastAsia="ＭＳ 明朝"/>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af"/>
              <w:numPr>
                <w:ilvl w:val="0"/>
                <w:numId w:val="47"/>
              </w:numPr>
              <w:snapToGrid w:val="0"/>
              <w:rPr>
                <w:sz w:val="18"/>
                <w:szCs w:val="18"/>
                <w:lang w:eastAsia="zh-CN"/>
              </w:rPr>
            </w:pPr>
            <w:r>
              <w:rPr>
                <w:sz w:val="18"/>
                <w:szCs w:val="18"/>
                <w:lang w:eastAsia="zh-CN"/>
              </w:rPr>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af"/>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af"/>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af"/>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af"/>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ＭＳ 明朝"/>
                <w:sz w:val="18"/>
                <w:szCs w:val="18"/>
                <w:lang w:eastAsia="ja-JP"/>
              </w:rPr>
            </w:pPr>
            <w:r>
              <w:rPr>
                <w:rFonts w:eastAsia="ＭＳ 明朝"/>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r>
              <w:rPr>
                <w:sz w:val="18"/>
                <w:szCs w:val="18"/>
                <w:lang w:eastAsia="zh-CN"/>
              </w:rPr>
              <w:t>[Mod: I fully agree. I added a Note to address the single configured TCI state (in that case there is no “empty” period and the TCI state applies directly – I also removed QC from Concern)</w:t>
            </w:r>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ＭＳ 明朝"/>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sz w:val="18"/>
                <w:szCs w:val="18"/>
                <w:lang w:eastAsia="zh-CN"/>
              </w:rPr>
            </w:pPr>
            <w:r>
              <w:rPr>
                <w:sz w:val="18"/>
                <w:szCs w:val="18"/>
                <w:lang w:eastAsia="zh-CN"/>
              </w:rPr>
              <w:t>In</w:t>
            </w:r>
            <w:r w:rsidR="00D7707C">
              <w:rPr>
                <w:sz w:val="18"/>
                <w:szCs w:val="18"/>
                <w:lang w:eastAsia="zh-CN"/>
              </w:rPr>
              <w:t>t</w:t>
            </w:r>
            <w:r>
              <w:rPr>
                <w:sz w:val="18"/>
                <w:szCs w:val="18"/>
                <w:lang w:eastAsia="zh-CN"/>
              </w:rPr>
              <w: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bCs/>
                <w:color w:val="3333FF"/>
                <w:sz w:val="18"/>
                <w:szCs w:val="18"/>
                <w:lang w:eastAsia="zh-CN"/>
              </w:rPr>
            </w:pPr>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mTRP etc becomes limited due to this, as commented before. </w:t>
            </w:r>
            <w:r w:rsidR="007D10F9">
              <w:rPr>
                <w:bCs/>
                <w:color w:val="3333FF"/>
                <w:sz w:val="18"/>
                <w:szCs w:val="18"/>
                <w:lang w:eastAsia="zh-CN"/>
              </w:rPr>
              <w:t>However, for progress we can accept “in a band” as per Docomo’s original preference.</w:t>
            </w:r>
          </w:p>
          <w:p w14:paraId="3E99B1D0" w14:textId="77777777" w:rsidR="007D10F9" w:rsidRDefault="007D10F9" w:rsidP="007307E3">
            <w:pPr>
              <w:snapToGrid w:val="0"/>
              <w:rPr>
                <w:bCs/>
                <w:color w:val="3333FF"/>
                <w:sz w:val="18"/>
                <w:szCs w:val="18"/>
                <w:lang w:eastAsia="zh-CN"/>
              </w:rPr>
            </w:pPr>
          </w:p>
          <w:p w14:paraId="393342AB" w14:textId="77777777" w:rsidR="007D10F9" w:rsidRDefault="007D10F9" w:rsidP="007307E3">
            <w:pPr>
              <w:snapToGrid w:val="0"/>
              <w:rPr>
                <w:bCs/>
                <w:color w:val="3333FF"/>
                <w:sz w:val="18"/>
                <w:szCs w:val="18"/>
                <w:lang w:eastAsia="zh-CN"/>
              </w:rPr>
            </w:pPr>
            <w:r w:rsidRPr="004C5BE4">
              <w:rPr>
                <w:b/>
                <w:color w:val="3333FF"/>
                <w:sz w:val="18"/>
                <w:szCs w:val="18"/>
                <w:lang w:eastAsia="zh-CN"/>
              </w:rPr>
              <w:t>Proposal 1.F:</w:t>
            </w:r>
            <w:r>
              <w:rPr>
                <w:b/>
                <w:color w:val="3333FF"/>
                <w:sz w:val="18"/>
                <w:szCs w:val="18"/>
                <w:lang w:eastAsia="zh-CN"/>
              </w:rPr>
              <w:t xml:space="preserve"> </w:t>
            </w:r>
            <w:r>
              <w:rPr>
                <w:bCs/>
                <w:color w:val="3333FF"/>
                <w:sz w:val="18"/>
                <w:szCs w:val="18"/>
                <w:lang w:eastAsia="zh-CN"/>
              </w:rPr>
              <w:t xml:space="preserve">We have a question for clarification for single </w:t>
            </w:r>
            <w:r w:rsidR="00673D53">
              <w:rPr>
                <w:bCs/>
                <w:color w:val="3333FF"/>
                <w:sz w:val="18"/>
                <w:szCs w:val="18"/>
                <w:lang w:eastAsia="zh-CN"/>
              </w:rPr>
              <w:t xml:space="preserve">configured TCI case: is there any default assumption necessary up to the MAC-CE activation (~3ms) after which the configured TCI state is </w:t>
            </w:r>
            <w:r w:rsidR="00B31761">
              <w:rPr>
                <w:bCs/>
                <w:color w:val="3333FF"/>
                <w:sz w:val="18"/>
                <w:szCs w:val="18"/>
                <w:lang w:eastAsia="zh-CN"/>
              </w:rPr>
              <w:t>applied? Single active TCI is also not applied instantaneously right?</w:t>
            </w:r>
          </w:p>
          <w:p w14:paraId="2A1A7F14" w14:textId="2AE54921" w:rsidR="00B31761" w:rsidRPr="004C5BE4" w:rsidRDefault="00B31761" w:rsidP="007307E3">
            <w:pPr>
              <w:snapToGrid w:val="0"/>
              <w:rPr>
                <w:bCs/>
                <w:color w:val="3333FF"/>
                <w:sz w:val="18"/>
                <w:szCs w:val="18"/>
                <w:lang w:eastAsia="zh-CN"/>
              </w:rPr>
            </w:pPr>
          </w:p>
        </w:tc>
      </w:tr>
      <w:tr w:rsidR="00A600ED" w:rsidRPr="00FC3C14" w14:paraId="4C76FAEC"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483B" w14:textId="20766043" w:rsidR="00A600ED" w:rsidRDefault="00A600ED" w:rsidP="007307E3">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BA6D" w14:textId="77777777" w:rsidR="00A600ED" w:rsidRDefault="00A600ED" w:rsidP="007307E3">
            <w:pPr>
              <w:snapToGrid w:val="0"/>
              <w:rPr>
                <w:bCs/>
                <w:sz w:val="18"/>
                <w:szCs w:val="18"/>
                <w:lang w:eastAsia="zh-CN"/>
              </w:rPr>
            </w:pPr>
            <w:r w:rsidRPr="00A600ED">
              <w:rPr>
                <w:b/>
                <w:sz w:val="18"/>
                <w:szCs w:val="18"/>
                <w:lang w:eastAsia="zh-CN"/>
              </w:rPr>
              <w:t xml:space="preserve">Proposal 1.A.3: </w:t>
            </w:r>
            <w:r>
              <w:rPr>
                <w:bCs/>
                <w:sz w:val="18"/>
                <w:szCs w:val="18"/>
                <w:lang w:eastAsia="zh-CN"/>
              </w:rPr>
              <w:t>We support to remove the bullet.</w:t>
            </w:r>
          </w:p>
          <w:p w14:paraId="72A203C1" w14:textId="2E8DD281" w:rsidR="00A600ED" w:rsidRPr="00A600ED" w:rsidRDefault="00A600ED" w:rsidP="007307E3">
            <w:pPr>
              <w:snapToGrid w:val="0"/>
              <w:rPr>
                <w:bCs/>
                <w:color w:val="3333FF"/>
                <w:sz w:val="18"/>
                <w:szCs w:val="18"/>
                <w:lang w:eastAsia="zh-CN"/>
              </w:rPr>
            </w:pPr>
          </w:p>
        </w:tc>
      </w:tr>
      <w:tr w:rsidR="002F3B80" w:rsidRPr="00FC3C14" w14:paraId="5D932DB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63" w14:textId="1265696C" w:rsidR="002F3B80" w:rsidRDefault="002F3B80" w:rsidP="007307E3">
            <w:pPr>
              <w:snapToGrid w:val="0"/>
              <w:rPr>
                <w:sz w:val="18"/>
                <w:szCs w:val="18"/>
                <w:lang w:eastAsia="zh-CN"/>
              </w:rPr>
            </w:pPr>
            <w:r>
              <w:rPr>
                <w:sz w:val="18"/>
                <w:szCs w:val="18"/>
                <w:lang w:eastAsia="zh-CN"/>
              </w:rPr>
              <w:t>ZTE3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9E08" w14:textId="77777777" w:rsidR="002F3B80" w:rsidRDefault="002F3B80" w:rsidP="007307E3">
            <w:pPr>
              <w:snapToGrid w:val="0"/>
              <w:rPr>
                <w:sz w:val="18"/>
                <w:szCs w:val="18"/>
                <w:lang w:eastAsia="zh-CN"/>
              </w:rPr>
            </w:pPr>
            <w:r>
              <w:rPr>
                <w:b/>
                <w:sz w:val="18"/>
                <w:szCs w:val="18"/>
                <w:lang w:eastAsia="zh-CN"/>
              </w:rPr>
              <w:t>Issue 1.4/1.5:</w:t>
            </w:r>
            <w:r>
              <w:rPr>
                <w:sz w:val="18"/>
                <w:szCs w:val="18"/>
                <w:lang w:eastAsia="zh-CN"/>
              </w:rPr>
              <w:t xml:space="preserve"> As a basic assumption for this agreement, the UE is performing the unified TCI framework. If so, we should assume that all CCs in the set of configured CCs with common TCI state ID fail. In order to avoid the unnecessary measured for each of CC in the set, we do not need to preform Cell-specific BFR per CC in such case. So, we prefer to remove the ‘[failed CCs]’.</w:t>
            </w:r>
          </w:p>
          <w:p w14:paraId="7E0A69E6" w14:textId="77777777" w:rsidR="002F3B80" w:rsidRDefault="002F3B80" w:rsidP="007307E3">
            <w:pPr>
              <w:snapToGrid w:val="0"/>
              <w:rPr>
                <w:sz w:val="18"/>
                <w:szCs w:val="18"/>
                <w:lang w:eastAsia="zh-CN"/>
              </w:rPr>
            </w:pPr>
          </w:p>
          <w:p w14:paraId="31385F67" w14:textId="77777777" w:rsidR="002F3B80" w:rsidRDefault="002F3B80" w:rsidP="007307E3">
            <w:pPr>
              <w:snapToGrid w:val="0"/>
              <w:rPr>
                <w:sz w:val="18"/>
                <w:szCs w:val="18"/>
                <w:lang w:eastAsia="zh-CN"/>
              </w:rPr>
            </w:pPr>
            <w:r>
              <w:rPr>
                <w:sz w:val="18"/>
                <w:szCs w:val="18"/>
                <w:lang w:eastAsia="zh-CN"/>
              </w:rPr>
              <w:t>Then, regarding ‘Rel-16 CBRA’, we still prefer to handle it a little bit later, considering that the DL update after RACH may be relevant to 1.8.</w:t>
            </w:r>
          </w:p>
          <w:p w14:paraId="5AB0C36A" w14:textId="77777777" w:rsidR="002F3B80" w:rsidRDefault="002F3B80" w:rsidP="007307E3">
            <w:pPr>
              <w:snapToGrid w:val="0"/>
              <w:rPr>
                <w:sz w:val="18"/>
                <w:szCs w:val="18"/>
                <w:lang w:eastAsia="zh-CN"/>
              </w:rPr>
            </w:pPr>
          </w:p>
          <w:p w14:paraId="237852B4" w14:textId="74B62919" w:rsidR="002F3B80" w:rsidRPr="00693057" w:rsidRDefault="002F3B80" w:rsidP="002F3B80">
            <w:pPr>
              <w:snapToGrid w:val="0"/>
              <w:rPr>
                <w:sz w:val="18"/>
              </w:rPr>
            </w:pPr>
            <w:r>
              <w:rPr>
                <w:b/>
                <w:sz w:val="18"/>
                <w:szCs w:val="18"/>
                <w:lang w:eastAsia="zh-CN"/>
              </w:rPr>
              <w:t xml:space="preserve">Issue 1.8: </w:t>
            </w:r>
            <w:r>
              <w:rPr>
                <w:sz w:val="18"/>
                <w:szCs w:val="18"/>
                <w:lang w:eastAsia="zh-CN"/>
              </w:rPr>
              <w:t xml:space="preserve">What is the </w:t>
            </w:r>
            <w:r w:rsidRPr="00693057">
              <w:rPr>
                <w:sz w:val="18"/>
              </w:rPr>
              <w:t xml:space="preserve">the Rel-15/16 rules for PDCCH DM-RS </w:t>
            </w:r>
            <w:r>
              <w:rPr>
                <w:sz w:val="18"/>
              </w:rPr>
              <w:t xml:space="preserve">(other than CORESET#0) and </w:t>
            </w:r>
            <w:r w:rsidRPr="00FA0104">
              <w:rPr>
                <w:sz w:val="18"/>
              </w:rPr>
              <w:t xml:space="preserve">the Rel-15/16 rules for PUCCH </w:t>
            </w:r>
            <w:r w:rsidRPr="002F3B80">
              <w:rPr>
                <w:sz w:val="18"/>
              </w:rPr>
              <w:t>transmission</w:t>
            </w:r>
            <w:r>
              <w:rPr>
                <w:sz w:val="18"/>
              </w:rPr>
              <w:t xml:space="preserve">? If still unstable, we think that it can be considered in maintenance session. </w:t>
            </w:r>
          </w:p>
          <w:p w14:paraId="24BB581E" w14:textId="77777777" w:rsidR="002F3B80" w:rsidRDefault="008A708E" w:rsidP="007307E3">
            <w:pPr>
              <w:snapToGrid w:val="0"/>
              <w:rPr>
                <w:sz w:val="18"/>
                <w:szCs w:val="18"/>
                <w:lang w:eastAsia="zh-CN"/>
              </w:rPr>
            </w:pPr>
            <w:r>
              <w:rPr>
                <w:sz w:val="18"/>
                <w:szCs w:val="18"/>
                <w:lang w:eastAsia="zh-CN"/>
              </w:rPr>
              <w:t>[Mod: Please scroll up and check MediaTek’s previous comment]</w:t>
            </w:r>
          </w:p>
          <w:p w14:paraId="3A4754F6" w14:textId="5AAC72C2" w:rsidR="008A708E" w:rsidRPr="002F3B80" w:rsidRDefault="008A708E" w:rsidP="007307E3">
            <w:pPr>
              <w:snapToGrid w:val="0"/>
              <w:rPr>
                <w:sz w:val="18"/>
                <w:szCs w:val="18"/>
                <w:lang w:eastAsia="zh-CN"/>
              </w:rPr>
            </w:pPr>
          </w:p>
        </w:tc>
      </w:tr>
      <w:tr w:rsidR="00250D08" w:rsidRPr="00FC3C14" w14:paraId="1CFCD8B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1114" w14:textId="2B134139" w:rsidR="00250D08" w:rsidRDefault="00250D08" w:rsidP="007307E3">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D6CD" w14:textId="25A0763D" w:rsidR="00250D08" w:rsidRDefault="00250D08" w:rsidP="007307E3">
            <w:pPr>
              <w:snapToGrid w:val="0"/>
              <w:rPr>
                <w:sz w:val="18"/>
                <w:szCs w:val="18"/>
                <w:lang w:eastAsia="zh-CN"/>
              </w:rPr>
            </w:pPr>
            <w:r w:rsidRPr="00250D08">
              <w:rPr>
                <w:sz w:val="18"/>
                <w:szCs w:val="18"/>
                <w:lang w:eastAsia="zh-CN"/>
              </w:rPr>
              <w:t xml:space="preserve">For Issue 1.7, </w:t>
            </w:r>
            <w:r>
              <w:rPr>
                <w:sz w:val="18"/>
                <w:szCs w:val="18"/>
                <w:lang w:eastAsia="zh-CN"/>
              </w:rPr>
              <w:t>we may need to clarify whether they are used for intra-cell case or inter-cell case.</w:t>
            </w:r>
          </w:p>
          <w:p w14:paraId="17E4B8EF" w14:textId="77777777" w:rsidR="00250D08" w:rsidRDefault="00250D08" w:rsidP="007307E3">
            <w:pPr>
              <w:snapToGrid w:val="0"/>
              <w:rPr>
                <w:sz w:val="18"/>
                <w:szCs w:val="18"/>
                <w:lang w:eastAsia="zh-CN"/>
              </w:rPr>
            </w:pPr>
          </w:p>
          <w:p w14:paraId="1A37B40C" w14:textId="6602E8B4" w:rsidR="00250D08" w:rsidRDefault="00250D08" w:rsidP="007307E3">
            <w:pPr>
              <w:snapToGrid w:val="0"/>
              <w:rPr>
                <w:sz w:val="18"/>
                <w:szCs w:val="18"/>
                <w:lang w:eastAsia="zh-CN"/>
              </w:rPr>
            </w:pPr>
            <w:r>
              <w:rPr>
                <w:sz w:val="18"/>
                <w:szCs w:val="18"/>
                <w:lang w:eastAsia="zh-CN"/>
              </w:rPr>
              <w:t>For Alt2, we think current wording can be used only for intra-cell beam indication. Thus, we prefer the following:</w:t>
            </w:r>
          </w:p>
          <w:p w14:paraId="18A63203" w14:textId="77777777" w:rsidR="00250D08" w:rsidRDefault="00250D08" w:rsidP="007307E3">
            <w:pPr>
              <w:snapToGrid w:val="0"/>
              <w:rPr>
                <w:sz w:val="18"/>
                <w:szCs w:val="18"/>
                <w:lang w:eastAsia="zh-CN"/>
              </w:rPr>
            </w:pPr>
          </w:p>
          <w:p w14:paraId="544091B6" w14:textId="77777777" w:rsidR="00250D08" w:rsidRPr="0087219B"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4C22E7EE" w14:textId="6DE74B16" w:rsidR="00250D08" w:rsidRPr="003B09D2" w:rsidRDefault="00250D08" w:rsidP="00250D08">
            <w:pPr>
              <w:numPr>
                <w:ilvl w:val="1"/>
                <w:numId w:val="13"/>
              </w:numPr>
              <w:snapToGrid w:val="0"/>
              <w:jc w:val="both"/>
              <w:rPr>
                <w:rFonts w:eastAsia="SimSun"/>
                <w:bCs/>
                <w:sz w:val="18"/>
                <w:lang w:eastAsia="x-none"/>
              </w:rPr>
            </w:pPr>
            <w:r>
              <w:rPr>
                <w:rFonts w:eastAsia="SimSun"/>
                <w:color w:val="000000" w:themeColor="text1"/>
                <w:sz w:val="18"/>
                <w:lang w:eastAsia="x-none"/>
              </w:rPr>
              <w:t>For intra-cell beam indication, f</w:t>
            </w:r>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28761E" w14:textId="5D387670" w:rsidR="00250D08" w:rsidRPr="00BF63A0" w:rsidRDefault="00250D08" w:rsidP="00250D08">
            <w:pPr>
              <w:numPr>
                <w:ilvl w:val="1"/>
                <w:numId w:val="13"/>
              </w:numPr>
              <w:snapToGrid w:val="0"/>
              <w:jc w:val="both"/>
              <w:rPr>
                <w:rFonts w:eastAsia="SimSun"/>
                <w:bCs/>
                <w:i/>
                <w:color w:val="000000" w:themeColor="text1"/>
                <w:sz w:val="18"/>
                <w:lang w:eastAsia="x-none"/>
              </w:rPr>
            </w:pPr>
            <w:r>
              <w:rPr>
                <w:rFonts w:eastAsia="SimSun"/>
                <w:color w:val="000000" w:themeColor="text1"/>
                <w:sz w:val="18"/>
                <w:lang w:eastAsia="x-none"/>
              </w:rPr>
              <w:t xml:space="preserve">For intra-cell beam indication, </w:t>
            </w:r>
            <w:r>
              <w:rPr>
                <w:color w:val="000000" w:themeColor="text1"/>
                <w:sz w:val="18"/>
                <w:lang w:eastAsia="x-none"/>
              </w:rPr>
              <w:t>f</w:t>
            </w:r>
            <w:r w:rsidRPr="00F972F4">
              <w:rPr>
                <w:color w:val="000000" w:themeColor="text1"/>
                <w:sz w:val="18"/>
                <w:lang w:eastAsia="x-none"/>
              </w:rPr>
              <w:t xml:space="preserve">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DFD3BF6" w14:textId="77777777" w:rsidR="00250D08" w:rsidRDefault="00250D08" w:rsidP="007307E3">
            <w:pPr>
              <w:snapToGrid w:val="0"/>
              <w:rPr>
                <w:sz w:val="18"/>
                <w:szCs w:val="18"/>
                <w:lang w:eastAsia="zh-CN"/>
              </w:rPr>
            </w:pPr>
          </w:p>
          <w:p w14:paraId="74139632" w14:textId="108ECD44" w:rsidR="00250D08" w:rsidRDefault="00250D08" w:rsidP="007307E3">
            <w:pPr>
              <w:snapToGrid w:val="0"/>
              <w:rPr>
                <w:sz w:val="18"/>
                <w:szCs w:val="18"/>
                <w:lang w:eastAsia="zh-CN"/>
              </w:rPr>
            </w:pPr>
            <w:r>
              <w:rPr>
                <w:sz w:val="18"/>
                <w:szCs w:val="18"/>
                <w:lang w:eastAsia="zh-CN"/>
              </w:rPr>
              <w:t>For inter-cell beam indication, since RAN1 already agreed that the indicated Rel-17 TCI state cannot apply to any non-UE-dedicated channel/signal. Following the agreement, we suggest the following to reflect the corresponding RAN1 agreement:</w:t>
            </w:r>
          </w:p>
          <w:p w14:paraId="516552FD" w14:textId="77777777" w:rsidR="00250D08" w:rsidRDefault="00250D08" w:rsidP="007307E3">
            <w:pPr>
              <w:snapToGrid w:val="0"/>
              <w:rPr>
                <w:sz w:val="18"/>
                <w:szCs w:val="18"/>
                <w:lang w:eastAsia="zh-CN"/>
              </w:rPr>
            </w:pPr>
          </w:p>
          <w:p w14:paraId="31D29A0E" w14:textId="39D2E9DC" w:rsidR="00250D08" w:rsidRPr="00250D08"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B42A55A" w14:textId="77777777" w:rsidR="00250D08" w:rsidRPr="00E51F03"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that is</w:t>
            </w:r>
            <w:r>
              <w:rPr>
                <w:rFonts w:eastAsia="SimSun"/>
                <w:sz w:val="18"/>
                <w:lang w:eastAsia="x-none"/>
              </w:rPr>
              <w:t xml:space="preserve"> not</w:t>
            </w:r>
            <w:r w:rsidRPr="003B09D2">
              <w:rPr>
                <w:rFonts w:eastAsia="SimSun"/>
                <w:sz w:val="18"/>
                <w:lang w:eastAsia="x-none"/>
              </w:rPr>
              <w:t xml:space="preserve">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p>
          <w:p w14:paraId="46CE777D" w14:textId="77777777" w:rsidR="00250D08" w:rsidRPr="008908AD"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that is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not</w:t>
            </w:r>
            <w:r w:rsidRPr="003B09D2">
              <w:rPr>
                <w:rFonts w:eastAsia="SimSun"/>
                <w:sz w:val="18"/>
                <w:lang w:eastAsia="x-none"/>
              </w:rPr>
              <w:t xml:space="preserve"> applies the indicated Rel-17 TCI state</w:t>
            </w:r>
            <w:r>
              <w:rPr>
                <w:rFonts w:eastAsia="SimSun"/>
                <w:sz w:val="18"/>
                <w:lang w:eastAsia="x-none"/>
              </w:rPr>
              <w:t>.</w:t>
            </w:r>
          </w:p>
          <w:p w14:paraId="1CA910F9" w14:textId="6CF04016" w:rsidR="00250D08" w:rsidRPr="00250D08" w:rsidRDefault="008A708E" w:rsidP="008A708E">
            <w:pPr>
              <w:snapToGrid w:val="0"/>
              <w:rPr>
                <w:sz w:val="18"/>
                <w:szCs w:val="18"/>
                <w:lang w:eastAsia="zh-CN"/>
              </w:rPr>
            </w:pPr>
            <w:r>
              <w:rPr>
                <w:sz w:val="18"/>
                <w:szCs w:val="18"/>
                <w:lang w:eastAsia="zh-CN"/>
              </w:rPr>
              <w:t>[Mod: This is possible also.]</w:t>
            </w:r>
          </w:p>
        </w:tc>
      </w:tr>
      <w:tr w:rsidR="008A708E" w:rsidRPr="00FC3C14" w14:paraId="6A915C35"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9AAA" w14:textId="39B9F2B5" w:rsidR="008A708E" w:rsidRDefault="008A708E" w:rsidP="007307E3">
            <w:pPr>
              <w:snapToGrid w:val="0"/>
              <w:rPr>
                <w:sz w:val="18"/>
                <w:szCs w:val="18"/>
                <w:lang w:eastAsia="zh-CN"/>
              </w:rPr>
            </w:pPr>
            <w:r>
              <w:rPr>
                <w:sz w:val="18"/>
                <w:szCs w:val="18"/>
                <w:lang w:eastAsia="zh-CN"/>
              </w:rPr>
              <w:t>Mod V47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C2DA" w14:textId="77777777" w:rsidR="008A708E" w:rsidRDefault="008A708E" w:rsidP="007307E3">
            <w:pPr>
              <w:snapToGrid w:val="0"/>
              <w:rPr>
                <w:b/>
                <w:color w:val="3333FF"/>
                <w:sz w:val="18"/>
                <w:szCs w:val="18"/>
                <w:lang w:eastAsia="zh-CN"/>
              </w:rPr>
            </w:pPr>
            <w:r w:rsidRPr="008A708E">
              <w:rPr>
                <w:b/>
                <w:color w:val="3333FF"/>
                <w:sz w:val="18"/>
                <w:szCs w:val="18"/>
                <w:lang w:eastAsia="zh-CN"/>
              </w:rPr>
              <w:t>No update except recommendation for 1.A.3 (the bullet seems to have raised many concerns, suggest to include “in a band” instead to address Docomo’s concern)</w:t>
            </w:r>
          </w:p>
          <w:p w14:paraId="632B1028" w14:textId="77777777" w:rsidR="006124C3" w:rsidRDefault="006124C3" w:rsidP="007307E3">
            <w:pPr>
              <w:snapToGrid w:val="0"/>
              <w:rPr>
                <w:b/>
                <w:color w:val="3333FF"/>
                <w:sz w:val="18"/>
                <w:szCs w:val="18"/>
                <w:lang w:eastAsia="zh-CN"/>
              </w:rPr>
            </w:pPr>
          </w:p>
          <w:p w14:paraId="492D5136" w14:textId="735C8F03" w:rsidR="006124C3" w:rsidRPr="006124C3" w:rsidRDefault="006124C3" w:rsidP="007307E3">
            <w:pPr>
              <w:snapToGrid w:val="0"/>
              <w:rPr>
                <w:b/>
                <w:sz w:val="32"/>
                <w:szCs w:val="32"/>
                <w:lang w:eastAsia="zh-CN"/>
              </w:rPr>
            </w:pPr>
            <w:r w:rsidRPr="006124C3">
              <w:rPr>
                <w:b/>
                <w:color w:val="3333FF"/>
                <w:sz w:val="32"/>
                <w:szCs w:val="32"/>
                <w:lang w:eastAsia="zh-CN"/>
              </w:rPr>
              <w:t>MOVING 1.4 AND .5 TO EMAIL ENDORSEMENT 2</w:t>
            </w:r>
          </w:p>
        </w:tc>
      </w:tr>
      <w:tr w:rsidR="00BD33BB" w:rsidRPr="00FC3C14" w14:paraId="7CA89EA1"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9A42" w14:textId="6BDA7FDF" w:rsidR="00BD33BB" w:rsidRPr="00BD33BB" w:rsidRDefault="00BD33BB" w:rsidP="007307E3">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22AC" w14:textId="0F053887" w:rsidR="00BD33BB" w:rsidRDefault="00BD33BB" w:rsidP="00BD33BB">
            <w:pPr>
              <w:snapToGrid w:val="0"/>
              <w:rPr>
                <w:rFonts w:eastAsia="Malgun Gothic"/>
                <w:sz w:val="18"/>
                <w:szCs w:val="18"/>
              </w:rPr>
            </w:pPr>
            <w:r>
              <w:rPr>
                <w:rFonts w:eastAsia="Malgun Gothic"/>
                <w:sz w:val="18"/>
                <w:szCs w:val="18"/>
              </w:rPr>
              <w:t xml:space="preserve">On </w:t>
            </w:r>
            <w:r w:rsidRPr="00BD33BB">
              <w:rPr>
                <w:rFonts w:eastAsia="Malgun Gothic"/>
                <w:sz w:val="18"/>
                <w:szCs w:val="18"/>
              </w:rPr>
              <w:t>1.A.3:</w:t>
            </w:r>
            <w:r>
              <w:rPr>
                <w:rFonts w:eastAsia="Malgun Gothic"/>
                <w:sz w:val="18"/>
                <w:szCs w:val="18"/>
              </w:rPr>
              <w:t xml:space="preserve"> Sympathize concern from DOCOMO, Intel, </w:t>
            </w:r>
            <w:r w:rsidRPr="00BD33BB">
              <w:rPr>
                <w:rFonts w:eastAsia="Malgun Gothic"/>
                <w:sz w:val="18"/>
                <w:szCs w:val="18"/>
              </w:rPr>
              <w:t>OPPO</w:t>
            </w:r>
            <w:r>
              <w:rPr>
                <w:rFonts w:eastAsia="Malgun Gothic"/>
                <w:sz w:val="18"/>
                <w:szCs w:val="18"/>
              </w:rPr>
              <w:t xml:space="preserve"> and Sony</w:t>
            </w:r>
            <w:r w:rsidRPr="00BD33BB">
              <w:rPr>
                <w:rFonts w:eastAsia="Malgun Gothic"/>
                <w:sz w:val="18"/>
                <w:szCs w:val="18"/>
              </w:rPr>
              <w:t xml:space="preserve"> this may disable other features in other CCs. </w:t>
            </w:r>
            <w:r>
              <w:rPr>
                <w:rFonts w:eastAsia="Malgun Gothic"/>
                <w:sz w:val="18"/>
                <w:szCs w:val="18"/>
              </w:rPr>
              <w:t>We fine</w:t>
            </w:r>
            <w:r w:rsidRPr="00BD33BB">
              <w:rPr>
                <w:rFonts w:eastAsia="Malgun Gothic"/>
                <w:sz w:val="18"/>
                <w:szCs w:val="18"/>
              </w:rPr>
              <w:t xml:space="preserve"> to revise the main sentence</w:t>
            </w:r>
            <w:r>
              <w:rPr>
                <w:rFonts w:eastAsia="Malgun Gothic"/>
                <w:sz w:val="18"/>
                <w:szCs w:val="18"/>
              </w:rPr>
              <w:t xml:space="preserve"> by FL, i.e. </w:t>
            </w:r>
            <w:r w:rsidRPr="00BD33BB">
              <w:rPr>
                <w:rFonts w:eastAsia="Malgun Gothic"/>
                <w:sz w:val="18"/>
                <w:szCs w:val="18"/>
              </w:rPr>
              <w:t>'in any CC in a same band'</w:t>
            </w:r>
            <w:r>
              <w:rPr>
                <w:rFonts w:eastAsia="Malgun Gothic"/>
                <w:sz w:val="18"/>
                <w:szCs w:val="18"/>
              </w:rPr>
              <w:t xml:space="preserve"> or </w:t>
            </w:r>
            <w:r w:rsidR="00CD2E61">
              <w:rPr>
                <w:rFonts w:eastAsia="Malgun Gothic"/>
                <w:sz w:val="18"/>
                <w:szCs w:val="18"/>
              </w:rPr>
              <w:t xml:space="preserve">prefer to modify ‘in any CC’ to </w:t>
            </w:r>
            <w:r>
              <w:rPr>
                <w:rFonts w:eastAsia="Malgun Gothic"/>
                <w:sz w:val="18"/>
                <w:szCs w:val="18"/>
              </w:rPr>
              <w:t>‘in a same CC’.</w:t>
            </w:r>
          </w:p>
          <w:p w14:paraId="7C946C7B" w14:textId="77777777" w:rsidR="00BD33BB" w:rsidRDefault="00BD33BB" w:rsidP="00BD33BB">
            <w:pPr>
              <w:snapToGrid w:val="0"/>
              <w:rPr>
                <w:rFonts w:eastAsia="Malgun Gothic"/>
                <w:sz w:val="18"/>
                <w:szCs w:val="18"/>
              </w:rPr>
            </w:pPr>
          </w:p>
          <w:p w14:paraId="7F55552A" w14:textId="56BD2753" w:rsidR="00BD33BB" w:rsidRPr="00BD33BB" w:rsidRDefault="00BD33BB" w:rsidP="00BD33BB">
            <w:pPr>
              <w:snapToGrid w:val="0"/>
              <w:rPr>
                <w:rFonts w:eastAsia="Malgun Gothic"/>
                <w:sz w:val="18"/>
                <w:szCs w:val="18"/>
              </w:rPr>
            </w:pPr>
            <w:r>
              <w:rPr>
                <w:rFonts w:eastAsia="Malgun Gothic"/>
                <w:sz w:val="18"/>
                <w:szCs w:val="18"/>
              </w:rPr>
              <w:t xml:space="preserve">On </w:t>
            </w:r>
            <w:r w:rsidRPr="00BD33BB">
              <w:rPr>
                <w:rFonts w:eastAsia="Malgun Gothic"/>
                <w:sz w:val="18"/>
                <w:szCs w:val="18"/>
              </w:rPr>
              <w:t>1.4/1.5: Re</w:t>
            </w:r>
            <w:r>
              <w:rPr>
                <w:rFonts w:eastAsia="Malgun Gothic"/>
                <w:sz w:val="18"/>
                <w:szCs w:val="18"/>
              </w:rPr>
              <w:t>garding</w:t>
            </w:r>
            <w:r w:rsidRPr="00BD33BB">
              <w:rPr>
                <w:rFonts w:eastAsia="Malgun Gothic"/>
                <w:sz w:val="18"/>
                <w:szCs w:val="18"/>
              </w:rPr>
              <w:t xml:space="preserve"> whether to reset beams per CC or per CC group, we think that this depends on the decision whether same TCI state is applied with a common TCI state pool within the CC group or with a separated TCI state pool per CC. Since the decision is up to RAN2, we prefer to leave this part as FFS and handle this issue in CR phase (i.e. after stab</w:t>
            </w:r>
            <w:r>
              <w:rPr>
                <w:rFonts w:eastAsia="Malgun Gothic"/>
                <w:sz w:val="18"/>
                <w:szCs w:val="18"/>
              </w:rPr>
              <w:t>i</w:t>
            </w:r>
            <w:r w:rsidRPr="00BD33BB">
              <w:rPr>
                <w:rFonts w:eastAsia="Malgun Gothic"/>
                <w:sz w:val="18"/>
                <w:szCs w:val="18"/>
              </w:rPr>
              <w:t>lizing related RAN2 spec).</w:t>
            </w:r>
          </w:p>
          <w:p w14:paraId="319A864D" w14:textId="77777777" w:rsidR="00BD33BB" w:rsidRDefault="00BD33BB" w:rsidP="00BD33BB">
            <w:pPr>
              <w:snapToGrid w:val="0"/>
              <w:rPr>
                <w:rFonts w:eastAsia="Malgun Gothic"/>
                <w:sz w:val="18"/>
                <w:szCs w:val="18"/>
              </w:rPr>
            </w:pPr>
          </w:p>
          <w:p w14:paraId="23548615" w14:textId="7FDCFC57" w:rsidR="00BD33BB" w:rsidRPr="00BD33BB" w:rsidRDefault="00BD33BB" w:rsidP="00CD2E61">
            <w:pPr>
              <w:snapToGrid w:val="0"/>
              <w:rPr>
                <w:rFonts w:eastAsia="Malgun Gothic"/>
                <w:sz w:val="18"/>
                <w:szCs w:val="18"/>
              </w:rPr>
            </w:pPr>
            <w:r>
              <w:rPr>
                <w:rFonts w:eastAsia="Malgun Gothic"/>
                <w:sz w:val="18"/>
                <w:szCs w:val="18"/>
              </w:rPr>
              <w:t xml:space="preserve">On </w:t>
            </w:r>
            <w:r w:rsidRPr="00BD33BB">
              <w:rPr>
                <w:rFonts w:eastAsia="Malgun Gothic"/>
                <w:sz w:val="18"/>
                <w:szCs w:val="18"/>
              </w:rPr>
              <w:t>1.F: To us, the issue is still unclear which timeline we</w:t>
            </w:r>
            <w:r w:rsidR="00CD2E61">
              <w:rPr>
                <w:rFonts w:eastAsia="Malgun Gothic"/>
                <w:sz w:val="18"/>
                <w:szCs w:val="18"/>
              </w:rPr>
              <w:t xml:space="preserve"> would</w:t>
            </w:r>
            <w:r w:rsidRPr="00BD33BB">
              <w:rPr>
                <w:rFonts w:eastAsia="Malgun Gothic"/>
                <w:sz w:val="18"/>
                <w:szCs w:val="18"/>
              </w:rPr>
              <w:t xml:space="preserve"> like to address and what is the legacy behavior. To our understanding, TCI/QCL assumption after RRC configuration of TCI states until MAC-CE/DCI indication is unspecified in legacy. If we follow the same principle, this needs to be unspecified as well. Overall, we think that this issue is not urgent to finalize this feature and</w:t>
            </w:r>
            <w:r w:rsidR="00CD2E61">
              <w:rPr>
                <w:rFonts w:eastAsia="Malgun Gothic"/>
                <w:sz w:val="18"/>
                <w:szCs w:val="18"/>
              </w:rPr>
              <w:t xml:space="preserve"> it can be </w:t>
            </w:r>
            <w:r w:rsidRPr="00BD33BB">
              <w:rPr>
                <w:rFonts w:eastAsia="Malgun Gothic"/>
                <w:sz w:val="18"/>
                <w:szCs w:val="18"/>
              </w:rPr>
              <w:t>discussed in CR phase.</w:t>
            </w:r>
          </w:p>
        </w:tc>
      </w:tr>
      <w:tr w:rsidR="00A45A3B" w:rsidRPr="00FC3C14" w14:paraId="1892E6F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6B9F" w14:textId="04440BC8" w:rsidR="00A45A3B" w:rsidRDefault="00A45A3B" w:rsidP="007307E3">
            <w:pPr>
              <w:snapToGrid w:val="0"/>
              <w:rPr>
                <w:rFonts w:eastAsia="Malgun Gothic"/>
                <w:sz w:val="18"/>
                <w:szCs w:val="18"/>
              </w:rPr>
            </w:pPr>
            <w:r>
              <w:rPr>
                <w:rFonts w:eastAsia="Malgun Gothic"/>
                <w:sz w:val="18"/>
                <w:szCs w:val="18"/>
              </w:rPr>
              <w:t>Mod V49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9C09" w14:textId="3E5CFFD6" w:rsidR="00A45A3B" w:rsidRPr="00A45A3B" w:rsidRDefault="00A45A3B" w:rsidP="00BD33BB">
            <w:pPr>
              <w:snapToGrid w:val="0"/>
              <w:rPr>
                <w:rFonts w:eastAsia="Malgun Gothic"/>
                <w:b/>
                <w:color w:val="3333FF"/>
                <w:szCs w:val="18"/>
              </w:rPr>
            </w:pPr>
            <w:r w:rsidRPr="00A45A3B">
              <w:rPr>
                <w:rFonts w:eastAsia="Malgun Gothic"/>
                <w:b/>
                <w:color w:val="3333FF"/>
                <w:szCs w:val="18"/>
              </w:rPr>
              <w:t>Added proposal for issue 1.7</w:t>
            </w:r>
          </w:p>
        </w:tc>
      </w:tr>
      <w:tr w:rsidR="00977E09" w:rsidRPr="00FC3C14" w14:paraId="562EB8CD"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8A9" w14:textId="449FBA15" w:rsidR="00977E09" w:rsidRPr="00977E09" w:rsidRDefault="00977E09" w:rsidP="007307E3">
            <w:pPr>
              <w:snapToGrid w:val="0"/>
              <w:rPr>
                <w:rFonts w:eastAsia="ＭＳ 明朝" w:hint="eastAsia"/>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2D4A" w14:textId="336D90B0" w:rsidR="00977E09" w:rsidRDefault="00977E09" w:rsidP="00BD33BB">
            <w:pPr>
              <w:snapToGrid w:val="0"/>
              <w:rPr>
                <w:rFonts w:eastAsia="Malgun Gothic"/>
                <w:sz w:val="18"/>
                <w:szCs w:val="18"/>
              </w:rPr>
            </w:pPr>
            <w:r w:rsidRPr="008F4924">
              <w:rPr>
                <w:rFonts w:eastAsia="Malgun Gothic"/>
                <w:b/>
                <w:sz w:val="18"/>
                <w:szCs w:val="18"/>
                <w:u w:val="single"/>
              </w:rPr>
              <w:t>On 1.A.3:</w:t>
            </w:r>
            <w:r>
              <w:rPr>
                <w:rFonts w:eastAsia="Malgun Gothic"/>
                <w:sz w:val="18"/>
                <w:szCs w:val="18"/>
              </w:rPr>
              <w:t xml:space="preserve"> After checking, at least </w:t>
            </w:r>
            <w:r w:rsidR="00037ECA">
              <w:rPr>
                <w:rFonts w:eastAsia="Malgun Gothic"/>
                <w:sz w:val="18"/>
                <w:szCs w:val="18"/>
              </w:rPr>
              <w:t xml:space="preserve">the </w:t>
            </w:r>
            <w:r>
              <w:rPr>
                <w:rFonts w:eastAsia="Malgun Gothic"/>
                <w:sz w:val="18"/>
                <w:szCs w:val="18"/>
              </w:rPr>
              <w:t>following Rel.17 scopes uses Rel.15/16 TCI states</w:t>
            </w:r>
          </w:p>
          <w:p w14:paraId="1D453F7D" w14:textId="0A4003EB" w:rsidR="00977E09" w:rsidRPr="00977E09" w:rsidRDefault="00977E09" w:rsidP="00977E09">
            <w:pPr>
              <w:pStyle w:val="af"/>
              <w:numPr>
                <w:ilvl w:val="0"/>
                <w:numId w:val="13"/>
              </w:numPr>
              <w:snapToGrid w:val="0"/>
              <w:rPr>
                <w:rFonts w:eastAsia="Malgun Gothic" w:hint="eastAsia"/>
                <w:sz w:val="18"/>
                <w:szCs w:val="18"/>
              </w:rPr>
            </w:pPr>
            <w:r>
              <w:rPr>
                <w:rFonts w:eastAsia="ＭＳ 明朝" w:hint="eastAsia"/>
                <w:sz w:val="18"/>
                <w:szCs w:val="18"/>
                <w:lang w:eastAsia="ja-JP"/>
              </w:rPr>
              <w:t>Multi</w:t>
            </w:r>
            <w:r w:rsidR="00213F68">
              <w:rPr>
                <w:rFonts w:eastAsia="ＭＳ 明朝"/>
                <w:sz w:val="18"/>
                <w:szCs w:val="18"/>
                <w:lang w:eastAsia="ja-JP"/>
              </w:rPr>
              <w:t>-</w:t>
            </w:r>
            <w:r>
              <w:rPr>
                <w:rFonts w:eastAsia="ＭＳ 明朝" w:hint="eastAsia"/>
                <w:sz w:val="18"/>
                <w:szCs w:val="18"/>
                <w:lang w:eastAsia="ja-JP"/>
              </w:rPr>
              <w:t>TRP</w:t>
            </w:r>
            <w:r w:rsidR="00213F68">
              <w:rPr>
                <w:rFonts w:eastAsia="ＭＳ 明朝"/>
                <w:sz w:val="18"/>
                <w:szCs w:val="18"/>
                <w:lang w:eastAsia="ja-JP"/>
              </w:rPr>
              <w:t xml:space="preserve"> (in MIMO)</w:t>
            </w:r>
          </w:p>
          <w:p w14:paraId="2F0186E6" w14:textId="3C3D3A81" w:rsidR="00977E09" w:rsidRPr="00977E09" w:rsidRDefault="00977E09" w:rsidP="00977E09">
            <w:pPr>
              <w:pStyle w:val="af"/>
              <w:numPr>
                <w:ilvl w:val="0"/>
                <w:numId w:val="13"/>
              </w:numPr>
              <w:snapToGrid w:val="0"/>
              <w:rPr>
                <w:rFonts w:eastAsia="Malgun Gothic"/>
                <w:sz w:val="18"/>
                <w:szCs w:val="18"/>
              </w:rPr>
            </w:pPr>
            <w:r>
              <w:rPr>
                <w:rFonts w:eastAsia="ＭＳ 明朝"/>
                <w:sz w:val="18"/>
                <w:szCs w:val="18"/>
                <w:lang w:eastAsia="ja-JP"/>
              </w:rPr>
              <w:t xml:space="preserve">Above 52GHz: multi-PDSCH / multi-PUSCH (one DCI schedules multiple PDSCHs/PUSCHs in different slot, and </w:t>
            </w:r>
            <w:r w:rsidR="00213F68">
              <w:rPr>
                <w:rFonts w:eastAsia="ＭＳ 明朝"/>
                <w:sz w:val="18"/>
                <w:szCs w:val="18"/>
                <w:lang w:eastAsia="ja-JP"/>
              </w:rPr>
              <w:t>their</w:t>
            </w:r>
            <w:r>
              <w:rPr>
                <w:rFonts w:eastAsia="ＭＳ 明朝"/>
                <w:sz w:val="18"/>
                <w:szCs w:val="18"/>
                <w:lang w:eastAsia="ja-JP"/>
              </w:rPr>
              <w:t xml:space="preserve"> beam </w:t>
            </w:r>
            <w:r w:rsidR="00213F68">
              <w:rPr>
                <w:rFonts w:eastAsia="ＭＳ 明朝"/>
                <w:sz w:val="18"/>
                <w:szCs w:val="18"/>
                <w:lang w:eastAsia="ja-JP"/>
              </w:rPr>
              <w:t>indication</w:t>
            </w:r>
            <w:r>
              <w:rPr>
                <w:rFonts w:eastAsia="ＭＳ 明朝"/>
                <w:sz w:val="18"/>
                <w:szCs w:val="18"/>
                <w:lang w:eastAsia="ja-JP"/>
              </w:rPr>
              <w:t xml:space="preserve"> is defined based on Rel.15/16 TCI state/spatial relation)</w:t>
            </w:r>
          </w:p>
          <w:p w14:paraId="3D1A916E" w14:textId="55E4D910" w:rsidR="00977E09" w:rsidRPr="00977E09" w:rsidRDefault="00977E09" w:rsidP="00977E09">
            <w:pPr>
              <w:pStyle w:val="af"/>
              <w:numPr>
                <w:ilvl w:val="0"/>
                <w:numId w:val="13"/>
              </w:numPr>
              <w:snapToGrid w:val="0"/>
              <w:rPr>
                <w:rFonts w:eastAsia="Malgun Gothic"/>
                <w:sz w:val="18"/>
                <w:szCs w:val="18"/>
              </w:rPr>
            </w:pPr>
            <w:r>
              <w:rPr>
                <w:rFonts w:eastAsia="ＭＳ 明朝"/>
                <w:sz w:val="18"/>
                <w:szCs w:val="18"/>
                <w:lang w:eastAsia="ja-JP"/>
              </w:rPr>
              <w:t>Positioning: SRS for positioning uses Rel.15/16 spatial relation</w:t>
            </w:r>
          </w:p>
          <w:p w14:paraId="476826EF" w14:textId="47D4E565" w:rsidR="00977E09" w:rsidRDefault="00977E09" w:rsidP="00977E09">
            <w:pPr>
              <w:snapToGrid w:val="0"/>
              <w:rPr>
                <w:rFonts w:eastAsia="ＭＳ 明朝"/>
                <w:sz w:val="18"/>
                <w:szCs w:val="18"/>
                <w:lang w:eastAsia="ja-JP"/>
              </w:rPr>
            </w:pPr>
            <w:r>
              <w:rPr>
                <w:rFonts w:eastAsia="ＭＳ 明朝" w:hint="eastAsia"/>
                <w:sz w:val="18"/>
                <w:szCs w:val="18"/>
                <w:lang w:eastAsia="ja-JP"/>
              </w:rPr>
              <w:t xml:space="preserve">Also, some Rel.16 features </w:t>
            </w:r>
            <w:r>
              <w:rPr>
                <w:rFonts w:eastAsia="ＭＳ 明朝"/>
                <w:sz w:val="18"/>
                <w:szCs w:val="18"/>
                <w:lang w:eastAsia="ja-JP"/>
              </w:rPr>
              <w:t xml:space="preserve">(e.g. positioning, IAB, etc. ) would </w:t>
            </w:r>
            <w:r>
              <w:rPr>
                <w:rFonts w:eastAsia="ＭＳ 明朝" w:hint="eastAsia"/>
                <w:sz w:val="18"/>
                <w:szCs w:val="18"/>
                <w:lang w:eastAsia="ja-JP"/>
              </w:rPr>
              <w:t xml:space="preserve">use </w:t>
            </w:r>
            <w:r>
              <w:rPr>
                <w:rFonts w:eastAsia="ＭＳ 明朝"/>
                <w:sz w:val="18"/>
                <w:szCs w:val="18"/>
                <w:lang w:eastAsia="ja-JP"/>
              </w:rPr>
              <w:t xml:space="preserve">Rel.15/16 TCI state/spatial relation. It is unfortunate if we cannot use Rel.17 TCI state when gNB configures </w:t>
            </w:r>
            <w:r w:rsidR="00037ECA">
              <w:rPr>
                <w:rFonts w:eastAsia="ＭＳ 明朝"/>
                <w:sz w:val="18"/>
                <w:szCs w:val="18"/>
                <w:lang w:eastAsia="ja-JP"/>
              </w:rPr>
              <w:t xml:space="preserve">at least one of </w:t>
            </w:r>
            <w:r>
              <w:rPr>
                <w:rFonts w:eastAsia="ＭＳ 明朝"/>
                <w:sz w:val="18"/>
                <w:szCs w:val="18"/>
                <w:lang w:eastAsia="ja-JP"/>
              </w:rPr>
              <w:t>these features</w:t>
            </w:r>
            <w:r w:rsidR="00037ECA">
              <w:rPr>
                <w:rFonts w:eastAsia="ＭＳ 明朝"/>
                <w:sz w:val="18"/>
                <w:szCs w:val="18"/>
                <w:lang w:eastAsia="ja-JP"/>
              </w:rPr>
              <w:t xml:space="preserve"> in one CC</w:t>
            </w:r>
            <w:r>
              <w:rPr>
                <w:rFonts w:eastAsia="ＭＳ 明朝"/>
                <w:sz w:val="18"/>
                <w:szCs w:val="18"/>
                <w:lang w:eastAsia="ja-JP"/>
              </w:rPr>
              <w:t>. Hence, our preference is to restrict Proposal 1.A.3 per CC, as Intel suggested. However, we can accept “</w:t>
            </w:r>
            <w:r w:rsidRPr="00977E09">
              <w:rPr>
                <w:rFonts w:eastAsia="ＭＳ 明朝"/>
                <w:sz w:val="18"/>
                <w:szCs w:val="18"/>
                <w:lang w:eastAsia="ja-JP"/>
              </w:rPr>
              <w:t>in any CC in a band</w:t>
            </w:r>
            <w:r>
              <w:rPr>
                <w:rFonts w:eastAsia="ＭＳ 明朝"/>
                <w:sz w:val="18"/>
                <w:szCs w:val="18"/>
                <w:lang w:eastAsia="ja-JP"/>
              </w:rPr>
              <w:t>”, as compromise.</w:t>
            </w:r>
            <w:r w:rsidR="00037ECA">
              <w:rPr>
                <w:rFonts w:eastAsia="ＭＳ 明朝"/>
                <w:sz w:val="18"/>
                <w:szCs w:val="18"/>
                <w:lang w:eastAsia="ja-JP"/>
              </w:rPr>
              <w:t xml:space="preserve"> </w:t>
            </w:r>
            <w:r>
              <w:rPr>
                <w:rFonts w:eastAsia="ＭＳ 明朝"/>
                <w:sz w:val="18"/>
                <w:szCs w:val="18"/>
                <w:lang w:eastAsia="ja-JP"/>
              </w:rPr>
              <w:t>Then, we are fine to remove the bullet.</w:t>
            </w:r>
          </w:p>
          <w:p w14:paraId="08DB785E" w14:textId="77777777" w:rsidR="00037ECA" w:rsidRDefault="00037ECA" w:rsidP="00977E09">
            <w:pPr>
              <w:snapToGrid w:val="0"/>
              <w:rPr>
                <w:rFonts w:eastAsia="ＭＳ 明朝"/>
                <w:sz w:val="18"/>
                <w:szCs w:val="18"/>
                <w:lang w:eastAsia="ja-JP"/>
              </w:rPr>
            </w:pPr>
          </w:p>
          <w:p w14:paraId="64672BB5" w14:textId="77FEB73C" w:rsidR="00977E09" w:rsidRPr="008F4924" w:rsidRDefault="00037ECA" w:rsidP="00977E09">
            <w:pPr>
              <w:snapToGrid w:val="0"/>
              <w:rPr>
                <w:rFonts w:eastAsia="ＭＳ 明朝" w:hint="eastAsia"/>
                <w:sz w:val="18"/>
                <w:szCs w:val="18"/>
                <w:lang w:eastAsia="ja-JP"/>
              </w:rPr>
            </w:pPr>
            <w:r>
              <w:rPr>
                <w:rFonts w:eastAsia="ＭＳ 明朝"/>
                <w:sz w:val="18"/>
                <w:szCs w:val="18"/>
                <w:lang w:eastAsia="ja-JP"/>
              </w:rPr>
              <w:t>Regarding to defi</w:t>
            </w:r>
            <w:r w:rsidRPr="008F4924">
              <w:rPr>
                <w:rFonts w:eastAsia="ＭＳ 明朝"/>
                <w:sz w:val="18"/>
                <w:szCs w:val="18"/>
                <w:lang w:eastAsia="ja-JP"/>
              </w:rPr>
              <w:t>ning UE capability of Rel.17 TCI state per UE, suggested by MediaTek, we think it is not feasible. We assume different band has different difficulty of supporting Rel.17 TCI state (including the number of configured/activated TCI state). UE</w:t>
            </w:r>
            <w:r w:rsidR="00213F68">
              <w:rPr>
                <w:rFonts w:eastAsia="ＭＳ 明朝"/>
                <w:sz w:val="18"/>
                <w:szCs w:val="18"/>
                <w:lang w:eastAsia="ja-JP"/>
              </w:rPr>
              <w:t xml:space="preserve"> would report its capability of supporting Rel.17 TCI state per band. </w:t>
            </w:r>
            <w:bookmarkStart w:id="14" w:name="_GoBack"/>
            <w:bookmarkEnd w:id="14"/>
          </w:p>
          <w:p w14:paraId="72BB9BFE" w14:textId="6F5042EF" w:rsidR="00977E09" w:rsidRPr="008F4924" w:rsidRDefault="00977E09" w:rsidP="00BD33BB">
            <w:pPr>
              <w:snapToGrid w:val="0"/>
              <w:rPr>
                <w:rFonts w:eastAsia="ＭＳ 明朝"/>
                <w:b/>
                <w:color w:val="3333FF"/>
                <w:sz w:val="18"/>
                <w:szCs w:val="18"/>
                <w:lang w:eastAsia="ja-JP"/>
              </w:rPr>
            </w:pPr>
          </w:p>
          <w:p w14:paraId="7524CA33" w14:textId="5D5F02DE" w:rsidR="008F4924" w:rsidRPr="008F4924" w:rsidRDefault="008F4924" w:rsidP="00BD33BB">
            <w:pPr>
              <w:snapToGrid w:val="0"/>
              <w:rPr>
                <w:rFonts w:eastAsia="ＭＳ 明朝" w:hint="eastAsia"/>
                <w:b/>
                <w:color w:val="3333FF"/>
                <w:sz w:val="18"/>
                <w:szCs w:val="18"/>
                <w:lang w:eastAsia="ja-JP"/>
              </w:rPr>
            </w:pPr>
            <w:r w:rsidRPr="008F4924">
              <w:rPr>
                <w:rFonts w:eastAsia="ＭＳ 明朝" w:hint="eastAsia"/>
                <w:b/>
                <w:sz w:val="18"/>
                <w:szCs w:val="18"/>
                <w:u w:val="single"/>
                <w:lang w:eastAsia="ja-JP"/>
              </w:rPr>
              <w:t xml:space="preserve">Proposal of </w:t>
            </w:r>
            <w:r w:rsidRPr="008F4924">
              <w:rPr>
                <w:rFonts w:eastAsia="ＭＳ 明朝"/>
                <w:b/>
                <w:sz w:val="18"/>
                <w:szCs w:val="18"/>
                <w:u w:val="single"/>
                <w:lang w:eastAsia="ja-JP"/>
              </w:rPr>
              <w:t xml:space="preserve">issue </w:t>
            </w:r>
            <w:r w:rsidRPr="008F4924">
              <w:rPr>
                <w:b/>
                <w:sz w:val="18"/>
                <w:szCs w:val="18"/>
                <w:u w:val="single"/>
              </w:rPr>
              <w:t>1.7</w:t>
            </w:r>
            <w:r w:rsidRPr="008F4924">
              <w:rPr>
                <w:b/>
                <w:sz w:val="18"/>
                <w:szCs w:val="18"/>
                <w:u w:val="single"/>
              </w:rPr>
              <w:t>:</w:t>
            </w:r>
            <w:r>
              <w:rPr>
                <w:sz w:val="18"/>
                <w:szCs w:val="18"/>
              </w:rPr>
              <w:t xml:space="preserve"> Support. We think it is good to clarify the behavior for inter cell beam indication.</w:t>
            </w:r>
          </w:p>
          <w:p w14:paraId="3CA662F2" w14:textId="66A5690A" w:rsidR="00037ECA" w:rsidRPr="00037ECA" w:rsidRDefault="00037ECA" w:rsidP="00BD33BB">
            <w:pPr>
              <w:snapToGrid w:val="0"/>
              <w:rPr>
                <w:rFonts w:eastAsia="ＭＳ 明朝" w:hint="eastAsia"/>
                <w:b/>
                <w:color w:val="3333FF"/>
                <w:szCs w:val="18"/>
                <w:lang w:eastAsia="ja-JP"/>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ＭＳ 明朝"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ＭＳ 明朝"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ＭＳ 明朝"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ＭＳ 明朝"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 xml:space="preserve">Detailed </w:t>
            </w:r>
            <w:r w:rsidR="005457D9">
              <w:rPr>
                <w:rFonts w:ascii="Times" w:eastAsia="ＭＳ 明朝" w:hAnsi="Times"/>
                <w:bCs/>
                <w:sz w:val="18"/>
                <w:szCs w:val="18"/>
                <w:lang w:val="en-GB" w:eastAsia="ja-JP"/>
              </w:rPr>
              <w:pgNum/>
            </w:r>
            <w:r w:rsidR="005457D9">
              <w:rPr>
                <w:rFonts w:ascii="Times" w:eastAsia="ＭＳ 明朝" w:hAnsi="Times"/>
                <w:bCs/>
                <w:sz w:val="18"/>
                <w:szCs w:val="18"/>
                <w:lang w:val="en-GB" w:eastAsia="ja-JP"/>
              </w:rPr>
              <w:t>ehaviour</w:t>
            </w:r>
            <w:r w:rsidR="005457D9">
              <w:rPr>
                <w:rFonts w:ascii="Times" w:eastAsia="ＭＳ 明朝" w:hAnsi="Times"/>
                <w:bCs/>
                <w:sz w:val="18"/>
                <w:szCs w:val="18"/>
                <w:lang w:val="en-GB" w:eastAsia="ja-JP"/>
              </w:rPr>
              <w:pgNum/>
            </w:r>
            <w:r w:rsidRPr="00F03572">
              <w:rPr>
                <w:rFonts w:ascii="Times" w:eastAsia="ＭＳ 明朝"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af"/>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af"/>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4127FF33"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008A708E">
              <w:rPr>
                <w:sz w:val="18"/>
                <w:szCs w:val="18"/>
              </w:rPr>
              <w:t xml:space="preserve">in Rel-17,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w:t>
            </w:r>
            <w:r w:rsidR="008A708E">
              <w:rPr>
                <w:rFonts w:eastAsia="SimSun"/>
                <w:sz w:val="18"/>
                <w:szCs w:val="18"/>
              </w:rPr>
              <w:t xml:space="preserve">if/how it impacts </w:t>
            </w:r>
            <w:r w:rsidRPr="00A46066">
              <w:rPr>
                <w:rFonts w:eastAsia="SimSun"/>
                <w:sz w:val="18"/>
                <w:szCs w:val="18"/>
              </w:rPr>
              <w:t xml:space="preserve">RAN1 specification </w:t>
            </w:r>
          </w:p>
          <w:p w14:paraId="124A73E5" w14:textId="5B949BE9" w:rsidR="00723C50" w:rsidRDefault="00723C50" w:rsidP="008F08A5">
            <w:pPr>
              <w:pStyle w:val="af"/>
              <w:numPr>
                <w:ilvl w:val="0"/>
                <w:numId w:val="46"/>
              </w:numPr>
              <w:snapToGrid w:val="0"/>
              <w:spacing w:after="0" w:line="240" w:lineRule="auto"/>
              <w:jc w:val="both"/>
              <w:rPr>
                <w:sz w:val="18"/>
                <w:szCs w:val="18"/>
              </w:rPr>
            </w:pPr>
            <w:r>
              <w:rPr>
                <w:sz w:val="18"/>
                <w:szCs w:val="18"/>
              </w:rPr>
              <w:t xml:space="preserve">Prepare an LS to RAN4 informing such conclusion </w:t>
            </w:r>
            <w:r w:rsidR="008A708E">
              <w:rPr>
                <w:sz w:val="18"/>
                <w:szCs w:val="18"/>
              </w:rPr>
              <w:t xml:space="preserve">and </w:t>
            </w:r>
            <w:r w:rsidR="006F0292">
              <w:rPr>
                <w:sz w:val="18"/>
                <w:szCs w:val="18"/>
              </w:rPr>
              <w:t>recommending RAN4 to investigate the issue</w:t>
            </w:r>
          </w:p>
          <w:p w14:paraId="5F01CCC3" w14:textId="64D0345A" w:rsidR="008F08A5" w:rsidRPr="00723C50" w:rsidRDefault="008F08A5" w:rsidP="008F08A5">
            <w:pPr>
              <w:pStyle w:val="af"/>
              <w:numPr>
                <w:ilvl w:val="0"/>
                <w:numId w:val="46"/>
              </w:numPr>
              <w:snapToGrid w:val="0"/>
              <w:spacing w:after="0" w:line="240" w:lineRule="auto"/>
              <w:jc w:val="both"/>
              <w:rPr>
                <w:sz w:val="18"/>
                <w:szCs w:val="18"/>
              </w:rPr>
            </w:pPr>
            <w:r>
              <w:rPr>
                <w:sz w:val="18"/>
                <w:szCs w:val="18"/>
              </w:rPr>
              <w:t xml:space="preserve">Note: Discussion in UE feature </w:t>
            </w:r>
            <w:r w:rsidR="00310916">
              <w:rPr>
                <w:sz w:val="18"/>
                <w:szCs w:val="18"/>
              </w:rPr>
              <w:t>agenda</w:t>
            </w:r>
            <w:r w:rsidR="008C6DA3">
              <w:rPr>
                <w:sz w:val="18"/>
                <w:szCs w:val="18"/>
              </w:rPr>
              <w:t xml:space="preserve"> on this issue</w:t>
            </w:r>
            <w:r>
              <w:rPr>
                <w:sz w:val="18"/>
                <w:szCs w:val="18"/>
              </w:rPr>
              <w:t xml:space="preserve"> is not ruled out</w:t>
            </w:r>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ＭＳ 明朝"/>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ＭＳ 明朝"/>
                <w:b/>
                <w:color w:val="3333FF"/>
                <w:sz w:val="18"/>
                <w:szCs w:val="18"/>
                <w:lang w:eastAsia="ja-JP"/>
              </w:rPr>
            </w:pPr>
            <w:r w:rsidRPr="003518D3">
              <w:rPr>
                <w:rFonts w:eastAsia="ＭＳ 明朝"/>
                <w:b/>
                <w:color w:val="3333FF"/>
                <w:sz w:val="18"/>
                <w:szCs w:val="18"/>
                <w:lang w:eastAsia="ja-JP"/>
              </w:rPr>
              <w:t>No revision.</w:t>
            </w:r>
          </w:p>
          <w:p w14:paraId="0467F859" w14:textId="77777777" w:rsidR="003518D3" w:rsidRPr="003518D3" w:rsidRDefault="003518D3" w:rsidP="00041AFA">
            <w:pPr>
              <w:snapToGrid w:val="0"/>
              <w:rPr>
                <w:rFonts w:eastAsia="ＭＳ 明朝"/>
                <w:b/>
                <w:color w:val="3333FF"/>
                <w:sz w:val="18"/>
                <w:szCs w:val="18"/>
                <w:lang w:eastAsia="ja-JP"/>
              </w:rPr>
            </w:pPr>
          </w:p>
          <w:p w14:paraId="254AC6F4" w14:textId="56EF3E9D" w:rsidR="003518D3" w:rsidRPr="00041AFA" w:rsidRDefault="003518D3" w:rsidP="003518D3">
            <w:pPr>
              <w:snapToGrid w:val="0"/>
              <w:rPr>
                <w:rFonts w:eastAsia="ＭＳ 明朝"/>
                <w:b/>
                <w:sz w:val="18"/>
                <w:szCs w:val="18"/>
                <w:lang w:eastAsia="ja-JP"/>
              </w:rPr>
            </w:pPr>
            <w:r w:rsidRPr="003518D3">
              <w:rPr>
                <w:rFonts w:eastAsia="ＭＳ 明朝"/>
                <w:b/>
                <w:color w:val="3333FF"/>
                <w:sz w:val="28"/>
                <w:szCs w:val="28"/>
                <w:lang w:eastAsia="ja-JP"/>
              </w:rPr>
              <w:t>For issue 2.3, p</w:t>
            </w:r>
            <w:r w:rsidRPr="003518D3">
              <w:rPr>
                <w:rFonts w:eastAsia="ＭＳ 明朝"/>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ＭＳ 明朝"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ＭＳ 明朝"/>
                <w:bCs/>
                <w:sz w:val="18"/>
                <w:szCs w:val="18"/>
                <w:lang w:val="en-GB" w:eastAsia="ja-JP"/>
              </w:rPr>
            </w:pPr>
            <w:r w:rsidRPr="00176397">
              <w:rPr>
                <w:rFonts w:eastAsia="ＭＳ 明朝"/>
                <w:bCs/>
                <w:sz w:val="18"/>
                <w:szCs w:val="18"/>
                <w:lang w:val="en-GB" w:eastAsia="ja-JP"/>
              </w:rPr>
              <w:t>Proposal 2.C.2:</w:t>
            </w:r>
            <w:r>
              <w:rPr>
                <w:rFonts w:eastAsia="ＭＳ 明朝"/>
                <w:bCs/>
                <w:sz w:val="18"/>
                <w:szCs w:val="18"/>
                <w:lang w:val="en-GB" w:eastAsia="ja-JP"/>
              </w:rPr>
              <w:t xml:space="preserve"> Support.</w:t>
            </w:r>
          </w:p>
          <w:p w14:paraId="3C0FEAA9" w14:textId="50464E11" w:rsidR="00F604E2" w:rsidRPr="00346A61" w:rsidRDefault="00F604E2" w:rsidP="00F604E2">
            <w:pPr>
              <w:snapToGrid w:val="0"/>
              <w:rPr>
                <w:rFonts w:eastAsia="ＭＳ 明朝"/>
                <w:bCs/>
                <w:sz w:val="18"/>
                <w:szCs w:val="18"/>
                <w:lang w:val="en-GB" w:eastAsia="ja-JP"/>
              </w:rPr>
            </w:pPr>
            <w:r>
              <w:rPr>
                <w:rFonts w:eastAsia="ＭＳ 明朝"/>
                <w:bCs/>
                <w:sz w:val="18"/>
                <w:szCs w:val="18"/>
                <w:lang w:val="en-GB" w:eastAsia="ja-JP"/>
              </w:rPr>
              <w:t xml:space="preserve">Issue 2.2: We think </w:t>
            </w:r>
            <w:r w:rsidRPr="00346A61">
              <w:rPr>
                <w:rFonts w:eastAsia="ＭＳ 明朝"/>
                <w:bCs/>
                <w:sz w:val="18"/>
                <w:szCs w:val="18"/>
                <w:lang w:val="en-GB" w:eastAsia="ja-JP"/>
              </w:rPr>
              <w:t>it is beneficial</w:t>
            </w:r>
            <w:r>
              <w:rPr>
                <w:rFonts w:eastAsia="ＭＳ 明朝"/>
                <w:bCs/>
                <w:sz w:val="18"/>
                <w:szCs w:val="18"/>
                <w:lang w:val="en-GB" w:eastAsia="ja-JP"/>
              </w:rPr>
              <w:t xml:space="preserve"> from technical perspective</w:t>
            </w:r>
            <w:r w:rsidRPr="00346A61">
              <w:rPr>
                <w:rFonts w:eastAsia="ＭＳ 明朝"/>
                <w:bCs/>
                <w:sz w:val="18"/>
                <w:szCs w:val="18"/>
                <w:lang w:val="en-GB" w:eastAsia="ja-JP"/>
              </w:rPr>
              <w:t>.</w:t>
            </w:r>
            <w:r>
              <w:rPr>
                <w:rFonts w:eastAsia="ＭＳ 明朝"/>
                <w:bCs/>
                <w:sz w:val="18"/>
                <w:szCs w:val="18"/>
                <w:lang w:val="en-GB" w:eastAsia="ja-JP"/>
              </w:rPr>
              <w:t xml:space="preserve"> However, </w:t>
            </w:r>
            <w:r w:rsidRPr="00346A61">
              <w:rPr>
                <w:rFonts w:eastAsia="ＭＳ 明朝"/>
                <w:bCs/>
                <w:sz w:val="18"/>
                <w:szCs w:val="18"/>
                <w:lang w:val="en-GB" w:eastAsia="ja-JP"/>
              </w:rPr>
              <w:t xml:space="preserve">some additional spec. impact </w:t>
            </w:r>
            <w:r>
              <w:rPr>
                <w:rFonts w:eastAsia="ＭＳ 明朝"/>
                <w:bCs/>
                <w:sz w:val="18"/>
                <w:szCs w:val="18"/>
                <w:lang w:val="en-GB" w:eastAsia="ja-JP"/>
              </w:rPr>
              <w:t>is</w:t>
            </w:r>
            <w:r w:rsidRPr="00346A61">
              <w:rPr>
                <w:rFonts w:eastAsia="ＭＳ 明朝"/>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ＭＳ 明朝"/>
                <w:bCs/>
                <w:sz w:val="18"/>
                <w:szCs w:val="18"/>
                <w:lang w:eastAsia="ja-JP"/>
              </w:rPr>
            </w:pPr>
            <w:r>
              <w:rPr>
                <w:rFonts w:eastAsia="ＭＳ 明朝" w:hint="eastAsia"/>
                <w:bCs/>
                <w:sz w:val="18"/>
                <w:szCs w:val="18"/>
                <w:lang w:val="en-GB" w:eastAsia="ja-JP"/>
              </w:rPr>
              <w:t xml:space="preserve">Issue 2.3: Support Alt.4. We have concern on Alt.3. </w:t>
            </w:r>
            <w:r>
              <w:rPr>
                <w:rFonts w:eastAsia="ＭＳ 明朝"/>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ＭＳ 明朝"/>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ＭＳ 明朝"/>
                <w:bCs/>
                <w:sz w:val="18"/>
                <w:szCs w:val="18"/>
                <w:lang w:eastAsia="ja-JP"/>
              </w:rPr>
            </w:pPr>
            <w:r>
              <w:rPr>
                <w:rFonts w:eastAsia="ＭＳ 明朝"/>
                <w:bCs/>
                <w:sz w:val="18"/>
                <w:szCs w:val="18"/>
                <w:lang w:eastAsia="ja-JP"/>
              </w:rPr>
              <w:t>For 2.1</w:t>
            </w:r>
            <w:r w:rsidR="005100C3">
              <w:rPr>
                <w:rFonts w:eastAsia="ＭＳ 明朝"/>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ＭＳ 明朝"/>
                <w:bCs/>
                <w:sz w:val="18"/>
                <w:szCs w:val="18"/>
                <w:lang w:eastAsia="ja-JP"/>
              </w:rPr>
            </w:pPr>
            <w:r>
              <w:rPr>
                <w:rFonts w:eastAsia="ＭＳ 明朝"/>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ＭＳ 明朝"/>
                <w:bCs/>
                <w:sz w:val="18"/>
                <w:szCs w:val="18"/>
                <w:lang w:eastAsia="ja-JP"/>
              </w:rPr>
            </w:pPr>
            <w:r>
              <w:rPr>
                <w:rFonts w:eastAsia="ＭＳ 明朝"/>
                <w:bCs/>
                <w:sz w:val="18"/>
                <w:szCs w:val="18"/>
                <w:lang w:eastAsia="ja-JP"/>
              </w:rPr>
              <w:t>For 2.</w:t>
            </w:r>
            <w:r w:rsidR="00A34C56">
              <w:rPr>
                <w:rFonts w:eastAsia="ＭＳ 明朝"/>
                <w:bCs/>
                <w:sz w:val="18"/>
                <w:szCs w:val="18"/>
                <w:lang w:eastAsia="ja-JP"/>
              </w:rPr>
              <w:t>3</w:t>
            </w:r>
            <w:r>
              <w:rPr>
                <w:rFonts w:eastAsia="ＭＳ 明朝"/>
                <w:bCs/>
                <w:sz w:val="18"/>
                <w:szCs w:val="18"/>
                <w:lang w:eastAsia="ja-JP"/>
              </w:rPr>
              <w:t xml:space="preserve">, it is RAN4 issue, and we can wait for RAN4 inputs, if any. Regarding timeRestrictionForChannelMeasurements, it is by default that the most recent </w:t>
            </w:r>
            <w:r w:rsidR="00E059B9">
              <w:rPr>
                <w:rFonts w:eastAsia="ＭＳ 明朝"/>
                <w:bCs/>
                <w:sz w:val="18"/>
                <w:szCs w:val="18"/>
                <w:lang w:eastAsia="ja-JP"/>
              </w:rPr>
              <w:t>‘</w:t>
            </w:r>
            <w:r>
              <w:rPr>
                <w:rFonts w:eastAsia="ＭＳ 明朝"/>
                <w:bCs/>
                <w:sz w:val="18"/>
                <w:szCs w:val="18"/>
                <w:lang w:eastAsia="ja-JP"/>
              </w:rPr>
              <w:t>available</w:t>
            </w:r>
            <w:r w:rsidR="00E059B9">
              <w:rPr>
                <w:rFonts w:eastAsia="ＭＳ 明朝"/>
                <w:bCs/>
                <w:sz w:val="18"/>
                <w:szCs w:val="18"/>
                <w:lang w:eastAsia="ja-JP"/>
              </w:rPr>
              <w:t>’</w:t>
            </w:r>
            <w:r>
              <w:rPr>
                <w:rFonts w:eastAsia="ＭＳ 明朝"/>
                <w:bCs/>
                <w:sz w:val="18"/>
                <w:szCs w:val="18"/>
                <w:lang w:eastAsia="ja-JP"/>
              </w:rPr>
              <w:t xml:space="preserve"> measurement is used. We experience the similar situation for CSI measurement while the corresponding CSI-RS for CSI is </w:t>
            </w:r>
            <w:r w:rsidR="00E059B9">
              <w:rPr>
                <w:rFonts w:eastAsia="ＭＳ 明朝"/>
                <w:bCs/>
                <w:sz w:val="18"/>
                <w:szCs w:val="18"/>
                <w:lang w:eastAsia="ja-JP"/>
              </w:rPr>
              <w:t>not measured</w:t>
            </w:r>
            <w:r>
              <w:rPr>
                <w:rFonts w:eastAsia="ＭＳ 明朝"/>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ＭＳ 明朝"/>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ＭＳ 明朝"/>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ＭＳ 明朝" w:hint="eastAsia"/>
                <w:bCs/>
                <w:sz w:val="18"/>
                <w:szCs w:val="18"/>
                <w:lang w:eastAsia="ja-JP"/>
              </w:rPr>
              <w:t>For</w:t>
            </w:r>
            <w:r w:rsidRPr="00091197">
              <w:rPr>
                <w:rFonts w:eastAsia="ＭＳ 明朝"/>
                <w:bCs/>
                <w:sz w:val="18"/>
                <w:szCs w:val="18"/>
                <w:lang w:eastAsia="ja-JP"/>
              </w:rPr>
              <w:t xml:space="preserve"> 2.</w:t>
            </w:r>
            <w:r>
              <w:rPr>
                <w:rFonts w:eastAsia="ＭＳ 明朝"/>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ＭＳ 明朝"/>
                <w:color w:val="000000" w:themeColor="text1"/>
                <w:sz w:val="18"/>
                <w:szCs w:val="18"/>
                <w:lang w:eastAsia="ja-JP"/>
              </w:rPr>
            </w:pPr>
            <w:r w:rsidRPr="51A82F62">
              <w:rPr>
                <w:rStyle w:val="normaltextrun"/>
                <w:rFonts w:eastAsia="ＭＳ 明朝"/>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ＭＳ 明朝"/>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ＭＳ 明朝"/>
                <w:bCs/>
                <w:color w:val="000000" w:themeColor="text1"/>
                <w:sz w:val="18"/>
                <w:szCs w:val="18"/>
                <w:lang w:eastAsia="ja-JP"/>
              </w:rPr>
            </w:pPr>
            <w:r w:rsidRPr="00C61F42">
              <w:rPr>
                <w:rFonts w:eastAsia="ＭＳ 明朝"/>
                <w:b/>
                <w:color w:val="000000" w:themeColor="text1"/>
                <w:sz w:val="18"/>
                <w:szCs w:val="18"/>
                <w:lang w:eastAsia="ja-JP"/>
              </w:rPr>
              <w:t>Issue 2.3:</w:t>
            </w:r>
            <w:r>
              <w:rPr>
                <w:rFonts w:eastAsia="ＭＳ 明朝"/>
                <w:b/>
                <w:color w:val="000000" w:themeColor="text1"/>
                <w:sz w:val="18"/>
                <w:szCs w:val="18"/>
                <w:lang w:eastAsia="ja-JP"/>
              </w:rPr>
              <w:t xml:space="preserve"> </w:t>
            </w:r>
            <w:r>
              <w:rPr>
                <w:rFonts w:eastAsia="ＭＳ 明朝"/>
                <w:bCs/>
                <w:color w:val="000000" w:themeColor="text1"/>
                <w:sz w:val="18"/>
                <w:szCs w:val="18"/>
                <w:lang w:eastAsia="ja-JP"/>
              </w:rPr>
              <w:t xml:space="preserve">We think this is purely a RAN4 issue. For the restriction mentioned by vivo, </w:t>
            </w:r>
            <w:r w:rsidR="001C606F">
              <w:rPr>
                <w:rFonts w:eastAsia="ＭＳ 明朝"/>
                <w:bCs/>
                <w:color w:val="000000" w:themeColor="text1"/>
                <w:sz w:val="18"/>
                <w:szCs w:val="18"/>
                <w:lang w:eastAsia="ja-JP"/>
              </w:rPr>
              <w:t>if that is a problem (which is not clear), we can assume that it is applicable for intra-cell case and l</w:t>
            </w:r>
            <w:r w:rsidR="00BA01B8">
              <w:rPr>
                <w:rFonts w:eastAsia="ＭＳ 明朝"/>
                <w:bCs/>
                <w:color w:val="000000" w:themeColor="text1"/>
                <w:sz w:val="18"/>
                <w:szCs w:val="18"/>
                <w:lang w:eastAsia="ja-JP"/>
              </w:rPr>
              <w:t>eave inter-cell case to</w:t>
            </w:r>
            <w:r w:rsidR="001C606F">
              <w:rPr>
                <w:rFonts w:eastAsia="ＭＳ 明朝"/>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ＭＳ 明朝"/>
                <w:b/>
                <w:bCs/>
                <w:color w:val="3333FF"/>
                <w:sz w:val="18"/>
                <w:szCs w:val="18"/>
                <w:lang w:eastAsia="ja-JP"/>
              </w:rPr>
            </w:pPr>
            <w:r w:rsidRPr="00A46066">
              <w:rPr>
                <w:rFonts w:eastAsia="ＭＳ 明朝"/>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2.C.2:  We are fine with S</w:t>
            </w:r>
            <w:r w:rsidR="005457D9">
              <w:rPr>
                <w:rFonts w:eastAsia="ＭＳ 明朝"/>
                <w:bCs/>
                <w:color w:val="000000" w:themeColor="text1"/>
                <w:sz w:val="18"/>
                <w:szCs w:val="18"/>
                <w:lang w:eastAsia="ja-JP"/>
              </w:rPr>
              <w:t>c</w:t>
            </w:r>
            <w:r>
              <w:rPr>
                <w:rFonts w:eastAsia="ＭＳ 明朝"/>
                <w:bCs/>
                <w:color w:val="000000" w:themeColor="text1"/>
                <w:sz w:val="18"/>
                <w:szCs w:val="18"/>
                <w:lang w:eastAsia="ja-JP"/>
              </w:rPr>
              <w:t>ell, but have concern on P</w:t>
            </w:r>
            <w:r w:rsidR="005457D9">
              <w:rPr>
                <w:rFonts w:eastAsia="ＭＳ 明朝"/>
                <w:bCs/>
                <w:color w:val="000000" w:themeColor="text1"/>
                <w:sz w:val="18"/>
                <w:szCs w:val="18"/>
                <w:lang w:eastAsia="ja-JP"/>
              </w:rPr>
              <w:t>c</w:t>
            </w:r>
            <w:r>
              <w:rPr>
                <w:rFonts w:eastAsia="ＭＳ 明朝"/>
                <w:bCs/>
                <w:color w:val="000000" w:themeColor="text1"/>
                <w:sz w:val="18"/>
                <w:szCs w:val="18"/>
                <w:lang w:eastAsia="ja-JP"/>
              </w:rPr>
              <w:t>ell. The BFR of P</w:t>
            </w:r>
            <w:r w:rsidR="005457D9">
              <w:rPr>
                <w:rFonts w:eastAsia="ＭＳ 明朝"/>
                <w:bCs/>
                <w:color w:val="000000" w:themeColor="text1"/>
                <w:sz w:val="18"/>
                <w:szCs w:val="18"/>
                <w:lang w:eastAsia="ja-JP"/>
              </w:rPr>
              <w:t>c</w:t>
            </w:r>
            <w:r>
              <w:rPr>
                <w:rFonts w:eastAsia="ＭＳ 明朝"/>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ＭＳ 明朝"/>
                <w:bCs/>
                <w:color w:val="000000" w:themeColor="text1"/>
                <w:sz w:val="18"/>
                <w:szCs w:val="18"/>
                <w:lang w:eastAsia="ja-JP"/>
              </w:rPr>
              <w:t>c</w:t>
            </w:r>
            <w:r>
              <w:rPr>
                <w:rFonts w:eastAsia="ＭＳ 明朝"/>
                <w:bCs/>
                <w:color w:val="000000" w:themeColor="text1"/>
                <w:sz w:val="18"/>
                <w:szCs w:val="18"/>
                <w:lang w:eastAsia="ja-JP"/>
              </w:rPr>
              <w:t>ell now.</w:t>
            </w:r>
          </w:p>
          <w:p w14:paraId="4A875BA3" w14:textId="6230B0ED" w:rsidR="00AD13ED" w:rsidRDefault="00AD13ED"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Proposal 2.C.2</w:t>
            </w:r>
            <w:r>
              <w:rPr>
                <w:rFonts w:eastAsia="ＭＳ 明朝"/>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ＭＳ 明朝"/>
                <w:bCs/>
                <w:color w:val="000000" w:themeColor="text1"/>
                <w:sz w:val="18"/>
                <w:szCs w:val="18"/>
                <w:lang w:eastAsia="ja-JP"/>
              </w:rPr>
            </w:pPr>
          </w:p>
          <w:p w14:paraId="3DE5C120" w14:textId="77777777" w:rsidR="00701B6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Issue 2.2</w:t>
            </w:r>
            <w:r>
              <w:rPr>
                <w:rFonts w:eastAsia="ＭＳ 明朝"/>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ＭＳ 明朝"/>
                <w:bCs/>
                <w:color w:val="000000" w:themeColor="text1"/>
                <w:sz w:val="18"/>
                <w:szCs w:val="18"/>
                <w:lang w:eastAsia="ja-JP"/>
              </w:rPr>
            </w:pPr>
          </w:p>
          <w:p w14:paraId="6428C4E3" w14:textId="47711AB2" w:rsidR="00E8057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Proposed conclusion 2.D</w:t>
            </w:r>
            <w:r>
              <w:rPr>
                <w:rFonts w:eastAsia="ＭＳ 明朝"/>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ＭＳ 明朝"/>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ＭＳ 明朝"/>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ＭＳ 明朝"/>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ＭＳ 明朝"/>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A600ED">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A600E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A600ED">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A600ED">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Conclusion 2.E: support due to lack of time and this being last meeting. We sympathize with the importance of group based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Non-serving SSB can be configured for group-based beam measurement/reporting for R17 inter-cell mTRP at least based on R15/16 group-based beam report framework</w:t>
            </w:r>
          </w:p>
          <w:p w14:paraId="1EEE4F5A" w14:textId="77777777" w:rsidR="0091668E" w:rsidRPr="00B56B5B" w:rsidRDefault="0091668E" w:rsidP="0091668E">
            <w:pPr>
              <w:pStyle w:val="af"/>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Sorry, we have a few days left and the views from other companies don’t see to converge on this]</w:t>
            </w:r>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af"/>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af"/>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F</w:t>
            </w:r>
            <w:r w:rsidRPr="004D0337">
              <w:rPr>
                <w:rStyle w:val="normaltextrun"/>
                <w:rFonts w:eastAsia="ＭＳ 明朝"/>
                <w:color w:val="000000" w:themeColor="text1"/>
                <w:sz w:val="18"/>
                <w:szCs w:val="18"/>
                <w:lang w:eastAsia="ja-JP"/>
              </w:rPr>
              <w:t>uturew</w:t>
            </w:r>
            <w:r>
              <w:rPr>
                <w:rStyle w:val="normaltextrun"/>
                <w:rFonts w:eastAsia="ＭＳ 明朝"/>
                <w:color w:val="000000" w:themeColor="text1"/>
                <w:sz w:val="18"/>
                <w:szCs w:val="18"/>
                <w:lang w:eastAsia="ja-JP"/>
              </w:rPr>
              <w:t>e</w:t>
            </w:r>
            <w:r w:rsidRPr="004D0337">
              <w:rPr>
                <w:rStyle w:val="normaltextrun"/>
                <w:rFonts w:eastAsia="ＭＳ 明朝"/>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include group-based beam report for inter-cell mTRP</w:t>
            </w:r>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Added note on proposal 2.E</w:t>
            </w:r>
          </w:p>
        </w:tc>
      </w:tr>
      <w:tr w:rsidR="00607F36" w14:paraId="47D642B8"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4C5BE4" w:rsidRDefault="00607F36" w:rsidP="004671AF">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b/>
                <w:bCs/>
                <w:color w:val="3333FF"/>
                <w:sz w:val="18"/>
                <w:szCs w:val="18"/>
                <w:lang w:val="en-GB" w:eastAsia="zh-CN"/>
              </w:rPr>
            </w:pPr>
            <w:r>
              <w:rPr>
                <w:b/>
                <w:bCs/>
                <w:color w:val="3333FF"/>
                <w:sz w:val="18"/>
                <w:szCs w:val="18"/>
                <w:lang w:val="en-GB" w:eastAsia="zh-CN"/>
              </w:rPr>
              <w:t>Since companies comment seems to be asking RAN4 to study 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p>
          <w:p w14:paraId="54A5314E" w14:textId="7C4C4D39" w:rsidR="00607F36" w:rsidRDefault="00607F36" w:rsidP="004671AF">
            <w:pPr>
              <w:snapToGrid w:val="0"/>
              <w:rPr>
                <w:b/>
                <w:bCs/>
                <w:color w:val="3333FF"/>
                <w:sz w:val="18"/>
                <w:szCs w:val="18"/>
                <w:lang w:val="en-GB" w:eastAsia="zh-CN"/>
              </w:rPr>
            </w:pPr>
            <w:r>
              <w:rPr>
                <w:rFonts w:hint="eastAsia"/>
                <w:b/>
                <w:bCs/>
                <w:color w:val="3333FF"/>
                <w:sz w:val="18"/>
                <w:szCs w:val="18"/>
                <w:lang w:val="en-GB" w:eastAsia="zh-CN"/>
              </w:rPr>
              <w:t>D</w:t>
            </w:r>
            <w:r>
              <w:rPr>
                <w:b/>
                <w:bCs/>
                <w:color w:val="3333FF"/>
                <w:sz w:val="18"/>
                <w:szCs w:val="18"/>
                <w:lang w:val="en-GB" w:eastAsia="zh-CN"/>
              </w:rPr>
              <w:t>irectly saying no consensus might be hasty.</w:t>
            </w:r>
          </w:p>
          <w:p w14:paraId="68134F4E" w14:textId="66D33204" w:rsidR="00607F36" w:rsidRPr="00C25691" w:rsidRDefault="00607F36" w:rsidP="004671AF">
            <w:pPr>
              <w:snapToGrid w:val="0"/>
              <w:rPr>
                <w:b/>
                <w:bCs/>
                <w:color w:val="3333FF"/>
                <w:sz w:val="18"/>
                <w:szCs w:val="18"/>
                <w:lang w:val="en-GB" w:eastAsia="zh-CN"/>
              </w:rPr>
            </w:pPr>
            <w:r>
              <w:rPr>
                <w:b/>
                <w:bCs/>
                <w:color w:val="3333FF"/>
                <w:sz w:val="18"/>
                <w:szCs w:val="18"/>
                <w:lang w:val="en-GB" w:eastAsia="zh-CN"/>
              </w:rPr>
              <w:t xml:space="preserve"> </w:t>
            </w:r>
            <w:r w:rsidR="000F0D3E">
              <w:rPr>
                <w:b/>
                <w:bCs/>
                <w:color w:val="3333FF"/>
                <w:sz w:val="18"/>
                <w:szCs w:val="18"/>
                <w:lang w:val="en-GB" w:eastAsia="zh-CN"/>
              </w:rPr>
              <w:t>[Mod: This is reasonable. Modified the proposal]</w:t>
            </w:r>
          </w:p>
        </w:tc>
      </w:tr>
      <w:tr w:rsidR="00A600ED" w14:paraId="6FDC8E70"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FC0B" w14:textId="6B2433DD" w:rsidR="00A600ED" w:rsidRDefault="00A600ED"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9221" w14:textId="7D580FF7" w:rsidR="00A600ED" w:rsidRDefault="00A600ED" w:rsidP="00A600E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2.E: given the time left for R17, we agree to postpone the issue of group-based beam report for inter-cell mTRP to R18. </w:t>
            </w:r>
          </w:p>
          <w:p w14:paraId="36696D6B" w14:textId="7BC4F5DB" w:rsidR="00564CC2" w:rsidRDefault="00564CC2" w:rsidP="00A600E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Issue 2.3: We support Proposal 2.D. This can be left to UE, and there is no UE capability issue here. </w:t>
            </w:r>
          </w:p>
          <w:p w14:paraId="794D6CF8" w14:textId="74920049" w:rsidR="00564CC2" w:rsidRDefault="00564CC2" w:rsidP="00A600ED">
            <w:pPr>
              <w:snapToGrid w:val="0"/>
              <w:rPr>
                <w:rFonts w:eastAsia="ＭＳ 明朝"/>
                <w:bCs/>
                <w:color w:val="000000" w:themeColor="text1"/>
                <w:sz w:val="18"/>
                <w:szCs w:val="18"/>
                <w:lang w:eastAsia="ja-JP"/>
              </w:rPr>
            </w:pPr>
          </w:p>
          <w:p w14:paraId="191904DF" w14:textId="4D9935AA" w:rsidR="00A600ED" w:rsidRDefault="00A600ED" w:rsidP="004671AF">
            <w:pPr>
              <w:snapToGrid w:val="0"/>
              <w:rPr>
                <w:b/>
                <w:bCs/>
                <w:color w:val="3333FF"/>
                <w:sz w:val="18"/>
                <w:szCs w:val="18"/>
                <w:lang w:val="en-GB" w:eastAsia="zh-CN"/>
              </w:rPr>
            </w:pPr>
          </w:p>
        </w:tc>
      </w:tr>
      <w:tr w:rsidR="000F0D3E" w14:paraId="43CD1805"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A4B2" w14:textId="131E718F" w:rsidR="000F0D3E" w:rsidRDefault="000F0D3E"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3C55" w14:textId="77777777" w:rsidR="000F0D3E" w:rsidRDefault="000F0D3E" w:rsidP="00A600ED">
            <w:pPr>
              <w:snapToGrid w:val="0"/>
              <w:rPr>
                <w:rFonts w:eastAsia="ＭＳ 明朝"/>
                <w:b/>
                <w:bCs/>
                <w:color w:val="3333FF"/>
                <w:sz w:val="18"/>
                <w:szCs w:val="18"/>
                <w:lang w:eastAsia="ja-JP"/>
              </w:rPr>
            </w:pPr>
            <w:r w:rsidRPr="000F0D3E">
              <w:rPr>
                <w:rFonts w:eastAsia="ＭＳ 明朝"/>
                <w:b/>
                <w:bCs/>
                <w:color w:val="3333FF"/>
                <w:sz w:val="18"/>
                <w:szCs w:val="18"/>
                <w:lang w:eastAsia="ja-JP"/>
              </w:rPr>
              <w:t>Revised proposal 2.D per vivo’s request</w:t>
            </w:r>
            <w:r w:rsidR="002B0004">
              <w:rPr>
                <w:rFonts w:eastAsia="ＭＳ 明朝"/>
                <w:b/>
                <w:bCs/>
                <w:color w:val="3333FF"/>
                <w:sz w:val="18"/>
                <w:szCs w:val="18"/>
                <w:lang w:eastAsia="ja-JP"/>
              </w:rPr>
              <w:t>.</w:t>
            </w:r>
          </w:p>
          <w:p w14:paraId="7BA1A33E" w14:textId="77777777" w:rsidR="002B0004" w:rsidRDefault="002B0004" w:rsidP="00A600ED">
            <w:pPr>
              <w:snapToGrid w:val="0"/>
              <w:rPr>
                <w:rFonts w:eastAsia="ＭＳ 明朝"/>
                <w:b/>
                <w:bCs/>
                <w:color w:val="3333FF"/>
                <w:sz w:val="18"/>
                <w:szCs w:val="18"/>
                <w:lang w:eastAsia="ja-JP"/>
              </w:rPr>
            </w:pPr>
          </w:p>
          <w:p w14:paraId="73EC1ACD" w14:textId="64609016" w:rsidR="002B0004" w:rsidRPr="000F0D3E" w:rsidRDefault="002B0004" w:rsidP="00A600ED">
            <w:pPr>
              <w:snapToGrid w:val="0"/>
              <w:rPr>
                <w:rFonts w:eastAsia="ＭＳ 明朝"/>
                <w:b/>
                <w:bCs/>
                <w:color w:val="3333FF"/>
                <w:sz w:val="18"/>
                <w:szCs w:val="18"/>
                <w:lang w:eastAsia="ja-JP"/>
              </w:rPr>
            </w:pPr>
            <w:r w:rsidRPr="002B0004">
              <w:rPr>
                <w:rFonts w:eastAsia="ＭＳ 明朝"/>
                <w:b/>
                <w:bCs/>
                <w:color w:val="3333FF"/>
                <w:sz w:val="32"/>
                <w:szCs w:val="18"/>
                <w:lang w:eastAsia="ja-JP"/>
              </w:rPr>
              <w:t>MOVING 2.D and 2.E to EMAIL ENDORSEMENT 2 THREAD</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TCI-stateID</w:t>
            </w:r>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6D017CEF" w:rsidR="00861455" w:rsidRDefault="00861455" w:rsidP="00861455">
            <w:pPr>
              <w:pStyle w:val="af"/>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DB2D52">
              <w:rPr>
                <w:sz w:val="18"/>
                <w:szCs w:val="18"/>
              </w:rPr>
              <w:t>, Intel</w:t>
            </w:r>
          </w:p>
          <w:p w14:paraId="50808075"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C204C85" w:rsidR="00861455" w:rsidRDefault="00861455" w:rsidP="00861455">
            <w:pPr>
              <w:pStyle w:val="af"/>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r w:rsidR="0061777D">
              <w:rPr>
                <w:sz w:val="18"/>
                <w:szCs w:val="18"/>
              </w:rPr>
              <w:t>, Intel</w:t>
            </w:r>
            <w:r w:rsidR="00564CC2">
              <w:rPr>
                <w:sz w:val="18"/>
                <w:szCs w:val="18"/>
              </w:rPr>
              <w:t>, Lenovo/MotM</w:t>
            </w:r>
          </w:p>
          <w:p w14:paraId="3074ADB7"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 xml:space="preserve">We are fine with either per CC or per BWP </w:t>
            </w:r>
            <w:r>
              <w:rPr>
                <w:rFonts w:eastAsia="ＭＳ 明朝"/>
                <w:bCs/>
                <w:color w:val="000000" w:themeColor="text1"/>
                <w:sz w:val="18"/>
                <w:szCs w:val="18"/>
                <w:lang w:eastAsia="ja-JP"/>
              </w:rPr>
              <w:t>per</w:t>
            </w:r>
            <w:r>
              <w:rPr>
                <w:rFonts w:eastAsia="ＭＳ 明朝" w:hint="eastAsia"/>
                <w:bCs/>
                <w:color w:val="000000" w:themeColor="text1"/>
                <w:sz w:val="18"/>
                <w:szCs w:val="18"/>
                <w:lang w:eastAsia="ja-JP"/>
              </w:rPr>
              <w:t xml:space="preserve"> CC. </w:t>
            </w:r>
            <w:r>
              <w:rPr>
                <w:rFonts w:eastAsia="ＭＳ 明朝"/>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ＭＳ 明朝" w:hint="eastAsia"/>
                <w:bCs/>
                <w:color w:val="000000" w:themeColor="text1"/>
                <w:sz w:val="18"/>
                <w:szCs w:val="18"/>
                <w:lang w:eastAsia="ja-JP"/>
              </w:rPr>
              <w:t xml:space="preserve">For the yellow text, </w:t>
            </w:r>
            <w:r>
              <w:rPr>
                <w:rFonts w:eastAsia="ＭＳ 明朝"/>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ＭＳ 明朝"/>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ＭＳ 明朝"/>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af"/>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r>
              <w:rPr>
                <w:rFonts w:eastAsia="Malgun Gothic"/>
                <w:sz w:val="18"/>
                <w:lang w:eastAsia="zh-CN"/>
              </w:rPr>
              <w:t xml:space="preserve">[Mod: It was added to accommodate Ericsson’s concern just in case the same SCS is used across bands] </w:t>
            </w:r>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r w:rsidR="002E6A36">
              <w:rPr>
                <w:rFonts w:eastAsia="Malgun Gothic"/>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r>
              <w:rPr>
                <w:rFonts w:eastAsia="Malgun Gothic"/>
                <w:sz w:val="18"/>
                <w:lang w:eastAsia="zh-CN"/>
              </w:rPr>
              <w:t>[Mod: I agree but some companies pointed out</w:t>
            </w:r>
            <w:r w:rsidR="0004020E">
              <w:rPr>
                <w:rFonts w:eastAsia="Malgun Gothic"/>
                <w:sz w:val="18"/>
                <w:lang w:eastAsia="zh-CN"/>
              </w:rPr>
              <w:t xml:space="preserve"> </w:t>
            </w:r>
            <w:r>
              <w:rPr>
                <w:rFonts w:eastAsia="Malgun Gothic"/>
                <w:sz w:val="18"/>
                <w:lang w:eastAsia="zh-CN"/>
              </w:rPr>
              <w:t>“cell group”</w:t>
            </w:r>
            <w:r w:rsidR="0004020E">
              <w:rPr>
                <w:rFonts w:eastAsia="Malgun Gothic"/>
                <w:sz w:val="18"/>
                <w:lang w:eastAsia="zh-CN"/>
              </w:rPr>
              <w:t xml:space="preserve"> and “CC group” are of different notions and there is no entity called “CC group” in RAN1 spec</w:t>
            </w:r>
            <w:r>
              <w:rPr>
                <w:rFonts w:eastAsia="Malgun Gothic"/>
                <w:sz w:val="18"/>
                <w:lang w:eastAsia="zh-CN"/>
              </w:rPr>
              <w:t>]</w:t>
            </w:r>
          </w:p>
          <w:p w14:paraId="7FDCA507" w14:textId="7777777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4C5BE4" w:rsidRDefault="0061777D" w:rsidP="00062F42">
            <w:pPr>
              <w:snapToGrid w:val="0"/>
              <w:rPr>
                <w:rFonts w:eastAsia="Malgun Gothic"/>
                <w:bCs/>
                <w:color w:val="3333FF"/>
                <w:sz w:val="18"/>
                <w:lang w:eastAsia="zh-CN"/>
              </w:rPr>
            </w:pPr>
            <w:r w:rsidRPr="004C5BE4">
              <w:rPr>
                <w:rFonts w:eastAsia="Malgun Gothic"/>
                <w:bCs/>
                <w:color w:val="3333FF"/>
                <w:sz w:val="18"/>
                <w:lang w:eastAsia="zh-CN"/>
              </w:rPr>
              <w:t>Views updated in the table</w:t>
            </w:r>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Malgun Gothic"/>
                <w:bCs/>
                <w:color w:val="3333FF"/>
                <w:sz w:val="18"/>
                <w:lang w:eastAsia="zh-CN"/>
              </w:rPr>
            </w:pPr>
            <w:r>
              <w:rPr>
                <w:rFonts w:eastAsia="Malgun Gothic"/>
                <w:sz w:val="18"/>
                <w:lang w:eastAsia="zh-CN"/>
              </w:rPr>
              <w:t xml:space="preserve">We share the same view with Huawei to support </w:t>
            </w:r>
            <w:r w:rsidRPr="00104126">
              <w:rPr>
                <w:rFonts w:eastAsia="Malgun Gothic"/>
                <w:sz w:val="18"/>
                <w:lang w:eastAsia="zh-CN"/>
              </w:rPr>
              <w:t>additional BAT(s)</w:t>
            </w:r>
            <w:r>
              <w:rPr>
                <w:rFonts w:eastAsia="Malgun Gothic"/>
                <w:sz w:val="18"/>
                <w:lang w:eastAsia="zh-CN"/>
              </w:rPr>
              <w:t xml:space="preserve"> for </w:t>
            </w:r>
            <w:r w:rsidRPr="00104126">
              <w:rPr>
                <w:rFonts w:eastAsia="Malgun Gothic"/>
                <w:sz w:val="18"/>
                <w:lang w:eastAsia="zh-CN"/>
              </w:rPr>
              <w:t>inter-cell BM and for MPUE</w:t>
            </w:r>
            <w:r>
              <w:rPr>
                <w:rFonts w:eastAsia="Malgun Gothic"/>
                <w:sz w:val="18"/>
                <w:lang w:eastAsia="zh-CN"/>
              </w:rPr>
              <w:t>. For example, UE applies the additional BAT, when Rel-17 TCI</w:t>
            </w:r>
            <w:r w:rsidR="000800E5">
              <w:rPr>
                <w:rFonts w:eastAsia="Malgun Gothic"/>
                <w:sz w:val="18"/>
                <w:lang w:eastAsia="zh-CN"/>
              </w:rPr>
              <w:t xml:space="preserve"> is indicated which is</w:t>
            </w:r>
            <w:r>
              <w:rPr>
                <w:rFonts w:eastAsia="Malgun Gothic"/>
                <w:sz w:val="18"/>
                <w:lang w:eastAsia="zh-CN"/>
              </w:rPr>
              <w:t xml:space="preserve"> associated with a </w:t>
            </w:r>
            <w:r w:rsidRPr="00104126">
              <w:rPr>
                <w:rFonts w:eastAsia="Malgun Gothic"/>
                <w:sz w:val="18"/>
                <w:lang w:eastAsia="zh-CN"/>
              </w:rPr>
              <w:t>PCI different from the serving cell PCI</w:t>
            </w:r>
            <w:r w:rsidR="000800E5">
              <w:rPr>
                <w:rFonts w:eastAsia="Malgun Gothic"/>
                <w:sz w:val="18"/>
                <w:lang w:eastAsia="zh-CN"/>
              </w:rPr>
              <w:t>.</w:t>
            </w:r>
          </w:p>
        </w:tc>
      </w:tr>
      <w:tr w:rsidR="00564CC2" w14:paraId="4A9084FB"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72B1" w14:textId="313B3570" w:rsidR="00564CC2" w:rsidRDefault="00564CC2" w:rsidP="00062F42">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B083" w14:textId="3F4E8E99" w:rsidR="00564CC2" w:rsidRDefault="00564CC2" w:rsidP="00062F42">
            <w:pPr>
              <w:snapToGrid w:val="0"/>
              <w:rPr>
                <w:rFonts w:eastAsia="Malgun Gothic"/>
                <w:sz w:val="18"/>
                <w:lang w:eastAsia="zh-CN"/>
              </w:rPr>
            </w:pPr>
            <w:r>
              <w:rPr>
                <w:rFonts w:eastAsia="Malgun Gothic"/>
                <w:sz w:val="18"/>
                <w:lang w:eastAsia="zh-CN"/>
              </w:rPr>
              <w:t xml:space="preserve">Given all the BWPs share the same SCS, the BAT shall be the same for all the BWPs in the CC. We added our support to the table. </w:t>
            </w:r>
          </w:p>
        </w:tc>
      </w:tr>
      <w:tr w:rsidR="00EB626A" w14:paraId="451F73FA"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B311" w14:textId="7006A46F" w:rsidR="00EB626A" w:rsidRDefault="00EB626A" w:rsidP="00062F42">
            <w:pPr>
              <w:snapToGrid w:val="0"/>
              <w:rPr>
                <w:sz w:val="18"/>
                <w:szCs w:val="18"/>
                <w:lang w:eastAsia="zh-CN"/>
              </w:rPr>
            </w:pPr>
            <w:r>
              <w:rPr>
                <w:sz w:val="18"/>
                <w:szCs w:val="18"/>
                <w:lang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514A" w14:textId="460892E7" w:rsidR="00EB626A" w:rsidRDefault="00EB626A" w:rsidP="00062F42">
            <w:pPr>
              <w:snapToGrid w:val="0"/>
              <w:rPr>
                <w:rFonts w:eastAsia="Malgun Gothic"/>
                <w:sz w:val="18"/>
                <w:lang w:eastAsia="zh-CN"/>
              </w:rPr>
            </w:pPr>
            <w:r>
              <w:rPr>
                <w:rFonts w:eastAsia="Malgun Gothic"/>
                <w:sz w:val="18"/>
                <w:lang w:eastAsia="zh-CN"/>
              </w:rPr>
              <w:t>If being per BWP per CC, we prefer not have any additional rules of ‘</w:t>
            </w:r>
            <w:r w:rsidRPr="00C25691">
              <w:rPr>
                <w:sz w:val="18"/>
                <w:szCs w:val="18"/>
                <w:lang w:eastAsia="zh-CN"/>
              </w:rPr>
              <w:t xml:space="preserve">A UE may assume that BWP(s)/CC(s) configured with same SCS </w:t>
            </w:r>
            <w:r>
              <w:rPr>
                <w:sz w:val="18"/>
                <w:szCs w:val="18"/>
                <w:lang w:eastAsia="zh-CN"/>
              </w:rPr>
              <w:t>[</w:t>
            </w:r>
            <w:r w:rsidRPr="00C25691">
              <w:rPr>
                <w:sz w:val="18"/>
                <w:szCs w:val="18"/>
                <w:lang w:eastAsia="zh-CN"/>
              </w:rPr>
              <w:t>in a same list of CCs following a same TCI-stateID</w:t>
            </w:r>
            <w:r>
              <w:rPr>
                <w:sz w:val="18"/>
                <w:szCs w:val="18"/>
                <w:lang w:eastAsia="zh-CN"/>
              </w:rPr>
              <w:t>]</w:t>
            </w:r>
            <w:r w:rsidRPr="00C25691">
              <w:rPr>
                <w:sz w:val="18"/>
                <w:szCs w:val="18"/>
                <w:lang w:eastAsia="zh-CN"/>
              </w:rPr>
              <w:t xml:space="preserve"> share a same value of BAT</w:t>
            </w:r>
            <w:r>
              <w:rPr>
                <w:rFonts w:eastAsia="Malgun Gothic"/>
                <w:sz w:val="18"/>
                <w:lang w:eastAsia="zh-CN"/>
              </w:rPr>
              <w:t>’, which can be handled by gNB implementation. If not, it is a clear error case (two or more different BATs can be applied for one TCI update).</w:t>
            </w:r>
          </w:p>
        </w:tc>
      </w:tr>
      <w:tr w:rsidR="002B0004" w14:paraId="08D870C1"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89CA" w14:textId="114B5902" w:rsidR="002B0004" w:rsidRDefault="002B0004" w:rsidP="00062F42">
            <w:pPr>
              <w:snapToGrid w:val="0"/>
              <w:rPr>
                <w:sz w:val="18"/>
                <w:szCs w:val="18"/>
                <w:lang w:eastAsia="zh-CN"/>
              </w:rPr>
            </w:pPr>
            <w:r>
              <w:rPr>
                <w:sz w:val="18"/>
                <w:szCs w:val="18"/>
                <w:lang w:eastAsia="zh-CN"/>
              </w:rPr>
              <w:t>Mod V50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0917" w14:textId="5FD2501A" w:rsidR="002B0004" w:rsidRPr="002B0004" w:rsidRDefault="002B0004" w:rsidP="00062F42">
            <w:pPr>
              <w:snapToGrid w:val="0"/>
              <w:rPr>
                <w:rFonts w:eastAsia="Malgun Gothic"/>
                <w:b/>
                <w:sz w:val="18"/>
                <w:lang w:eastAsia="zh-CN"/>
              </w:rPr>
            </w:pPr>
            <w:r w:rsidRPr="002B0004">
              <w:rPr>
                <w:rFonts w:eastAsia="Malgun Gothic"/>
                <w:b/>
                <w:color w:val="3333FF"/>
                <w:sz w:val="18"/>
                <w:lang w:eastAsia="zh-CN"/>
              </w:rPr>
              <w:t>No revision</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E9FB1A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r w:rsidR="00EE7AE3">
              <w:rPr>
                <w:bCs/>
                <w:kern w:val="3"/>
                <w:sz w:val="18"/>
                <w:szCs w:val="20"/>
              </w:rPr>
              <w:t>, Lenovo/MotM</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af"/>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F0C4481"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xml:space="preserve">, </w:t>
            </w:r>
            <w:r w:rsidR="00012912">
              <w:rPr>
                <w:bCs/>
                <w:kern w:val="3"/>
                <w:sz w:val="18"/>
                <w:szCs w:val="20"/>
              </w:rPr>
              <w:t>AT&amp;T</w:t>
            </w:r>
            <w:r w:rsidR="002F0AD7">
              <w:rPr>
                <w:bCs/>
                <w:kern w:val="3"/>
                <w:sz w:val="18"/>
                <w:szCs w:val="20"/>
              </w:rPr>
              <w:t>, Ericsson, MTK</w:t>
            </w:r>
            <w:r w:rsidR="00394D3A">
              <w:rPr>
                <w:bCs/>
                <w:kern w:val="3"/>
                <w:sz w:val="18"/>
                <w:szCs w:val="20"/>
              </w:rPr>
              <w:t>, IDC</w:t>
            </w:r>
          </w:p>
          <w:p w14:paraId="50221DCF" w14:textId="7FA0C8B1" w:rsidR="00C9516D" w:rsidRDefault="00C9516D" w:rsidP="00C45DD1">
            <w:pPr>
              <w:pStyle w:val="af"/>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r w:rsidR="00EE7AE3">
              <w:rPr>
                <w:bCs/>
                <w:kern w:val="3"/>
                <w:sz w:val="18"/>
                <w:szCs w:val="20"/>
              </w:rPr>
              <w:t>, Lenovo/MotM,</w:t>
            </w:r>
          </w:p>
          <w:p w14:paraId="5558F179" w14:textId="709AC98C" w:rsidR="00E9723E" w:rsidRPr="00061BA0" w:rsidRDefault="00E9723E" w:rsidP="00C45DD1">
            <w:pPr>
              <w:pStyle w:val="af"/>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c"/>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ac"/>
                <w:rFonts w:cs="Times"/>
                <w:b w:val="0"/>
                <w:sz w:val="18"/>
                <w:szCs w:val="16"/>
                <w:lang w:eastAsia="zh-CN"/>
              </w:rPr>
              <w:t>or 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ac"/>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ac"/>
                <w:rFonts w:cs="Times"/>
                <w:b w:val="0"/>
                <w:sz w:val="18"/>
                <w:szCs w:val="16"/>
                <w:lang w:eastAsia="zh-CN"/>
              </w:rPr>
              <w:t xml:space="preserve">or </w:t>
            </w:r>
            <w:r w:rsidRPr="00062F42">
              <w:rPr>
                <w:rStyle w:val="ac"/>
                <w:rFonts w:cs="Times"/>
                <w:b w:val="0"/>
                <w:sz w:val="18"/>
                <w:szCs w:val="16"/>
                <w:highlight w:val="yellow"/>
                <w:lang w:eastAsia="zh-CN"/>
              </w:rPr>
              <w:t>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EE7AE3" w14:paraId="0392084A"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8F0C" w14:textId="0D904A15" w:rsidR="00EE7AE3" w:rsidRDefault="00EE7AE3"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002" w14:textId="723FEB53" w:rsidR="00EE7AE3" w:rsidRPr="000800E5" w:rsidRDefault="00EE7AE3" w:rsidP="00EE7AE3">
            <w:pPr>
              <w:snapToGrid w:val="0"/>
              <w:rPr>
                <w:bCs/>
                <w:color w:val="000000" w:themeColor="text1"/>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2B0004" w14:paraId="1E13420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C4CA" w14:textId="61DF3557" w:rsidR="002B0004" w:rsidRDefault="002B0004"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4176" w14:textId="08F06CD9" w:rsidR="002B0004" w:rsidRPr="002B0004" w:rsidRDefault="002B0004" w:rsidP="00EE7AE3">
            <w:pPr>
              <w:snapToGrid w:val="0"/>
              <w:rPr>
                <w:b/>
                <w:bCs/>
                <w:color w:val="000000" w:themeColor="text1"/>
                <w:sz w:val="18"/>
                <w:szCs w:val="18"/>
                <w:lang w:eastAsia="zh-CN"/>
              </w:rPr>
            </w:pPr>
            <w:r w:rsidRPr="002B0004">
              <w:rPr>
                <w:b/>
                <w:bCs/>
                <w:color w:val="3333FF"/>
                <w:sz w:val="32"/>
                <w:szCs w:val="18"/>
                <w:lang w:eastAsia="zh-CN"/>
              </w:rPr>
              <w:t>Moving this discussion to email reflector</w:t>
            </w:r>
          </w:p>
        </w:tc>
      </w:tr>
    </w:tbl>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699F" w14:textId="77777777" w:rsidR="00977E09" w:rsidRDefault="00977E09" w:rsidP="007458B4">
      <w:r>
        <w:separator/>
      </w:r>
    </w:p>
  </w:endnote>
  <w:endnote w:type="continuationSeparator" w:id="0">
    <w:p w14:paraId="70142B4E" w14:textId="77777777" w:rsidR="00977E09" w:rsidRDefault="00977E0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3B5F" w14:textId="77777777" w:rsidR="00977E09" w:rsidRDefault="00977E09" w:rsidP="007458B4">
      <w:r>
        <w:separator/>
      </w:r>
    </w:p>
  </w:footnote>
  <w:footnote w:type="continuationSeparator" w:id="0">
    <w:p w14:paraId="6F8B6689" w14:textId="77777777" w:rsidR="00977E09" w:rsidRDefault="00977E0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3BB"/>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A5ADA"/>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15294</Words>
  <Characters>87180</Characters>
  <Application>Microsoft Office Word</Application>
  <DocSecurity>0</DocSecurity>
  <Lines>726</Lines>
  <Paragraphs>204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2021-11-16T08:57:00Z</dcterms:created>
  <dcterms:modified xsi:type="dcterms:W3CDTF">2021-11-16T08:57:00Z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