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맑은 고딕"/>
                <w:sz w:val="18"/>
                <w:szCs w:val="18"/>
                <w:lang w:val="en-GB"/>
              </w:rPr>
            </w:pPr>
            <w:r w:rsidRPr="00227CD5">
              <w:rPr>
                <w:rFonts w:eastAsia="맑은 고딕"/>
                <w:b/>
                <w:sz w:val="18"/>
                <w:szCs w:val="18"/>
                <w:u w:val="single"/>
              </w:rPr>
              <w:t>P</w:t>
            </w:r>
            <w:r w:rsidRPr="00344ADC">
              <w:rPr>
                <w:rFonts w:eastAsia="맑은 고딕"/>
                <w:b/>
                <w:sz w:val="18"/>
                <w:szCs w:val="18"/>
                <w:u w:val="single"/>
                <w:lang w:val="en-GB"/>
              </w:rPr>
              <w:t>roposal 1.A.1</w:t>
            </w:r>
            <w:r w:rsidRPr="00344ADC">
              <w:rPr>
                <w:rFonts w:eastAsia="맑은 고딕"/>
                <w:sz w:val="18"/>
                <w:szCs w:val="18"/>
                <w:lang w:val="en-GB"/>
              </w:rPr>
              <w:t xml:space="preserve">: </w:t>
            </w:r>
            <w:r w:rsidRPr="00344ADC">
              <w:rPr>
                <w:rFonts w:eastAsia="바탕"/>
                <w:sz w:val="18"/>
                <w:szCs w:val="18"/>
                <w:lang w:val="en-GB" w:eastAsia="en-US"/>
              </w:rPr>
              <w:t>On Rel-17 unified TCI framework,</w:t>
            </w:r>
            <w:r w:rsidRPr="00344ADC">
              <w:rPr>
                <w:rFonts w:eastAsia="바탕"/>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맑은 고딕"/>
                <w:sz w:val="18"/>
                <w:szCs w:val="18"/>
                <w:lang w:val="en-GB"/>
              </w:rPr>
            </w:pPr>
            <w:r w:rsidRPr="00344ADC">
              <w:rPr>
                <w:rFonts w:eastAsia="맑은 고딕"/>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맑은 고딕"/>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6C384886" w:rsidR="009431AD" w:rsidRDefault="00344ADC" w:rsidP="009431AD">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맑은 고딕"/>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sidR="009431AD">
              <w:rPr>
                <w:rFonts w:eastAsia="맑은 고딕"/>
                <w:sz w:val="18"/>
                <w:szCs w:val="18"/>
                <w:lang w:eastAsia="zh-TW"/>
              </w:rPr>
              <w:t xml:space="preserve"> </w:t>
            </w:r>
            <w:r w:rsidRPr="00227CD5">
              <w:rPr>
                <w:rFonts w:eastAsia="맑은 고딕"/>
                <w:sz w:val="18"/>
                <w:szCs w:val="18"/>
                <w:lang w:eastAsia="zh-TW"/>
              </w:rPr>
              <w:t>used to update/configure such SRS(s) with Rel-17 UL or, if applicable, joint TCI state(s).</w:t>
            </w:r>
          </w:p>
          <w:p w14:paraId="6827514E" w14:textId="77777777" w:rsidR="009431AD" w:rsidRPr="009431AD" w:rsidRDefault="00344ADC" w:rsidP="00C45DD1">
            <w:pPr>
              <w:pStyle w:val="af0"/>
              <w:numPr>
                <w:ilvl w:val="0"/>
                <w:numId w:val="16"/>
              </w:numPr>
              <w:snapToGrid w:val="0"/>
              <w:spacing w:after="0" w:line="240" w:lineRule="auto"/>
              <w:jc w:val="both"/>
              <w:rPr>
                <w:rFonts w:eastAsia="맑은 고딕"/>
                <w:sz w:val="18"/>
                <w:szCs w:val="18"/>
                <w:lang w:eastAsia="zh-TW"/>
              </w:rPr>
            </w:pPr>
            <w:r w:rsidRPr="009431AD">
              <w:rPr>
                <w:rFonts w:eastAsia="Times New Roman"/>
                <w:sz w:val="18"/>
                <w:szCs w:val="18"/>
                <w:lang w:eastAsia="zh-TW"/>
              </w:rPr>
              <w:t>Applies for both intra-cell and inter-cell beam indication</w:t>
            </w:r>
          </w:p>
          <w:p w14:paraId="33CEEBC2" w14:textId="3B7430D1" w:rsidR="009431AD" w:rsidRPr="009431AD" w:rsidRDefault="009431AD" w:rsidP="00C45DD1">
            <w:pPr>
              <w:pStyle w:val="af0"/>
              <w:numPr>
                <w:ilvl w:val="0"/>
                <w:numId w:val="16"/>
              </w:numPr>
              <w:snapToGrid w:val="0"/>
              <w:spacing w:after="0" w:line="240" w:lineRule="auto"/>
              <w:jc w:val="both"/>
              <w:rPr>
                <w:rFonts w:eastAsia="맑은 고딕"/>
                <w:sz w:val="18"/>
                <w:szCs w:val="18"/>
                <w:lang w:eastAsia="zh-TW"/>
              </w:rPr>
            </w:pPr>
            <w:r>
              <w:rPr>
                <w:rFonts w:eastAsia="맑은 고딕"/>
                <w:sz w:val="18"/>
                <w:szCs w:val="18"/>
                <w:lang w:eastAsia="zh-TW"/>
              </w:rPr>
              <w:t xml:space="preserve">Note: The Rel-17 mechanism(s) which reuse the Rel-15/16 spatial relation info update signaling/configuration design(s) </w:t>
            </w:r>
            <w:r w:rsidR="001A6D1C">
              <w:rPr>
                <w:rFonts w:eastAsia="맑은 고딕"/>
                <w:sz w:val="18"/>
                <w:szCs w:val="18"/>
                <w:lang w:eastAsia="zh-TW"/>
              </w:rPr>
              <w:t xml:space="preserve">can </w:t>
            </w:r>
            <w:r>
              <w:rPr>
                <w:rFonts w:eastAsia="맑은 고딕"/>
                <w:sz w:val="18"/>
                <w:szCs w:val="18"/>
                <w:lang w:eastAsia="zh-TW"/>
              </w:rPr>
              <w:t xml:space="preserve">include </w:t>
            </w:r>
            <w:r w:rsidRPr="007A0D6A">
              <w:rPr>
                <w:rFonts w:eastAsia="맑은 고딕"/>
                <w:sz w:val="18"/>
                <w:szCs w:val="18"/>
                <w:lang w:eastAsia="zh-TW"/>
              </w:rPr>
              <w:t>the MAC CE defined in section 6.1.3.26 in 38.321</w:t>
            </w:r>
          </w:p>
          <w:p w14:paraId="7CBCF435" w14:textId="36F36DFA" w:rsidR="00344ADC" w:rsidRPr="009431AD" w:rsidRDefault="009A2FAF" w:rsidP="00C45DD1">
            <w:pPr>
              <w:pStyle w:val="af0"/>
              <w:numPr>
                <w:ilvl w:val="0"/>
                <w:numId w:val="16"/>
              </w:numPr>
              <w:snapToGrid w:val="0"/>
              <w:spacing w:after="0" w:line="240" w:lineRule="auto"/>
              <w:jc w:val="both"/>
              <w:rPr>
                <w:rFonts w:eastAsia="맑은 고딕"/>
                <w:sz w:val="18"/>
                <w:szCs w:val="18"/>
                <w:lang w:eastAsia="zh-TW"/>
              </w:rPr>
            </w:pPr>
            <w:r w:rsidRPr="009431AD">
              <w:rPr>
                <w:rFonts w:eastAsia="맑은 고딕"/>
                <w:sz w:val="18"/>
                <w:szCs w:val="18"/>
                <w:lang w:eastAsia="zh-TW"/>
              </w:rPr>
              <w:t xml:space="preserve">Note: </w:t>
            </w:r>
            <w:r w:rsidR="00344ADC" w:rsidRPr="009431AD">
              <w:rPr>
                <w:rFonts w:eastAsia="맑은 고딕"/>
                <w:sz w:val="18"/>
                <w:szCs w:val="18"/>
                <w:lang w:eastAsia="zh-TW"/>
              </w:rPr>
              <w:t>All the Rel-17 UL or, if applicable, joint TCI states configured</w:t>
            </w:r>
            <w:r w:rsidR="007B05BD" w:rsidRPr="009431AD">
              <w:rPr>
                <w:rFonts w:eastAsia="맑은 고딕"/>
                <w:sz w:val="18"/>
                <w:szCs w:val="18"/>
                <w:lang w:eastAsia="zh-TW"/>
              </w:rPr>
              <w:t>/activated</w:t>
            </w:r>
            <w:r w:rsidR="00344ADC" w:rsidRPr="009431AD">
              <w:rPr>
                <w:rFonts w:eastAsia="맑은 고딕"/>
                <w:sz w:val="18"/>
                <w:szCs w:val="18"/>
                <w:lang w:eastAsia="zh-TW"/>
              </w:rPr>
              <w:t xml:space="preserve"> to SRS resources in the same set </w:t>
            </w:r>
            <w:r w:rsidRPr="009431AD">
              <w:rPr>
                <w:rFonts w:eastAsia="맑은 고딕"/>
                <w:sz w:val="18"/>
                <w:szCs w:val="18"/>
                <w:lang w:eastAsia="zh-TW"/>
              </w:rPr>
              <w:t xml:space="preserve">can, by NW configuration, </w:t>
            </w:r>
            <w:r w:rsidR="00344ADC" w:rsidRPr="009431AD">
              <w:rPr>
                <w:rFonts w:eastAsia="맑은 고딕"/>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471EAD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578256D2" w14:textId="77777777" w:rsidR="00344ADC" w:rsidRPr="00227CD5" w:rsidRDefault="00344ADC" w:rsidP="00227CD5">
            <w:pPr>
              <w:tabs>
                <w:tab w:val="left" w:pos="2715"/>
              </w:tabs>
              <w:snapToGrid w:val="0"/>
              <w:rPr>
                <w:i/>
                <w:sz w:val="18"/>
                <w:szCs w:val="18"/>
                <w:lang w:val="en-GB"/>
              </w:rPr>
            </w:pPr>
          </w:p>
          <w:p w14:paraId="051BCC39" w14:textId="5AC7825C"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[NTT Docomo] </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7080BD24"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p>
          <w:p w14:paraId="15E50AB0" w14:textId="1AA4B919"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77777777"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p>
          <w:p w14:paraId="04013FB0" w14:textId="77777777"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0"/>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0"/>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0"/>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0"/>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77777777"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p>
          <w:p w14:paraId="713EBB03" w14:textId="77777777"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497BBC2F" w14:textId="77777777"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p>
          <w:p w14:paraId="2AEF35DC" w14:textId="77777777"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77777777" w:rsidR="006955DA" w:rsidRDefault="006955DA" w:rsidP="00C45DD1">
            <w:pPr>
              <w:pStyle w:val="af0"/>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p>
          <w:p w14:paraId="0BF100AF" w14:textId="77777777" w:rsidR="006955DA" w:rsidRDefault="006955DA" w:rsidP="00C45DD1">
            <w:pPr>
              <w:pStyle w:val="af0"/>
              <w:numPr>
                <w:ilvl w:val="0"/>
                <w:numId w:val="24"/>
              </w:numPr>
              <w:tabs>
                <w:tab w:val="left" w:pos="2715"/>
              </w:tabs>
              <w:snapToGrid w:val="0"/>
              <w:spacing w:after="0" w:line="240" w:lineRule="auto"/>
              <w:rPr>
                <w:b/>
                <w:sz w:val="18"/>
                <w:szCs w:val="18"/>
                <w:lang w:eastAsia="zh-CN"/>
              </w:rPr>
            </w:pPr>
            <w:r>
              <w:rPr>
                <w:b/>
                <w:sz w:val="18"/>
                <w:szCs w:val="18"/>
                <w:lang w:eastAsia="zh-CN"/>
              </w:rPr>
              <w:t>Joint and separate DL/UL TCI:</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7777777" w:rsidR="00C80495"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p>
          <w:p w14:paraId="7C25EFBE" w14:textId="77777777" w:rsidR="00C80495" w:rsidRPr="00F438F4"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맑은 고딕"/>
                <w:sz w:val="18"/>
                <w:szCs w:val="18"/>
                <w:lang w:eastAsia="zh-TW"/>
              </w:rPr>
              <w:t xml:space="preserve">Rel-17 TCI state as UE-dedicated </w:t>
            </w:r>
            <w:r w:rsidR="00E6644C" w:rsidRPr="00227CD5">
              <w:rPr>
                <w:rFonts w:eastAsia="맑은 고딕"/>
                <w:sz w:val="18"/>
                <w:szCs w:val="18"/>
                <w:lang w:eastAsia="zh-TW"/>
              </w:rPr>
              <w:lastRenderedPageBreak/>
              <w:t>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0"/>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맑은 고딕"/>
                <w:sz w:val="18"/>
                <w:szCs w:val="18"/>
              </w:rPr>
            </w:pPr>
          </w:p>
          <w:p w14:paraId="7557B3B1" w14:textId="77777777" w:rsidR="00E6644C" w:rsidRPr="00227CD5" w:rsidRDefault="00E6644C" w:rsidP="00227CD5">
            <w:pPr>
              <w:snapToGrid w:val="0"/>
              <w:jc w:val="both"/>
              <w:rPr>
                <w:rFonts w:eastAsia="맑은 고딕"/>
                <w:color w:val="3333FF"/>
                <w:sz w:val="18"/>
                <w:szCs w:val="18"/>
              </w:rPr>
            </w:pPr>
            <w:r w:rsidRPr="00227CD5">
              <w:rPr>
                <w:rFonts w:eastAsia="맑은 고딕"/>
                <w:b/>
                <w:color w:val="3333FF"/>
                <w:sz w:val="18"/>
                <w:szCs w:val="18"/>
                <w:u w:val="single"/>
              </w:rPr>
              <w:t>FL Note</w:t>
            </w:r>
            <w:r w:rsidRPr="00227CD5">
              <w:rPr>
                <w:rFonts w:eastAsia="맑은 고딕"/>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맑은 고딕"/>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lastRenderedPageBreak/>
              <w:t>Support/fine (23)</w:t>
            </w:r>
            <w:r w:rsidRPr="00227CD5">
              <w:rPr>
                <w:rFonts w:eastAsia="Times New Roman"/>
                <w:sz w:val="18"/>
                <w:szCs w:val="18"/>
              </w:rPr>
              <w:t xml:space="preserve">: Huawei/HiSi, Ericsson, ZTE, CMCC, Samsung, Sony, </w:t>
            </w:r>
            <w:r w:rsidRPr="00227CD5">
              <w:rPr>
                <w:rFonts w:eastAsia="Times New Roman"/>
                <w:sz w:val="18"/>
                <w:szCs w:val="18"/>
              </w:rPr>
              <w:lastRenderedPageBreak/>
              <w:t xml:space="preserve">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0"/>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0"/>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0"/>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0"/>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0"/>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0"/>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lastRenderedPageBreak/>
              <w:t>The concerns on 1.A.1/2/3 should have been resolved with the added note in 1.A.2 (</w:t>
            </w:r>
            <w:r w:rsidRPr="00B34944">
              <w:rPr>
                <w:rFonts w:eastAsia="맑은 고딕"/>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0"/>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맑은 고딕"/>
                <w:sz w:val="18"/>
                <w:szCs w:val="18"/>
                <w:lang w:eastAsia="zh-TW"/>
              </w:rPr>
              <w:t>, but can be configured as a target signal of a Rel-17 UL or, if applicable, joint TCI (hence the Rel-17 UL or, if applicable, joint TCI state pool), Rel-17 mechanism(s) which reuse</w:t>
            </w:r>
            <w:r w:rsidRPr="003D05D2">
              <w:rPr>
                <w:rFonts w:eastAsia="맑은 고딕"/>
                <w:color w:val="FF0000"/>
                <w:sz w:val="18"/>
                <w:szCs w:val="18"/>
                <w:lang w:eastAsia="zh-TW"/>
              </w:rPr>
              <w:t xml:space="preserve"> mechanisms similar to</w:t>
            </w:r>
            <w:r w:rsidRPr="00227CD5">
              <w:rPr>
                <w:rFonts w:eastAsia="맑은 고딕"/>
                <w:sz w:val="18"/>
                <w:szCs w:val="18"/>
                <w:lang w:eastAsia="zh-TW"/>
              </w:rPr>
              <w:t xml:space="preserve"> the Rel-15/16 spatial relation info update signaling/configuration design(s) are</w:t>
            </w:r>
            <w:r>
              <w:rPr>
                <w:rFonts w:eastAsia="맑은 고딕"/>
                <w:sz w:val="18"/>
                <w:szCs w:val="18"/>
                <w:lang w:eastAsia="zh-TW"/>
              </w:rPr>
              <w:t xml:space="preserve"> </w:t>
            </w:r>
            <w:r w:rsidRPr="00227CD5">
              <w:rPr>
                <w:rFonts w:eastAsia="맑은 고딕"/>
                <w:sz w:val="18"/>
                <w:szCs w:val="18"/>
                <w:lang w:eastAsia="zh-TW"/>
              </w:rPr>
              <w:t>used to update/configure such SRS(s) with Rel-17 UL or, if applicable, joint TCI state(s).</w:t>
            </w:r>
          </w:p>
          <w:p w14:paraId="761DEFFA" w14:textId="77777777" w:rsidR="00880570" w:rsidRPr="009431AD" w:rsidRDefault="00880570" w:rsidP="00880570">
            <w:pPr>
              <w:pStyle w:val="af0"/>
              <w:numPr>
                <w:ilvl w:val="0"/>
                <w:numId w:val="16"/>
              </w:numPr>
              <w:snapToGrid w:val="0"/>
              <w:spacing w:after="0" w:line="240" w:lineRule="auto"/>
              <w:jc w:val="both"/>
              <w:rPr>
                <w:rFonts w:eastAsia="맑은 고딕"/>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0"/>
              <w:numPr>
                <w:ilvl w:val="0"/>
                <w:numId w:val="16"/>
              </w:numPr>
              <w:snapToGrid w:val="0"/>
              <w:spacing w:after="0" w:line="240" w:lineRule="auto"/>
              <w:jc w:val="both"/>
              <w:rPr>
                <w:rFonts w:eastAsia="맑은 고딕"/>
                <w:sz w:val="18"/>
                <w:szCs w:val="18"/>
                <w:lang w:eastAsia="zh-TW"/>
              </w:rPr>
            </w:pPr>
            <w:r>
              <w:rPr>
                <w:rFonts w:eastAsia="맑은 고딕"/>
                <w:sz w:val="18"/>
                <w:szCs w:val="18"/>
                <w:lang w:eastAsia="zh-TW"/>
              </w:rPr>
              <w:t xml:space="preserve">Note: </w:t>
            </w:r>
            <w:r w:rsidR="003D05D2" w:rsidRPr="003D05D2">
              <w:rPr>
                <w:rFonts w:eastAsia="맑은 고딕"/>
                <w:color w:val="FF0000"/>
                <w:sz w:val="18"/>
                <w:szCs w:val="18"/>
                <w:lang w:eastAsia="zh-TW"/>
              </w:rPr>
              <w:t>It is up to RAN2 to design</w:t>
            </w:r>
            <w:r w:rsidR="003D05D2">
              <w:rPr>
                <w:rFonts w:eastAsia="맑은 고딕"/>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맑은 고딕"/>
                <w:color w:val="FF0000"/>
                <w:sz w:val="18"/>
                <w:szCs w:val="18"/>
                <w:lang w:eastAsia="zh-TW"/>
              </w:rPr>
              <w:t xml:space="preserve"> signaling f</w:t>
            </w:r>
            <w:r w:rsidR="003D05D2">
              <w:rPr>
                <w:rFonts w:eastAsia="맑은 고딕"/>
                <w:sz w:val="18"/>
                <w:szCs w:val="18"/>
                <w:lang w:eastAsia="zh-TW"/>
              </w:rPr>
              <w:t>or t</w:t>
            </w:r>
            <w:r>
              <w:rPr>
                <w:rFonts w:eastAsia="맑은 고딕"/>
                <w:sz w:val="18"/>
                <w:szCs w:val="18"/>
                <w:lang w:eastAsia="zh-TW"/>
              </w:rPr>
              <w:t xml:space="preserve">he Rel-17 mechanism(s) which reuse </w:t>
            </w:r>
            <w:r w:rsidR="003D05D2" w:rsidRPr="003D05D2">
              <w:rPr>
                <w:rFonts w:eastAsia="맑은 고딕"/>
                <w:color w:val="FF0000"/>
                <w:sz w:val="18"/>
                <w:szCs w:val="18"/>
                <w:lang w:eastAsia="zh-TW"/>
              </w:rPr>
              <w:t>mechanisms similar to</w:t>
            </w:r>
            <w:r w:rsidR="003D05D2">
              <w:rPr>
                <w:rFonts w:eastAsia="맑은 고딕"/>
                <w:sz w:val="18"/>
                <w:szCs w:val="18"/>
                <w:lang w:eastAsia="zh-TW"/>
              </w:rPr>
              <w:t xml:space="preserve"> </w:t>
            </w:r>
            <w:r>
              <w:rPr>
                <w:rFonts w:eastAsia="맑은 고딕"/>
                <w:sz w:val="18"/>
                <w:szCs w:val="18"/>
                <w:lang w:eastAsia="zh-TW"/>
              </w:rPr>
              <w:t>the Rel-15/16 spatial relation info update signaling/configuration design(s)</w:t>
            </w:r>
            <w:r w:rsidRPr="003D05D2">
              <w:rPr>
                <w:rFonts w:eastAsia="맑은 고딕"/>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맑은 고딕"/>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1CB60C2"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6EC509CC"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424BBE01" w:rsidR="00AC2CE2" w:rsidRPr="00AE13B9" w:rsidRDefault="00AC2CE2" w:rsidP="006C117E">
            <w:pPr>
              <w:snapToGrid w:val="0"/>
              <w:rPr>
                <w:rFonts w:eastAsia="SimSun"/>
                <w:sz w:val="18"/>
                <w:szCs w:val="18"/>
                <w:lang w:eastAsia="zh-CN"/>
              </w:rPr>
            </w:pPr>
          </w:p>
        </w:tc>
      </w:tr>
      <w:tr w:rsidR="00437EF5"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161AAA9B" w:rsidR="00437EF5" w:rsidRDefault="00437EF5" w:rsidP="00437EF5">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1815C45C" w:rsidR="00437EF5" w:rsidRPr="00914A9B" w:rsidRDefault="00437EF5" w:rsidP="00437EF5">
            <w:pPr>
              <w:snapToGrid w:val="0"/>
              <w:rPr>
                <w:rFonts w:eastAsia="SimSun"/>
                <w:sz w:val="18"/>
                <w:szCs w:val="18"/>
                <w:lang w:eastAsia="zh-CN"/>
              </w:rPr>
            </w:pPr>
          </w:p>
        </w:tc>
      </w:tr>
      <w:tr w:rsidR="00966B34"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2FE280A5" w:rsidR="00966B34" w:rsidRDefault="00966B34" w:rsidP="00966B34">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180FC418" w:rsidR="00966B34" w:rsidRDefault="00966B34" w:rsidP="00966B34">
            <w:pPr>
              <w:snapToGrid w:val="0"/>
              <w:rPr>
                <w:rFonts w:eastAsia="SimSun"/>
                <w:sz w:val="18"/>
                <w:szCs w:val="18"/>
                <w:lang w:eastAsia="zh-CN"/>
              </w:rPr>
            </w:pPr>
          </w:p>
        </w:tc>
      </w:tr>
      <w:tr w:rsidR="00966B34"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449979" w:rsidR="00966B34" w:rsidRDefault="00966B34" w:rsidP="00966B34">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1F6E0F10" w:rsidR="00966B34" w:rsidRDefault="00966B34" w:rsidP="003644AA">
            <w:pPr>
              <w:snapToGrid w:val="0"/>
              <w:rPr>
                <w:rFonts w:eastAsia="SimSun"/>
                <w:sz w:val="18"/>
                <w:szCs w:val="18"/>
                <w:lang w:eastAsia="zh-CN"/>
              </w:rPr>
            </w:pPr>
          </w:p>
        </w:tc>
      </w:tr>
      <w:tr w:rsidR="00F55663"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50D821BB" w:rsidR="00F55663" w:rsidRDefault="00F55663" w:rsidP="00966B34">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4EC0ADCB" w:rsidR="00F55663" w:rsidRPr="00450D5C" w:rsidRDefault="00F55663" w:rsidP="00F55663">
            <w:pPr>
              <w:snapToGrid w:val="0"/>
              <w:rPr>
                <w:rFonts w:eastAsia="SimSun"/>
                <w:b/>
                <w:sz w:val="18"/>
                <w:szCs w:val="18"/>
                <w:lang w:eastAsia="zh-CN"/>
              </w:rPr>
            </w:pPr>
          </w:p>
        </w:tc>
      </w:tr>
      <w:tr w:rsidR="001F574A"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3590AE0E" w:rsidR="001F574A" w:rsidRDefault="001F574A" w:rsidP="001F574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E92ECBC" w:rsidR="001F574A" w:rsidRDefault="001F574A" w:rsidP="001F574A">
            <w:pPr>
              <w:snapToGrid w:val="0"/>
              <w:rPr>
                <w:rFonts w:eastAsia="SimSun"/>
                <w:sz w:val="18"/>
                <w:szCs w:val="18"/>
                <w:lang w:eastAsia="zh-CN"/>
              </w:rPr>
            </w:pPr>
          </w:p>
        </w:tc>
      </w:tr>
      <w:tr w:rsidR="00BF035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BF0357" w:rsidRDefault="00BF0357" w:rsidP="001F574A">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BF0357" w:rsidRDefault="00BF0357" w:rsidP="00BF0357">
            <w:pPr>
              <w:snapToGrid w:val="0"/>
              <w:rPr>
                <w:sz w:val="18"/>
                <w:szCs w:val="18"/>
                <w:lang w:eastAsia="zh-CN"/>
              </w:rPr>
            </w:pPr>
          </w:p>
        </w:tc>
      </w:tr>
      <w:tr w:rsidR="00297886"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297886" w:rsidRDefault="00297886" w:rsidP="001F574A">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297886" w:rsidRPr="00297886" w:rsidRDefault="00297886" w:rsidP="001F574A">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맑은 고딕"/>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맑은 고딕"/>
                <w:sz w:val="18"/>
                <w:szCs w:val="20"/>
                <w:lang w:eastAsia="en-US"/>
              </w:rPr>
            </w:pPr>
            <w:r w:rsidRPr="00D147DD">
              <w:rPr>
                <w:rFonts w:eastAsia="맑은 고딕"/>
                <w:b/>
                <w:sz w:val="18"/>
                <w:szCs w:val="20"/>
                <w:u w:val="single"/>
                <w:lang w:eastAsia="en-US"/>
              </w:rPr>
              <w:t>Proposal 2.C.2</w:t>
            </w:r>
            <w:r>
              <w:rPr>
                <w:rFonts w:eastAsia="맑은 고딕"/>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맑은 고딕"/>
                <w:sz w:val="18"/>
                <w:szCs w:val="20"/>
                <w:lang w:eastAsia="en-US"/>
              </w:rPr>
              <w:t xml:space="preserve">support to configure </w:t>
            </w:r>
            <w:r w:rsidR="00CD7B19" w:rsidRPr="0053127A">
              <w:rPr>
                <w:rFonts w:eastAsia="맑은 고딕"/>
                <w:sz w:val="18"/>
                <w:szCs w:val="20"/>
                <w:lang w:eastAsia="en-US"/>
              </w:rPr>
              <w:t>an</w:t>
            </w:r>
            <w:r w:rsidRPr="0053127A">
              <w:rPr>
                <w:rFonts w:eastAsia="맑은 고딕"/>
                <w:sz w:val="18"/>
                <w:szCs w:val="20"/>
                <w:lang w:eastAsia="en-US"/>
              </w:rPr>
              <w:t xml:space="preserve"> SSB </w:t>
            </w:r>
            <w:r w:rsidR="00CD7B19" w:rsidRPr="0053127A">
              <w:rPr>
                <w:rFonts w:eastAsia="맑은 고딕"/>
                <w:sz w:val="18"/>
                <w:szCs w:val="20"/>
                <w:lang w:eastAsia="en-US"/>
              </w:rPr>
              <w:t xml:space="preserve">associated with a PCI different from the PCI of the serving cell </w:t>
            </w:r>
            <w:r w:rsidRPr="0053127A">
              <w:rPr>
                <w:rFonts w:eastAsia="맑은 고딕"/>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4543B76" w:rsidR="00D147DD" w:rsidRDefault="00D147DD" w:rsidP="00C45DD1">
            <w:pPr>
              <w:pStyle w:val="af0"/>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p>
          <w:p w14:paraId="364928C8" w14:textId="3DBE8F18" w:rsidR="00D147DD" w:rsidRPr="00D147DD" w:rsidRDefault="00D147DD" w:rsidP="00C45DD1">
            <w:pPr>
              <w:pStyle w:val="af0"/>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바탕" w:hAnsi="Times"/>
                <w:sz w:val="18"/>
                <w:szCs w:val="18"/>
                <w:highlight w:val="green"/>
                <w:lang w:val="en-GB" w:eastAsia="en-US"/>
              </w:rPr>
            </w:pPr>
            <w:r w:rsidRPr="00F03572">
              <w:rPr>
                <w:rFonts w:ascii="Times" w:eastAsia="바탕"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바탕" w:hAnsi="Times"/>
                <w:sz w:val="18"/>
                <w:szCs w:val="18"/>
                <w:lang w:val="en-GB" w:eastAsia="en-US"/>
              </w:rPr>
              <w:lastRenderedPageBreak/>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바탕"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바탕"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바탕"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바탕"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맑은 고딕"/>
                <w:b/>
                <w:sz w:val="18"/>
                <w:szCs w:val="20"/>
                <w:u w:val="single"/>
                <w:lang w:val="en-GB" w:eastAsia="en-US"/>
              </w:rPr>
            </w:pPr>
          </w:p>
          <w:p w14:paraId="71376206" w14:textId="77777777" w:rsidR="00F03572" w:rsidRPr="00F03572" w:rsidRDefault="00F03572" w:rsidP="00F03572">
            <w:pPr>
              <w:snapToGrid w:val="0"/>
              <w:jc w:val="both"/>
              <w:rPr>
                <w:rFonts w:eastAsia="맑은 고딕"/>
                <w:b/>
                <w:color w:val="3333FF"/>
                <w:sz w:val="18"/>
                <w:szCs w:val="20"/>
                <w:u w:val="single"/>
                <w:lang w:val="en-GB" w:eastAsia="en-US"/>
              </w:rPr>
            </w:pPr>
            <w:r w:rsidRPr="00F03572">
              <w:rPr>
                <w:rFonts w:eastAsia="맑은 고딕"/>
                <w:b/>
                <w:color w:val="3333FF"/>
                <w:sz w:val="18"/>
                <w:szCs w:val="20"/>
                <w:u w:val="single"/>
                <w:lang w:val="en-GB" w:eastAsia="en-US"/>
              </w:rPr>
              <w:t xml:space="preserve">FL Note: </w:t>
            </w:r>
            <w:r w:rsidRPr="00F03572">
              <w:rPr>
                <w:rFonts w:eastAsia="맑은 고딕"/>
                <w:color w:val="3333FF"/>
                <w:sz w:val="18"/>
                <w:szCs w:val="20"/>
                <w:lang w:val="en-GB" w:eastAsia="en-US"/>
              </w:rPr>
              <w:t>On the red FFS text</w:t>
            </w:r>
          </w:p>
          <w:p w14:paraId="3C5BA54E" w14:textId="77777777" w:rsidR="00F03572" w:rsidRPr="00F03572" w:rsidRDefault="00F03572" w:rsidP="00C45DD1">
            <w:pPr>
              <w:pStyle w:val="af0"/>
              <w:numPr>
                <w:ilvl w:val="0"/>
                <w:numId w:val="21"/>
              </w:numPr>
              <w:snapToGrid w:val="0"/>
              <w:spacing w:after="0" w:line="240" w:lineRule="auto"/>
              <w:jc w:val="both"/>
              <w:rPr>
                <w:rFonts w:eastAsia="맑은 고딕"/>
                <w:b/>
                <w:color w:val="3333FF"/>
                <w:sz w:val="18"/>
                <w:szCs w:val="20"/>
                <w:u w:val="single"/>
                <w:lang w:val="en-GB"/>
              </w:rPr>
            </w:pPr>
            <w:r w:rsidRPr="00F03572">
              <w:rPr>
                <w:rFonts w:eastAsia="맑은 고딕"/>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af0"/>
              <w:numPr>
                <w:ilvl w:val="0"/>
                <w:numId w:val="21"/>
              </w:numPr>
              <w:snapToGrid w:val="0"/>
              <w:spacing w:after="0" w:line="240" w:lineRule="auto"/>
              <w:jc w:val="both"/>
              <w:rPr>
                <w:rFonts w:eastAsia="맑은 고딕"/>
                <w:b/>
                <w:sz w:val="18"/>
                <w:szCs w:val="20"/>
                <w:u w:val="single"/>
                <w:lang w:val="en-GB"/>
              </w:rPr>
            </w:pPr>
            <w:r w:rsidRPr="00F03572">
              <w:rPr>
                <w:rFonts w:eastAsia="맑은 고딕"/>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af0"/>
              <w:snapToGrid w:val="0"/>
              <w:spacing w:after="0" w:line="240" w:lineRule="auto"/>
              <w:jc w:val="both"/>
              <w:rPr>
                <w:rFonts w:eastAsia="맑은 고딕"/>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lastRenderedPageBreak/>
              <w:t>Views on red FFS text:</w:t>
            </w:r>
          </w:p>
          <w:p w14:paraId="2AB4EFAA" w14:textId="1D6C30CB" w:rsidR="00F03572" w:rsidRPr="00F03572" w:rsidRDefault="00F03572" w:rsidP="00C45DD1">
            <w:pPr>
              <w:pStyle w:val="af0"/>
              <w:numPr>
                <w:ilvl w:val="0"/>
                <w:numId w:val="20"/>
              </w:numPr>
              <w:snapToGrid w:val="0"/>
              <w:spacing w:after="0" w:line="240" w:lineRule="auto"/>
              <w:rPr>
                <w:b/>
                <w:sz w:val="18"/>
                <w:szCs w:val="18"/>
              </w:rPr>
            </w:pPr>
            <w:r w:rsidRPr="00F03572">
              <w:rPr>
                <w:b/>
                <w:sz w:val="18"/>
                <w:szCs w:val="18"/>
              </w:rPr>
              <w:t>Yes:</w:t>
            </w:r>
          </w:p>
          <w:p w14:paraId="1A0E8E1F" w14:textId="094F5C18" w:rsidR="00F03572" w:rsidRPr="00F03572" w:rsidRDefault="00F03572" w:rsidP="00C45DD1">
            <w:pPr>
              <w:pStyle w:val="af0"/>
              <w:numPr>
                <w:ilvl w:val="0"/>
                <w:numId w:val="20"/>
              </w:numPr>
              <w:snapToGrid w:val="0"/>
              <w:spacing w:after="0" w:line="240" w:lineRule="auto"/>
              <w:rPr>
                <w:b/>
                <w:sz w:val="18"/>
                <w:szCs w:val="18"/>
              </w:rPr>
            </w:pPr>
            <w:r w:rsidRPr="00F03572">
              <w:rPr>
                <w:b/>
                <w:sz w:val="18"/>
                <w:szCs w:val="18"/>
              </w:rPr>
              <w:lastRenderedPageBreak/>
              <w:t>No:</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lastRenderedPageBreak/>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af0"/>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af0"/>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af0"/>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af0"/>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바탕" w:hAnsi="Times"/>
                <w:b/>
                <w:sz w:val="18"/>
                <w:szCs w:val="18"/>
                <w:lang w:val="en-GB" w:eastAsia="en-US"/>
              </w:rPr>
            </w:pPr>
          </w:p>
          <w:p w14:paraId="1207FD68" w14:textId="12A12223" w:rsidR="008728F8" w:rsidRPr="008728F8" w:rsidRDefault="008728F8" w:rsidP="008728F8">
            <w:pPr>
              <w:snapToGrid w:val="0"/>
              <w:rPr>
                <w:rFonts w:ascii="Times" w:eastAsia="바탕" w:hAnsi="Times"/>
                <w:b/>
                <w:color w:val="3333FF"/>
                <w:sz w:val="18"/>
                <w:szCs w:val="18"/>
                <w:lang w:val="en-GB" w:eastAsia="en-US"/>
              </w:rPr>
            </w:pPr>
            <w:r w:rsidRPr="008728F8">
              <w:rPr>
                <w:rFonts w:ascii="Times" w:eastAsia="바탕" w:hAnsi="Times"/>
                <w:b/>
                <w:color w:val="3333FF"/>
                <w:sz w:val="18"/>
                <w:szCs w:val="18"/>
                <w:u w:val="single"/>
                <w:lang w:val="en-GB" w:eastAsia="en-US"/>
              </w:rPr>
              <w:t>FL Note</w:t>
            </w:r>
            <w:r w:rsidRPr="008728F8">
              <w:rPr>
                <w:rFonts w:ascii="Times" w:eastAsia="바탕" w:hAnsi="Times"/>
                <w:b/>
                <w:color w:val="3333FF"/>
                <w:sz w:val="18"/>
                <w:szCs w:val="18"/>
                <w:lang w:val="en-GB" w:eastAsia="en-US"/>
              </w:rPr>
              <w:t xml:space="preserve">: </w:t>
            </w:r>
            <w:r w:rsidRPr="008728F8">
              <w:rPr>
                <w:rFonts w:ascii="Times" w:eastAsia="바탕" w:hAnsi="Times"/>
                <w:color w:val="3333FF"/>
                <w:sz w:val="18"/>
                <w:szCs w:val="18"/>
                <w:lang w:val="en-GB" w:eastAsia="en-US"/>
              </w:rPr>
              <w:t>Need conclusion due to FFS:</w:t>
            </w:r>
            <w:r w:rsidRPr="008728F8">
              <w:rPr>
                <w:rFonts w:ascii="Times" w:eastAsia="바탕" w:hAnsi="Times"/>
                <w:b/>
                <w:color w:val="3333FF"/>
                <w:sz w:val="18"/>
                <w:szCs w:val="18"/>
                <w:lang w:val="en-GB" w:eastAsia="en-US"/>
              </w:rPr>
              <w:t xml:space="preserve"> </w:t>
            </w:r>
            <w:r w:rsidRPr="008728F8">
              <w:rPr>
                <w:rFonts w:ascii="Times" w:eastAsia="바탕" w:hAnsi="Times"/>
                <w:color w:val="3333FF"/>
                <w:sz w:val="18"/>
                <w:szCs w:val="18"/>
                <w:lang w:val="en-GB" w:eastAsia="en-US"/>
              </w:rPr>
              <w:t>UE measurement behaviour when SSBs associated with different PCIs overlap, including whether this is up to UE capability</w:t>
            </w:r>
            <w:r w:rsidRPr="008728F8">
              <w:rPr>
                <w:rFonts w:ascii="Times" w:eastAsia="바탕"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바탕"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77777777" w:rsidR="006955DA" w:rsidRPr="00F602E2" w:rsidRDefault="006955DA" w:rsidP="006955DA">
            <w:pPr>
              <w:snapToGrid w:val="0"/>
              <w:rPr>
                <w:b/>
                <w:sz w:val="18"/>
                <w:szCs w:val="18"/>
                <w:lang w:val="sv-SE"/>
              </w:rPr>
            </w:pPr>
            <w:r w:rsidRPr="00F602E2">
              <w:rPr>
                <w:b/>
                <w:sz w:val="18"/>
                <w:szCs w:val="18"/>
                <w:lang w:val="sv-SE"/>
              </w:rPr>
              <w:t xml:space="preserve">Alt2: </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3AB3EEC7" w:rsidR="006955DA" w:rsidRDefault="006955DA" w:rsidP="006955DA">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28A98F08" w:rsidR="00966B34" w:rsidRDefault="00966B34" w:rsidP="00966B34">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C501E5B" w:rsidR="00BF0357" w:rsidRPr="00E7069E" w:rsidRDefault="00BF0357" w:rsidP="00966B34">
            <w:pPr>
              <w:snapToGrid w:val="0"/>
              <w:rPr>
                <w:b/>
                <w:sz w:val="18"/>
                <w:szCs w:val="18"/>
                <w:u w:val="single"/>
              </w:rPr>
            </w:pP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0BE0F70F" w:rsidR="00966B34" w:rsidRDefault="00966B34" w:rsidP="00966B34">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8E66185" w:rsidR="00966B34" w:rsidRPr="0085692A" w:rsidRDefault="00966B34" w:rsidP="00966B34">
            <w:pPr>
              <w:snapToGrid w:val="0"/>
              <w:rPr>
                <w:rStyle w:val="normaltextrun"/>
                <w:rFonts w:eastAsiaTheme="minorEastAsia"/>
                <w:color w:val="000000" w:themeColor="text1"/>
                <w:sz w:val="18"/>
                <w:szCs w:val="18"/>
                <w:lang w:eastAsia="zh-CN"/>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5072A30F" w:rsidR="00966B34" w:rsidRPr="00E77B01" w:rsidRDefault="00966B34" w:rsidP="0085692A">
            <w:pPr>
              <w:snapToGrid w:val="0"/>
              <w:rPr>
                <w:rFonts w:eastAsia="MS Mincho"/>
                <w:bCs/>
                <w:sz w:val="18"/>
                <w:szCs w:val="18"/>
                <w:lang w:eastAsia="ja-JP"/>
              </w:rPr>
            </w:pPr>
          </w:p>
        </w:tc>
      </w:tr>
      <w:tr w:rsidR="00B873D3"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18695BD5" w:rsidR="00B873D3" w:rsidRDefault="00B873D3" w:rsidP="00B873D3">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19381AD0" w:rsidR="00B873D3" w:rsidRDefault="00B873D3" w:rsidP="00B873D3">
            <w:pPr>
              <w:snapToGrid w:val="0"/>
              <w:rPr>
                <w:rFonts w:eastAsia="MS Mincho"/>
                <w:bCs/>
                <w:sz w:val="18"/>
                <w:szCs w:val="18"/>
                <w:lang w:eastAsia="ja-JP"/>
              </w:rPr>
            </w:pPr>
          </w:p>
        </w:tc>
      </w:tr>
      <w:tr w:rsidR="00DC3233"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716B1FFA" w:rsidR="00DC3233" w:rsidRDefault="00DC3233" w:rsidP="00DC3233">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1CF4ABAF" w:rsidR="00DC3233" w:rsidRDefault="00DC3233" w:rsidP="00DC3233">
            <w:pPr>
              <w:snapToGrid w:val="0"/>
              <w:rPr>
                <w:rFonts w:eastAsia="MS Mincho"/>
                <w:bCs/>
                <w:sz w:val="18"/>
                <w:szCs w:val="18"/>
                <w:lang w:eastAsia="ja-JP"/>
              </w:rPr>
            </w:pPr>
          </w:p>
        </w:tc>
      </w:tr>
      <w:tr w:rsidR="002441FD"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3EA3A2FF" w:rsidR="002441FD" w:rsidRDefault="002441FD" w:rsidP="002441FD">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35B6BDFF" w:rsidR="002441FD" w:rsidRDefault="002441FD" w:rsidP="002441FD">
            <w:pPr>
              <w:snapToGrid w:val="0"/>
              <w:rPr>
                <w:rFonts w:eastAsia="MS Mincho"/>
                <w:b/>
                <w:sz w:val="18"/>
                <w:szCs w:val="18"/>
                <w:lang w:eastAsia="ja-JP"/>
              </w:rPr>
            </w:pPr>
          </w:p>
        </w:tc>
      </w:tr>
      <w:tr w:rsidR="00C83FF0"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6DD22876" w:rsidR="00C83FF0" w:rsidRPr="00917450" w:rsidRDefault="00C83FF0"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EB67" w14:textId="26B0F5CB" w:rsidR="00C83FF0" w:rsidRPr="00696534" w:rsidRDefault="00C83FF0" w:rsidP="00C83FF0">
            <w:pPr>
              <w:snapToGrid w:val="0"/>
              <w:rPr>
                <w:b/>
                <w:sz w:val="18"/>
                <w:szCs w:val="18"/>
              </w:rPr>
            </w:pPr>
          </w:p>
        </w:tc>
      </w:tr>
      <w:tr w:rsidR="00C83FF0"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3B626E9A" w:rsidR="00C83FF0" w:rsidRDefault="00C83FF0"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32672E27" w:rsidR="00C83FF0" w:rsidRDefault="00C83FF0" w:rsidP="00C83FF0">
            <w:pPr>
              <w:snapToGrid w:val="0"/>
              <w:rPr>
                <w:rFonts w:eastAsia="MS Mincho"/>
                <w:bCs/>
                <w:sz w:val="18"/>
                <w:szCs w:val="18"/>
                <w:lang w:eastAsia="ja-JP"/>
              </w:rPr>
            </w:pPr>
          </w:p>
        </w:tc>
      </w:tr>
      <w:tr w:rsidR="00BC196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BC1967" w:rsidRDefault="00BC1967"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2C1EEC" w:rsidRPr="00BC1967" w:rsidRDefault="002C1EEC" w:rsidP="00C83FF0">
            <w:pPr>
              <w:snapToGrid w:val="0"/>
              <w:rPr>
                <w:rFonts w:eastAsia="MS Mincho"/>
                <w:bCs/>
                <w:color w:val="000000" w:themeColor="text1"/>
                <w:sz w:val="18"/>
                <w:szCs w:val="18"/>
                <w:lang w:eastAsia="ja-JP"/>
              </w:rPr>
            </w:pPr>
          </w:p>
        </w:tc>
      </w:tr>
      <w:tr w:rsidR="007D2B1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7D2B17" w:rsidRDefault="007D2B17"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A007E2" w:rsidRPr="00BC1967" w:rsidRDefault="00A007E2" w:rsidP="00C83FF0">
            <w:pPr>
              <w:snapToGrid w:val="0"/>
              <w:rPr>
                <w:rFonts w:eastAsia="MS Mincho"/>
                <w:bCs/>
                <w:color w:val="000000" w:themeColor="text1"/>
                <w:sz w:val="18"/>
                <w:szCs w:val="18"/>
                <w:lang w:eastAsia="ja-JP"/>
              </w:rPr>
            </w:pPr>
          </w:p>
        </w:tc>
      </w:tr>
      <w:tr w:rsidR="00B94558"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B94558" w:rsidRDefault="00B94558"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BA2424" w:rsidRDefault="00BA2424" w:rsidP="00BA2424">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BA2424" w:rsidRDefault="00BA2424" w:rsidP="00BA2424">
            <w:pPr>
              <w:snapToGrid w:val="0"/>
              <w:rPr>
                <w:rFonts w:eastAsia="MS Mincho"/>
                <w:bCs/>
                <w:color w:val="000000" w:themeColor="text1"/>
                <w:sz w:val="18"/>
                <w:szCs w:val="18"/>
                <w:lang w:eastAsia="ja-JP"/>
              </w:rPr>
            </w:pPr>
          </w:p>
        </w:tc>
      </w:tr>
      <w:tr w:rsidR="007701E9"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7701E9" w:rsidRDefault="007701E9" w:rsidP="00784DFB">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32B55" w:rsidRDefault="00E32B55" w:rsidP="00140009">
            <w:pPr>
              <w:tabs>
                <w:tab w:val="left" w:pos="2880"/>
              </w:tabs>
              <w:snapToGrid w:val="0"/>
              <w:rPr>
                <w:rFonts w:eastAsiaTheme="minorEastAsia"/>
                <w:color w:val="000000" w:themeColor="text1"/>
                <w:sz w:val="18"/>
                <w:szCs w:val="18"/>
                <w:lang w:eastAsia="zh-CN"/>
              </w:rPr>
            </w:pPr>
          </w:p>
        </w:tc>
      </w:tr>
      <w:tr w:rsidR="00661F4D"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661F4D" w:rsidRDefault="00661F4D" w:rsidP="00784DFB">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661F4D" w:rsidRPr="00661F4D" w:rsidRDefault="00661F4D" w:rsidP="00661F4D">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77777777"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[No two value sets can have identical entries]</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77777777"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1F549EC7"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p>
          <w:p w14:paraId="0C5BF31D" w14:textId="33A98F54"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77777777"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p>
          <w:p w14:paraId="610644D2" w14:textId="04B8A4A0"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3DD13088"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p>
          <w:p w14:paraId="50221DCF" w14:textId="77777777"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0"/>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맑은 고딕"/>
                <w:color w:val="000000" w:themeColor="text1"/>
                <w:sz w:val="18"/>
                <w:szCs w:val="18"/>
              </w:rPr>
            </w:pPr>
            <w:r>
              <w:rPr>
                <w:rFonts w:eastAsia="맑은 고딕"/>
                <w:color w:val="000000" w:themeColor="text1"/>
                <w:sz w:val="18"/>
                <w:szCs w:val="18"/>
              </w:rPr>
              <w:t>O</w:t>
            </w:r>
            <w:r>
              <w:rPr>
                <w:rFonts w:eastAsia="맑은 고딕" w:hint="eastAsia"/>
                <w:color w:val="000000" w:themeColor="text1"/>
                <w:sz w:val="18"/>
                <w:szCs w:val="18"/>
              </w:rPr>
              <w:t xml:space="preserve">ur views </w:t>
            </w:r>
            <w:r>
              <w:rPr>
                <w:rFonts w:eastAsia="맑은 고딕"/>
                <w:color w:val="000000" w:themeColor="text1"/>
                <w:sz w:val="18"/>
                <w:szCs w:val="18"/>
              </w:rPr>
              <w:t xml:space="preserve">are provided </w:t>
            </w:r>
            <w:r>
              <w:rPr>
                <w:rFonts w:eastAsia="맑은 고딕" w:hint="eastAsia"/>
                <w:color w:val="000000" w:themeColor="text1"/>
                <w:sz w:val="18"/>
                <w:szCs w:val="18"/>
              </w:rPr>
              <w:t>in the table.</w:t>
            </w:r>
          </w:p>
          <w:p w14:paraId="26E9FABB" w14:textId="77777777" w:rsidR="00407FA1" w:rsidRDefault="00407FA1" w:rsidP="00407FA1">
            <w:pPr>
              <w:snapToGrid w:val="0"/>
              <w:rPr>
                <w:rFonts w:eastAsia="맑은 고딕"/>
                <w:color w:val="000000" w:themeColor="text1"/>
                <w:sz w:val="18"/>
                <w:szCs w:val="18"/>
              </w:rPr>
            </w:pPr>
          </w:p>
          <w:p w14:paraId="7944B152" w14:textId="77777777" w:rsidR="00407FA1" w:rsidRPr="0062618D" w:rsidRDefault="00407FA1" w:rsidP="00407FA1">
            <w:pPr>
              <w:snapToGrid w:val="0"/>
            </w:pPr>
            <w:r>
              <w:rPr>
                <w:rFonts w:eastAsia="맑은 고딕"/>
                <w:color w:val="000000" w:themeColor="text1"/>
                <w:sz w:val="18"/>
                <w:szCs w:val="18"/>
              </w:rPr>
              <w:t>1</w:t>
            </w:r>
            <w:r w:rsidRPr="00284FC9">
              <w:rPr>
                <w:rFonts w:eastAsia="맑은 고딕"/>
                <w:color w:val="000000" w:themeColor="text1"/>
                <w:sz w:val="18"/>
                <w:szCs w:val="18"/>
                <w:vertAlign w:val="superscript"/>
              </w:rPr>
              <w:t>st</w:t>
            </w:r>
            <w:r>
              <w:rPr>
                <w:rFonts w:eastAsia="맑은 고딕"/>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맑은 고딕"/>
                <w:strike/>
                <w:color w:val="FF0000"/>
                <w:sz w:val="18"/>
                <w:szCs w:val="18"/>
              </w:rPr>
              <w:t>No two value sets can have identical entries</w:t>
            </w:r>
            <w:r>
              <w:rPr>
                <w:rFonts w:eastAsia="맑은 고딕"/>
                <w:color w:val="FF0000"/>
                <w:sz w:val="18"/>
                <w:szCs w:val="18"/>
              </w:rPr>
              <w:t>For any two different value sets, at least one capability value needs to be different</w:t>
            </w:r>
            <w:r w:rsidRPr="0062618D">
              <w:rPr>
                <w:rFonts w:eastAsia="맑은 고딕"/>
                <w:color w:val="FF0000"/>
                <w:sz w:val="18"/>
                <w:szCs w:val="18"/>
              </w:rPr>
              <w:t>.</w:t>
            </w:r>
            <w:r>
              <w:rPr>
                <w:rFonts w:eastAsia="맑은 고딕"/>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맑은 고딕"/>
                <w:color w:val="000000" w:themeColor="text1"/>
                <w:sz w:val="18"/>
                <w:szCs w:val="18"/>
              </w:rPr>
            </w:pPr>
          </w:p>
          <w:p w14:paraId="2F16D3FE" w14:textId="77777777" w:rsidR="00407FA1" w:rsidRDefault="00407FA1" w:rsidP="00407FA1">
            <w:pPr>
              <w:snapToGrid w:val="0"/>
              <w:rPr>
                <w:rFonts w:eastAsia="맑은 고딕"/>
                <w:color w:val="000000" w:themeColor="text1"/>
                <w:sz w:val="18"/>
                <w:szCs w:val="18"/>
              </w:rPr>
            </w:pPr>
            <w:r>
              <w:rPr>
                <w:rFonts w:eastAsia="맑은 고딕"/>
                <w:color w:val="000000" w:themeColor="text1"/>
                <w:sz w:val="18"/>
                <w:szCs w:val="18"/>
              </w:rPr>
              <w:t>2</w:t>
            </w:r>
            <w:r w:rsidRPr="00284FC9">
              <w:rPr>
                <w:rFonts w:eastAsia="맑은 고딕"/>
                <w:color w:val="000000" w:themeColor="text1"/>
                <w:sz w:val="18"/>
                <w:szCs w:val="18"/>
                <w:vertAlign w:val="superscript"/>
              </w:rPr>
              <w:t>nd</w:t>
            </w:r>
            <w:r>
              <w:rPr>
                <w:rFonts w:eastAsia="맑은 고딕"/>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맑은 고딕"/>
                <w:color w:val="000000" w:themeColor="text1"/>
                <w:sz w:val="18"/>
                <w:szCs w:val="18"/>
              </w:rPr>
            </w:pPr>
          </w:p>
          <w:p w14:paraId="48EB0F22" w14:textId="77777777" w:rsidR="00407FA1" w:rsidRDefault="00407FA1" w:rsidP="00407FA1">
            <w:pPr>
              <w:snapToGrid w:val="0"/>
              <w:rPr>
                <w:rFonts w:eastAsia="맑은 고딕"/>
                <w:color w:val="000000" w:themeColor="text1"/>
                <w:sz w:val="18"/>
                <w:szCs w:val="18"/>
              </w:rPr>
            </w:pPr>
            <w:r>
              <w:rPr>
                <w:rFonts w:eastAsia="맑은 고딕" w:hint="eastAsia"/>
                <w:color w:val="000000" w:themeColor="text1"/>
                <w:sz w:val="18"/>
                <w:szCs w:val="18"/>
              </w:rPr>
              <w:t>3</w:t>
            </w:r>
            <w:r w:rsidRPr="00A22789">
              <w:rPr>
                <w:rFonts w:eastAsia="맑은 고딕" w:hint="eastAsia"/>
                <w:color w:val="000000" w:themeColor="text1"/>
                <w:sz w:val="18"/>
                <w:szCs w:val="18"/>
                <w:vertAlign w:val="superscript"/>
              </w:rPr>
              <w:t>rd</w:t>
            </w:r>
            <w:r>
              <w:rPr>
                <w:rFonts w:eastAsia="맑은 고딕" w:hint="eastAsia"/>
                <w:color w:val="000000" w:themeColor="text1"/>
                <w:sz w:val="18"/>
                <w:szCs w:val="18"/>
              </w:rPr>
              <w:t xml:space="preserve">: If we </w:t>
            </w:r>
            <w:r>
              <w:rPr>
                <w:rFonts w:eastAsia="맑은 고딕"/>
                <w:color w:val="000000" w:themeColor="text1"/>
                <w:sz w:val="18"/>
                <w:szCs w:val="18"/>
              </w:rPr>
              <w:t>don’t</w:t>
            </w:r>
            <w:r>
              <w:rPr>
                <w:rFonts w:eastAsia="맑은 고딕" w:hint="eastAsia"/>
                <w:color w:val="000000" w:themeColor="text1"/>
                <w:sz w:val="18"/>
                <w:szCs w:val="18"/>
              </w:rPr>
              <w:t xml:space="preserve"> </w:t>
            </w:r>
            <w:r>
              <w:rPr>
                <w:rFonts w:eastAsia="맑은 고딕"/>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맑은 고딕"/>
                <w:color w:val="000000" w:themeColor="text1"/>
                <w:sz w:val="18"/>
                <w:szCs w:val="18"/>
              </w:rPr>
            </w:pPr>
          </w:p>
          <w:p w14:paraId="155AC3A8" w14:textId="77777777" w:rsidR="00407FA1" w:rsidRPr="00EC0141" w:rsidRDefault="00407FA1" w:rsidP="00407FA1">
            <w:pPr>
              <w:snapToGrid w:val="0"/>
              <w:rPr>
                <w:rFonts w:eastAsia="맑은 고딕"/>
                <w:b/>
                <w:color w:val="000000" w:themeColor="text1"/>
                <w:sz w:val="18"/>
                <w:szCs w:val="18"/>
                <w:lang w:eastAsia="en-US"/>
              </w:rPr>
            </w:pPr>
            <w:r w:rsidRPr="00EC0141">
              <w:rPr>
                <w:rFonts w:eastAsia="맑은 고딕"/>
                <w:b/>
                <w:color w:val="000000" w:themeColor="text1"/>
                <w:sz w:val="18"/>
                <w:szCs w:val="18"/>
              </w:rPr>
              <w:t xml:space="preserve">1. Concern </w:t>
            </w:r>
            <w:r w:rsidRPr="00EC0141">
              <w:rPr>
                <w:rFonts w:eastAsia="맑은 고딕" w:hint="eastAsia"/>
                <w:b/>
                <w:color w:val="000000" w:themeColor="text1"/>
                <w:sz w:val="18"/>
                <w:szCs w:val="18"/>
              </w:rPr>
              <w:t>that it is not realistic to assume multiple panels are activated at the same time</w:t>
            </w:r>
            <w:r w:rsidRPr="00EC0141">
              <w:rPr>
                <w:rFonts w:eastAsia="맑은 고딕"/>
                <w:b/>
                <w:color w:val="000000" w:themeColor="text1"/>
                <w:sz w:val="18"/>
                <w:szCs w:val="18"/>
              </w:rPr>
              <w:t xml:space="preserve"> </w:t>
            </w:r>
          </w:p>
          <w:p w14:paraId="5610CF2F" w14:textId="77777777" w:rsidR="00407FA1" w:rsidRDefault="00407FA1" w:rsidP="00407FA1">
            <w:pPr>
              <w:pStyle w:val="af0"/>
              <w:numPr>
                <w:ilvl w:val="0"/>
                <w:numId w:val="27"/>
              </w:numPr>
              <w:snapToGrid w:val="0"/>
              <w:rPr>
                <w:rFonts w:eastAsia="맑은 고딕"/>
                <w:color w:val="000000" w:themeColor="text1"/>
                <w:sz w:val="18"/>
                <w:szCs w:val="18"/>
              </w:rPr>
            </w:pPr>
            <w:r>
              <w:rPr>
                <w:rFonts w:eastAsia="맑은 고딕"/>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0"/>
              <w:numPr>
                <w:ilvl w:val="0"/>
                <w:numId w:val="27"/>
              </w:numPr>
              <w:snapToGrid w:val="0"/>
              <w:rPr>
                <w:rFonts w:eastAsia="맑은 고딕"/>
                <w:color w:val="000000" w:themeColor="text1"/>
                <w:sz w:val="18"/>
                <w:szCs w:val="18"/>
              </w:rPr>
            </w:pPr>
            <w:r>
              <w:rPr>
                <w:rFonts w:eastAsia="맑은 고딕"/>
                <w:color w:val="000000" w:themeColor="text1"/>
                <w:sz w:val="18"/>
                <w:szCs w:val="18"/>
                <w:lang w:eastAsia="ko-KR"/>
              </w:rPr>
              <w:t>In the RAN4 LS(</w:t>
            </w:r>
            <w:r w:rsidRPr="00EC0141">
              <w:rPr>
                <w:rFonts w:eastAsia="맑은 고딕"/>
                <w:color w:val="000000" w:themeColor="text1"/>
                <w:sz w:val="18"/>
                <w:szCs w:val="18"/>
                <w:lang w:eastAsia="ko-KR"/>
              </w:rPr>
              <w:t>R1-2104169</w:t>
            </w:r>
            <w:r>
              <w:rPr>
                <w:rFonts w:eastAsia="맑은 고딕"/>
                <w:color w:val="000000" w:themeColor="text1"/>
                <w:sz w:val="18"/>
                <w:szCs w:val="18"/>
                <w:lang w:eastAsia="ko-KR"/>
              </w:rPr>
              <w:t>), it is stated ‘</w:t>
            </w:r>
            <w:r w:rsidRPr="00A510C6">
              <w:rPr>
                <w:rFonts w:eastAsia="맑은 고딕"/>
                <w:color w:val="000000" w:themeColor="text1"/>
                <w:sz w:val="18"/>
                <w:szCs w:val="18"/>
              </w:rPr>
              <w:t xml:space="preserve">Thus far at least until Rel-16, RAN4 requirements have been established in a panel agnostic way, i.e. transparent to network so that </w:t>
            </w:r>
            <w:r w:rsidRPr="00A510C6">
              <w:rPr>
                <w:rFonts w:eastAsia="맑은 고딕"/>
                <w:color w:val="000000" w:themeColor="text1"/>
                <w:sz w:val="18"/>
                <w:szCs w:val="18"/>
                <w:highlight w:val="yellow"/>
              </w:rPr>
              <w:t>beam switching requirements defined in Rel-15 are applicable for both the same panel and cross panel beam switch cases in RAN4</w:t>
            </w:r>
            <w:r>
              <w:rPr>
                <w:rFonts w:eastAsia="맑은 고딕"/>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맑은 고딕"/>
                <w:b/>
                <w:color w:val="000000" w:themeColor="text1"/>
                <w:sz w:val="18"/>
                <w:szCs w:val="18"/>
              </w:rPr>
            </w:pPr>
            <w:r w:rsidRPr="00EC0141">
              <w:rPr>
                <w:rFonts w:eastAsia="맑은 고딕" w:hint="eastAsia"/>
                <w:b/>
                <w:color w:val="000000" w:themeColor="text1"/>
                <w:sz w:val="18"/>
                <w:szCs w:val="18"/>
              </w:rPr>
              <w:t xml:space="preserve">2. </w:t>
            </w:r>
            <w:r>
              <w:rPr>
                <w:rFonts w:eastAsia="맑은 고딕"/>
                <w:b/>
                <w:color w:val="000000" w:themeColor="text1"/>
                <w:sz w:val="18"/>
                <w:szCs w:val="18"/>
              </w:rPr>
              <w:t xml:space="preserve">Concern that this </w:t>
            </w:r>
            <w:r w:rsidRPr="00EC0141">
              <w:rPr>
                <w:rFonts w:eastAsia="맑은 고딕"/>
                <w:b/>
                <w:color w:val="000000" w:themeColor="text1"/>
                <w:sz w:val="18"/>
                <w:szCs w:val="18"/>
              </w:rPr>
              <w:t>mandate</w:t>
            </w:r>
            <w:r>
              <w:rPr>
                <w:rFonts w:eastAsia="맑은 고딕"/>
                <w:b/>
                <w:color w:val="000000" w:themeColor="text1"/>
                <w:sz w:val="18"/>
                <w:szCs w:val="18"/>
              </w:rPr>
              <w:t>s</w:t>
            </w:r>
            <w:r w:rsidRPr="00EC0141">
              <w:rPr>
                <w:rFonts w:eastAsia="맑은 고딕"/>
                <w:b/>
                <w:color w:val="000000" w:themeColor="text1"/>
                <w:sz w:val="18"/>
                <w:szCs w:val="18"/>
              </w:rPr>
              <w:t xml:space="preserve"> UE to activate multiple panels and NW-initiated panel activation/selection.</w:t>
            </w:r>
          </w:p>
          <w:p w14:paraId="7E376136" w14:textId="77777777" w:rsidR="00407FA1" w:rsidRDefault="00407FA1" w:rsidP="00407FA1">
            <w:pPr>
              <w:pStyle w:val="af0"/>
              <w:numPr>
                <w:ilvl w:val="0"/>
                <w:numId w:val="27"/>
              </w:numPr>
              <w:snapToGrid w:val="0"/>
              <w:rPr>
                <w:rFonts w:eastAsia="맑은 고딕"/>
                <w:color w:val="000000" w:themeColor="text1"/>
                <w:sz w:val="18"/>
                <w:szCs w:val="18"/>
              </w:rPr>
            </w:pPr>
            <w:r>
              <w:rPr>
                <w:rFonts w:eastAsia="맑은 고딕" w:hint="eastAsia"/>
                <w:color w:val="000000" w:themeColor="text1"/>
                <w:sz w:val="18"/>
                <w:szCs w:val="18"/>
                <w:lang w:eastAsia="ko-KR"/>
              </w:rPr>
              <w:t xml:space="preserve">To our understanding, the second bullet can </w:t>
            </w:r>
            <w:r>
              <w:rPr>
                <w:rFonts w:eastAsia="맑은 고딕"/>
                <w:color w:val="000000" w:themeColor="text1"/>
                <w:sz w:val="18"/>
                <w:szCs w:val="18"/>
                <w:lang w:eastAsia="ko-KR"/>
              </w:rPr>
              <w:t>address</w:t>
            </w:r>
            <w:r>
              <w:rPr>
                <w:rFonts w:eastAsia="맑은 고딕" w:hint="eastAsia"/>
                <w:color w:val="000000" w:themeColor="text1"/>
                <w:sz w:val="18"/>
                <w:szCs w:val="18"/>
                <w:lang w:eastAsia="ko-KR"/>
              </w:rPr>
              <w:t xml:space="preserve"> </w:t>
            </w:r>
            <w:r>
              <w:rPr>
                <w:rFonts w:eastAsia="맑은 고딕"/>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맑은 고딕"/>
                <w:color w:val="FF0000"/>
                <w:sz w:val="18"/>
                <w:szCs w:val="18"/>
                <w:lang w:eastAsia="ko-KR"/>
              </w:rPr>
              <w:t>UE expects that the indicated SRI corresponds to at least one of the UE capability value set index(es), included in the most recent beam reporting.</w:t>
            </w:r>
            <w:r>
              <w:rPr>
                <w:rFonts w:eastAsia="맑은 고딕"/>
                <w:color w:val="000000" w:themeColor="text1"/>
                <w:sz w:val="18"/>
                <w:szCs w:val="18"/>
                <w:lang w:eastAsia="ko-KR"/>
              </w:rPr>
              <w:t>’</w:t>
            </w:r>
          </w:p>
          <w:p w14:paraId="2D99466F" w14:textId="77777777" w:rsidR="00407FA1" w:rsidRPr="00B405B6" w:rsidRDefault="00407FA1" w:rsidP="00407FA1">
            <w:pPr>
              <w:snapToGrid w:val="0"/>
              <w:rPr>
                <w:rFonts w:eastAsia="맑은 고딕"/>
                <w:b/>
                <w:color w:val="000000" w:themeColor="text1"/>
                <w:sz w:val="18"/>
                <w:szCs w:val="18"/>
              </w:rPr>
            </w:pPr>
            <w:r w:rsidRPr="00B405B6">
              <w:rPr>
                <w:rFonts w:eastAsia="맑은 고딕" w:hint="eastAsia"/>
                <w:b/>
                <w:color w:val="000000" w:themeColor="text1"/>
                <w:sz w:val="18"/>
                <w:szCs w:val="18"/>
              </w:rPr>
              <w:t xml:space="preserve">3. </w:t>
            </w:r>
            <w:r w:rsidRPr="00B405B6">
              <w:rPr>
                <w:rFonts w:eastAsia="맑은 고딕"/>
                <w:b/>
                <w:color w:val="000000" w:themeColor="text1"/>
                <w:sz w:val="18"/>
                <w:szCs w:val="18"/>
              </w:rPr>
              <w:t>Concern that switching DL capability would also be needed together</w:t>
            </w:r>
          </w:p>
          <w:p w14:paraId="3E3E6F81" w14:textId="6C2FE6DD" w:rsidR="00407FA1" w:rsidRPr="007E2819" w:rsidRDefault="00407FA1" w:rsidP="00407FA1">
            <w:pPr>
              <w:pStyle w:val="af0"/>
              <w:numPr>
                <w:ilvl w:val="0"/>
                <w:numId w:val="27"/>
              </w:numPr>
              <w:snapToGrid w:val="0"/>
              <w:rPr>
                <w:color w:val="000000" w:themeColor="text1"/>
                <w:sz w:val="18"/>
                <w:szCs w:val="18"/>
                <w:lang w:eastAsia="zh-CN"/>
              </w:rPr>
            </w:pPr>
            <w:r>
              <w:rPr>
                <w:rFonts w:eastAsia="맑은 고딕"/>
                <w:color w:val="000000" w:themeColor="text1"/>
                <w:sz w:val="18"/>
                <w:szCs w:val="18"/>
                <w:lang w:eastAsia="ko-KR"/>
              </w:rPr>
              <w:t>This enhancement is for UL only by WID and it is typical that DL max rank and UL max rank are different</w:t>
            </w:r>
            <w:bookmarkStart w:id="2" w:name="_GoBack"/>
            <w:bookmarkEnd w:id="2"/>
            <w:r>
              <w:rPr>
                <w:rFonts w:eastAsia="맑은 고딕"/>
                <w:color w:val="000000" w:themeColor="text1"/>
                <w:sz w:val="18"/>
                <w:szCs w:val="18"/>
                <w:lang w:eastAsia="ko-KR"/>
              </w:rPr>
              <w:t xml:space="preserve">,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AEC9E0F" w:rsidR="00407FA1" w:rsidRPr="00F140AD"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0875C9B8" w:rsidR="00407FA1" w:rsidRPr="00550C25" w:rsidRDefault="00407FA1"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2AF9775" w:rsidR="00407FA1" w:rsidRPr="00F140AD"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2787864" w:rsidR="00407FA1" w:rsidRPr="00F140AD" w:rsidRDefault="00407FA1" w:rsidP="00407FA1">
            <w:pPr>
              <w:snapToGrid w:val="0"/>
              <w:rPr>
                <w:b/>
                <w:color w:val="3333FF"/>
                <w:sz w:val="18"/>
                <w:szCs w:val="18"/>
                <w:u w:val="single"/>
                <w:lang w:eastAsia="zh-CN"/>
              </w:rPr>
            </w:pPr>
          </w:p>
        </w:tc>
      </w:tr>
      <w:tr w:rsidR="00407FA1"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8907521"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7552122E" w:rsidR="00407FA1" w:rsidRPr="000A44B5" w:rsidRDefault="00407FA1" w:rsidP="00407FA1">
            <w:pPr>
              <w:snapToGrid w:val="0"/>
              <w:rPr>
                <w:sz w:val="18"/>
                <w:szCs w:val="18"/>
                <w:lang w:eastAsia="zh-CN"/>
              </w:rPr>
            </w:pPr>
          </w:p>
        </w:tc>
      </w:tr>
      <w:tr w:rsidR="00407FA1"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48E7945"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8EA6E19" w:rsidR="00407FA1" w:rsidRPr="009A726C" w:rsidRDefault="00407FA1" w:rsidP="00407FA1">
            <w:pPr>
              <w:rPr>
                <w:color w:val="000000" w:themeColor="text1"/>
                <w:sz w:val="18"/>
                <w:szCs w:val="18"/>
                <w:lang w:eastAsia="zh-CN"/>
              </w:rPr>
            </w:pPr>
          </w:p>
        </w:tc>
      </w:tr>
      <w:tr w:rsidR="00407FA1"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08CF0AC9"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407FA1" w:rsidRDefault="00407FA1" w:rsidP="00407FA1">
            <w:pPr>
              <w:snapToGrid w:val="0"/>
              <w:rPr>
                <w:color w:val="000000" w:themeColor="text1"/>
                <w:sz w:val="18"/>
                <w:szCs w:val="18"/>
                <w:lang w:eastAsia="zh-CN"/>
              </w:rPr>
            </w:pPr>
          </w:p>
        </w:tc>
      </w:tr>
      <w:tr w:rsidR="00407FA1"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0FFBDB9D"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09DD75C6" w:rsidR="00407FA1" w:rsidRDefault="00407FA1" w:rsidP="00407FA1">
            <w:pPr>
              <w:snapToGrid w:val="0"/>
              <w:rPr>
                <w:color w:val="000000" w:themeColor="text1"/>
                <w:sz w:val="18"/>
                <w:szCs w:val="18"/>
                <w:lang w:eastAsia="zh-CN"/>
              </w:rPr>
            </w:pPr>
          </w:p>
        </w:tc>
      </w:tr>
      <w:tr w:rsidR="00407FA1"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407FA1"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407FA1" w:rsidRDefault="00407FA1" w:rsidP="00407FA1">
            <w:pPr>
              <w:snapToGrid w:val="0"/>
              <w:rPr>
                <w:bCs/>
                <w:color w:val="000000" w:themeColor="text1"/>
                <w:sz w:val="18"/>
                <w:szCs w:val="18"/>
                <w:lang w:eastAsia="zh-CN"/>
              </w:rPr>
            </w:pPr>
          </w:p>
        </w:tc>
      </w:tr>
      <w:tr w:rsidR="00407FA1"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407FA1"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407FA1" w:rsidRDefault="00407FA1" w:rsidP="00407FA1">
            <w:pPr>
              <w:snapToGrid w:val="0"/>
              <w:rPr>
                <w:bCs/>
                <w:color w:val="000000" w:themeColor="text1"/>
                <w:sz w:val="18"/>
                <w:szCs w:val="18"/>
                <w:lang w:eastAsia="zh-CN"/>
              </w:rPr>
            </w:pPr>
          </w:p>
        </w:tc>
      </w:tr>
      <w:tr w:rsidR="00407FA1"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407FA1" w:rsidRPr="00C20156"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407FA1" w:rsidRPr="00C20156" w:rsidRDefault="00407FA1" w:rsidP="00407FA1">
            <w:pPr>
              <w:snapToGrid w:val="0"/>
              <w:rPr>
                <w:bCs/>
                <w:color w:val="000000" w:themeColor="text1"/>
                <w:sz w:val="18"/>
                <w:szCs w:val="18"/>
                <w:lang w:eastAsia="zh-CN"/>
              </w:rPr>
            </w:pPr>
          </w:p>
        </w:tc>
      </w:tr>
      <w:tr w:rsidR="00407FA1"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407FA1"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407FA1" w:rsidRPr="00661F4D" w:rsidRDefault="00407FA1" w:rsidP="00407FA1">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93B32" w14:textId="77777777" w:rsidR="00424FED" w:rsidRDefault="00424FED" w:rsidP="007458B4">
      <w:r>
        <w:separator/>
      </w:r>
    </w:p>
  </w:endnote>
  <w:endnote w:type="continuationSeparator" w:id="0">
    <w:p w14:paraId="51796EDC" w14:textId="77777777" w:rsidR="00424FED" w:rsidRDefault="00424FE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3670" w14:textId="77777777" w:rsidR="00424FED" w:rsidRDefault="00424FED" w:rsidP="007458B4">
      <w:r>
        <w:separator/>
      </w:r>
    </w:p>
  </w:footnote>
  <w:footnote w:type="continuationSeparator" w:id="0">
    <w:p w14:paraId="2A39B687" w14:textId="77777777" w:rsidR="00424FED" w:rsidRDefault="00424FED"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C1C7E"/>
    <w:multiLevelType w:val="hybridMultilevel"/>
    <w:tmpl w:val="76DC6D54"/>
    <w:lvl w:ilvl="0" w:tplc="5CB86628">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5"/>
  </w:num>
  <w:num w:numId="13">
    <w:abstractNumId w:val="13"/>
  </w:num>
  <w:num w:numId="14">
    <w:abstractNumId w:val="18"/>
  </w:num>
  <w:num w:numId="15">
    <w:abstractNumId w:val="12"/>
  </w:num>
  <w:num w:numId="16">
    <w:abstractNumId w:val="19"/>
  </w:num>
  <w:num w:numId="17">
    <w:abstractNumId w:val="21"/>
  </w:num>
  <w:num w:numId="18">
    <w:abstractNumId w:val="20"/>
  </w:num>
  <w:num w:numId="19">
    <w:abstractNumId w:val="17"/>
  </w:num>
  <w:num w:numId="20">
    <w:abstractNumId w:val="22"/>
  </w:num>
  <w:num w:numId="21">
    <w:abstractNumId w:val="24"/>
  </w:num>
  <w:num w:numId="22">
    <w:abstractNumId w:val="23"/>
  </w:num>
  <w:num w:numId="23">
    <w:abstractNumId w:val="26"/>
  </w:num>
  <w:num w:numId="24">
    <w:abstractNumId w:val="11"/>
  </w:num>
  <w:num w:numId="25">
    <w:abstractNumId w:val="16"/>
  </w:num>
  <w:num w:numId="26">
    <w:abstractNumId w:val="14"/>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25A8"/>
    <w:rsid w:val="005026D2"/>
    <w:rsid w:val="005031ED"/>
    <w:rsid w:val="005041F4"/>
    <w:rsid w:val="00505615"/>
    <w:rsid w:val="00506483"/>
    <w:rsid w:val="0050741C"/>
    <w:rsid w:val="00507E3D"/>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81ED5"/>
    <w:rsid w:val="00582B49"/>
    <w:rsid w:val="005830C3"/>
    <w:rsid w:val="00583263"/>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제목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맑은 고딕"/>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17995</Characters>
  <Application>Microsoft Office Word</Application>
  <DocSecurity>0</DocSecurity>
  <Lines>149</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Jiwon Kang (LGE)</cp:lastModifiedBy>
  <cp:revision>2</cp:revision>
  <cp:lastPrinted>2021-10-06T09:28:00Z</cp:lastPrinted>
  <dcterms:created xsi:type="dcterms:W3CDTF">2021-11-12T04:43:00Z</dcterms:created>
  <dcterms:modified xsi:type="dcterms:W3CDTF">2021-11-12T04:43:00Z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