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2641E29A"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w:t>
      </w:r>
      <w:proofErr w:type="spellStart"/>
      <w:proofErr w:type="gramStart"/>
      <w:r w:rsidRPr="002727AD">
        <w:rPr>
          <w:rFonts w:ascii="Arial" w:hAnsi="Arial" w:cs="Arial"/>
          <w:b/>
          <w:bCs/>
          <w:sz w:val="24"/>
        </w:rPr>
        <w:t>Tx</w:t>
      </w:r>
      <w:proofErr w:type="spellEnd"/>
      <w:proofErr w:type="gramEnd"/>
      <w:r w:rsidRPr="002727AD">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proofErr w:type="gramStart"/>
      <w:r>
        <w:rPr>
          <w:sz w:val="21"/>
          <w:szCs w:val="21"/>
        </w:rPr>
        <w:t>was</w:t>
      </w:r>
      <w:proofErr w:type="gramEnd"/>
      <w:r>
        <w:rPr>
          <w:sz w:val="21"/>
          <w:szCs w:val="21"/>
        </w:rPr>
        <w:t xml:space="preserve">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1D9C1A1" w14:textId="77777777" w:rsidR="00CB77F7" w:rsidRPr="0012481F"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 xml:space="preserve">Including any Rel-17 RRC </w:t>
      </w:r>
      <w:proofErr w:type="spellStart"/>
      <w:r>
        <w:rPr>
          <w:highlight w:val="cyan"/>
          <w:lang w:eastAsia="x-none"/>
        </w:rPr>
        <w:t>signalling</w:t>
      </w:r>
      <w:proofErr w:type="spellEnd"/>
      <w:r>
        <w:rPr>
          <w:highlight w:val="cyan"/>
          <w:lang w:eastAsia="x-none"/>
        </w:rPr>
        <w:t xml:space="preserve"> aspects</w:t>
      </w:r>
    </w:p>
    <w:p w14:paraId="19E5E966"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9"/>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w:t>
      </w:r>
      <w:proofErr w:type="spellStart"/>
      <w:r w:rsidRPr="00B40ADB">
        <w:rPr>
          <w:rFonts w:ascii="Times New Roman" w:hAnsi="Times New Roman"/>
          <w:sz w:val="21"/>
          <w:szCs w:val="21"/>
          <w:lang w:val="en-GB" w:eastAsia="zh-CN"/>
        </w:rPr>
        <w:t>Tx</w:t>
      </w:r>
      <w:proofErr w:type="spellEnd"/>
      <w:r w:rsidRPr="00B40ADB">
        <w:rPr>
          <w:rFonts w:ascii="Times New Roman" w:hAnsi="Times New Roman"/>
          <w:sz w:val="21"/>
          <w:szCs w:val="21"/>
          <w:lang w:val="en-GB" w:eastAsia="zh-CN"/>
        </w:rPr>
        <w:t xml:space="preserve">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9"/>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6B6E69">
      <w:pPr>
        <w:pStyle w:val="af9"/>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Huawei, </w:t>
      </w:r>
      <w:proofErr w:type="spellStart"/>
      <w:r w:rsidRPr="00154B2B">
        <w:rPr>
          <w:sz w:val="21"/>
          <w:szCs w:val="21"/>
          <w:highlight w:val="cyan"/>
          <w:lang w:val="en-GB" w:eastAsia="zh-CN"/>
        </w:rPr>
        <w:t>H</w:t>
      </w:r>
      <w:r w:rsidRPr="000766B1">
        <w:rPr>
          <w:sz w:val="21"/>
          <w:szCs w:val="21"/>
          <w:highlight w:val="cyan"/>
          <w:lang w:val="en-GB" w:eastAsia="zh-CN"/>
        </w:rPr>
        <w:t>iSilicon</w:t>
      </w:r>
      <w:proofErr w:type="spellEnd"/>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a"/>
        <w:numPr>
          <w:ilvl w:val="0"/>
          <w:numId w:val="29"/>
        </w:numPr>
        <w:spacing w:beforeLines="50" w:before="120"/>
        <w:jc w:val="both"/>
        <w:rPr>
          <w:sz w:val="21"/>
          <w:szCs w:val="21"/>
          <w:lang w:eastAsia="zh-CN"/>
        </w:rPr>
      </w:pPr>
      <w:r w:rsidRPr="00B40ADB">
        <w:rPr>
          <w:sz w:val="21"/>
          <w:szCs w:val="21"/>
          <w:lang w:val="en-US" w:eastAsia="zh-CN"/>
        </w:rPr>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A23CCD">
      <w:pPr>
        <w:pStyle w:val="aa"/>
        <w:numPr>
          <w:ilvl w:val="0"/>
          <w:numId w:val="29"/>
        </w:numPr>
        <w:spacing w:beforeLines="50" w:before="120"/>
        <w:jc w:val="both"/>
        <w:rPr>
          <w:sz w:val="21"/>
          <w:szCs w:val="21"/>
          <w:lang w:eastAsia="zh-CN"/>
        </w:rPr>
      </w:pPr>
      <w:r w:rsidRPr="00B40ADB">
        <w:rPr>
          <w:sz w:val="21"/>
          <w:szCs w:val="21"/>
          <w:lang w:val="en-US" w:eastAsia="zh-CN"/>
        </w:rPr>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A23CCD">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non-codebook based MIMO.</w:t>
      </w:r>
    </w:p>
    <w:p w14:paraId="2D0D427F" w14:textId="77777777" w:rsidR="00A23CCD" w:rsidRPr="00430912" w:rsidRDefault="00A23CCD" w:rsidP="00A23CCD">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w:t>
      </w:r>
      <w:proofErr w:type="spellStart"/>
      <w:proofErr w:type="gramStart"/>
      <w:r w:rsidRPr="00430912">
        <w:rPr>
          <w:rFonts w:ascii="Times New Roman" w:hAnsi="Times New Roman" w:hint="eastAsia"/>
          <w:color w:val="FF0000"/>
          <w:sz w:val="21"/>
          <w:szCs w:val="21"/>
          <w:lang w:val="en-GB" w:eastAsia="zh-CN"/>
        </w:rPr>
        <w:t>Tx</w:t>
      </w:r>
      <w:proofErr w:type="spellEnd"/>
      <w:proofErr w:type="gramEnd"/>
      <w:r w:rsidRPr="00430912">
        <w:rPr>
          <w:rFonts w:ascii="Times New Roman" w:hAnsi="Times New Roman" w:hint="eastAsia"/>
          <w:color w:val="FF0000"/>
          <w:sz w:val="21"/>
          <w:szCs w:val="21"/>
          <w:lang w:val="en-GB" w:eastAsia="zh-CN"/>
        </w:rPr>
        <w:t xml:space="preserve"> states. </w:t>
      </w:r>
    </w:p>
    <w:p w14:paraId="70BCDB39" w14:textId="77777777" w:rsidR="00A23CCD" w:rsidRPr="00430912" w:rsidRDefault="00A23CCD" w:rsidP="00A23CCD">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xml:space="preserve">: This RRC parameter is used to differentiate the table (mapping between UL transmission ports and </w:t>
      </w:r>
      <w:proofErr w:type="spellStart"/>
      <w:proofErr w:type="gramStart"/>
      <w:r w:rsidRPr="00430912">
        <w:rPr>
          <w:rFonts w:ascii="Times New Roman" w:hAnsi="Times New Roman" w:hint="eastAsia"/>
          <w:color w:val="FF0000"/>
          <w:sz w:val="21"/>
          <w:szCs w:val="21"/>
          <w:lang w:val="en-GB" w:eastAsia="zh-CN"/>
        </w:rPr>
        <w:t>Tx</w:t>
      </w:r>
      <w:proofErr w:type="spellEnd"/>
      <w:proofErr w:type="gramEnd"/>
      <w:r w:rsidRPr="00430912">
        <w:rPr>
          <w:rFonts w:ascii="Times New Roman" w:hAnsi="Times New Roman" w:hint="eastAsia"/>
          <w:color w:val="FF0000"/>
          <w:sz w:val="21"/>
          <w:szCs w:val="21"/>
          <w:lang w:val="en-GB" w:eastAsia="zh-CN"/>
        </w:rPr>
        <w:t xml:space="preserve">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 xml:space="preserve">r with UL </w:t>
      </w:r>
      <w:proofErr w:type="spellStart"/>
      <w:r w:rsidRPr="00430912">
        <w:rPr>
          <w:rFonts w:ascii="Times New Roman" w:hAnsi="Times New Roman"/>
          <w:color w:val="FF0000"/>
          <w:sz w:val="21"/>
          <w:szCs w:val="21"/>
          <w:lang w:val="en-GB" w:eastAsia="zh-CN"/>
        </w:rPr>
        <w:t>Tx</w:t>
      </w:r>
      <w:proofErr w:type="spellEnd"/>
      <w:r w:rsidRPr="00430912">
        <w:rPr>
          <w:rFonts w:ascii="Times New Roman" w:hAnsi="Times New Roman"/>
          <w:color w:val="FF0000"/>
          <w:sz w:val="21"/>
          <w:szCs w:val="21"/>
          <w:lang w:val="en-GB" w:eastAsia="zh-CN"/>
        </w:rPr>
        <w:t xml:space="preserve">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aa"/>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aa"/>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4F4EFB">
            <w:pPr>
              <w:pStyle w:val="af9"/>
              <w:numPr>
                <w:ilvl w:val="0"/>
                <w:numId w:val="36"/>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proofErr w:type="spellStart"/>
            <w:r w:rsidRPr="004F4EFB">
              <w:rPr>
                <w:rFonts w:ascii="Times New Roman" w:hAnsi="Times New Roman"/>
                <w:sz w:val="21"/>
                <w:szCs w:val="21"/>
                <w:lang w:val="en-US" w:eastAsia="zh-CN"/>
              </w:rPr>
              <w:t>noncodebook</w:t>
            </w:r>
            <w:bookmarkEnd w:id="3"/>
            <w:proofErr w:type="spellEnd"/>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4F4EFB">
            <w:pPr>
              <w:pStyle w:val="af9"/>
              <w:numPr>
                <w:ilvl w:val="0"/>
                <w:numId w:val="36"/>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a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4F4EFB">
            <w:pPr>
              <w:pStyle w:val="aa"/>
              <w:numPr>
                <w:ilvl w:val="0"/>
                <w:numId w:val="36"/>
              </w:numPr>
              <w:spacing w:line="240" w:lineRule="auto"/>
              <w:jc w:val="both"/>
              <w:rPr>
                <w:sz w:val="21"/>
                <w:szCs w:val="21"/>
                <w:lang w:eastAsia="zh-CN"/>
              </w:rPr>
            </w:pPr>
            <w:r>
              <w:rPr>
                <w:sz w:val="21"/>
                <w:szCs w:val="21"/>
                <w:lang w:eastAsia="zh-CN"/>
              </w:rPr>
              <w:t xml:space="preserve">Option 1 only checks the SRS antenna port number which might NOT fully reveal the </w:t>
            </w:r>
            <w:proofErr w:type="spellStart"/>
            <w:proofErr w:type="gramStart"/>
            <w:r>
              <w:rPr>
                <w:sz w:val="21"/>
                <w:szCs w:val="21"/>
                <w:lang w:eastAsia="zh-CN"/>
              </w:rPr>
              <w:t>Tx</w:t>
            </w:r>
            <w:proofErr w:type="spellEnd"/>
            <w:proofErr w:type="gramEnd"/>
            <w:r>
              <w:rPr>
                <w:sz w:val="21"/>
                <w:szCs w:val="21"/>
                <w:lang w:eastAsia="zh-CN"/>
              </w:rPr>
              <w:t xml:space="preserve">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w:t>
            </w:r>
            <w:proofErr w:type="spellStart"/>
            <w:proofErr w:type="gramStart"/>
            <w:r>
              <w:rPr>
                <w:sz w:val="21"/>
                <w:szCs w:val="21"/>
                <w:lang w:eastAsia="zh-CN"/>
              </w:rPr>
              <w:t>Tx</w:t>
            </w:r>
            <w:proofErr w:type="spellEnd"/>
            <w:proofErr w:type="gramEnd"/>
            <w:r>
              <w:rPr>
                <w:sz w:val="21"/>
                <w:szCs w:val="21"/>
                <w:lang w:eastAsia="zh-CN"/>
              </w:rPr>
              <w:t xml:space="preserve"> and thus implement shorter switching time. </w:t>
            </w:r>
          </w:p>
          <w:p w14:paraId="343B9423" w14:textId="056B7FE3" w:rsidR="00804B2C" w:rsidRPr="007264BD" w:rsidRDefault="00804B2C" w:rsidP="00BD1AB2">
            <w:pPr>
              <w:pStyle w:val="aa"/>
              <w:jc w:val="both"/>
              <w:rPr>
                <w:sz w:val="21"/>
                <w:szCs w:val="21"/>
                <w:lang w:eastAsia="zh-CN"/>
              </w:rPr>
            </w:pPr>
          </w:p>
        </w:tc>
      </w:tr>
      <w:tr w:rsidR="00DD48D4" w:rsidRPr="007264BD" w14:paraId="69B2C6C7" w14:textId="77777777" w:rsidTr="00CC13EE">
        <w:tc>
          <w:tcPr>
            <w:tcW w:w="2089" w:type="dxa"/>
            <w:shd w:val="clear" w:color="auto" w:fill="auto"/>
          </w:tcPr>
          <w:p w14:paraId="138C286F" w14:textId="3385D779" w:rsidR="00DD48D4" w:rsidRPr="007264BD" w:rsidRDefault="00DD48D4" w:rsidP="00DD48D4">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0A80557" w14:textId="77777777" w:rsidR="00DD48D4" w:rsidRDefault="00DD48D4" w:rsidP="00DD48D4">
            <w:pPr>
              <w:pStyle w:val="aa"/>
              <w:jc w:val="both"/>
              <w:rPr>
                <w:sz w:val="21"/>
                <w:szCs w:val="21"/>
                <w:lang w:eastAsia="zh-CN"/>
              </w:rPr>
            </w:pPr>
            <w:r>
              <w:rPr>
                <w:rFonts w:hint="eastAsia"/>
                <w:sz w:val="21"/>
                <w:szCs w:val="21"/>
                <w:lang w:eastAsia="zh-CN"/>
              </w:rPr>
              <w:t>F</w:t>
            </w:r>
            <w:r>
              <w:rPr>
                <w:sz w:val="21"/>
                <w:szCs w:val="21"/>
                <w:lang w:eastAsia="zh-CN"/>
              </w:rPr>
              <w:t>rom our perspective, Option1 has multiple issues need to be clarified, e.g.,</w:t>
            </w:r>
          </w:p>
          <w:p w14:paraId="38E19FEA" w14:textId="77777777" w:rsidR="00DD48D4" w:rsidRDefault="00DD48D4" w:rsidP="00DD48D4">
            <w:pPr>
              <w:pStyle w:val="aa"/>
              <w:ind w:leftChars="100" w:left="200"/>
              <w:jc w:val="both"/>
              <w:rPr>
                <w:sz w:val="21"/>
                <w:szCs w:val="21"/>
                <w:lang w:eastAsia="zh-CN"/>
              </w:rPr>
            </w:pPr>
            <w:r>
              <w:rPr>
                <w:sz w:val="21"/>
                <w:szCs w:val="21"/>
                <w:lang w:eastAsia="zh-CN"/>
              </w:rPr>
              <w:t>1) Option1 needs to take both RRC configuration and MAC-CE contents into consideration when determining the mode, it complicates the network and UE implementation. Also, it may cause dynamic change of the switching mode between 1Tx-2Tx vs 2Tx-2Tx via MAC-CE activating/deactivating SP-SRS.</w:t>
            </w:r>
          </w:p>
          <w:p w14:paraId="42C0AE85" w14:textId="77777777" w:rsidR="00DD48D4" w:rsidRDefault="00DD48D4" w:rsidP="00DD48D4">
            <w:pPr>
              <w:pStyle w:val="aa"/>
              <w:ind w:leftChars="100" w:left="200"/>
              <w:jc w:val="both"/>
              <w:rPr>
                <w:sz w:val="21"/>
                <w:szCs w:val="21"/>
                <w:lang w:eastAsia="zh-CN"/>
              </w:rPr>
            </w:pPr>
            <w:r>
              <w:rPr>
                <w:sz w:val="21"/>
                <w:szCs w:val="21"/>
                <w:lang w:eastAsia="zh-CN"/>
              </w:rPr>
              <w:t>2) Detailed timeline of Option1, e.g., if DCI scheduling PUSCH is received before the MAC-CE activating SP-SRS and the scheduled PUSCH is after the MAC-CE.</w:t>
            </w:r>
          </w:p>
          <w:p w14:paraId="74F40E56" w14:textId="77777777" w:rsidR="00DD48D4" w:rsidRDefault="00DD48D4" w:rsidP="00DD48D4">
            <w:pPr>
              <w:pStyle w:val="aa"/>
              <w:jc w:val="both"/>
              <w:rPr>
                <w:sz w:val="21"/>
                <w:szCs w:val="21"/>
                <w:lang w:eastAsia="zh-CN"/>
              </w:rPr>
            </w:pPr>
            <w:r>
              <w:rPr>
                <w:sz w:val="21"/>
                <w:szCs w:val="21"/>
                <w:lang w:eastAsia="zh-CN"/>
              </w:rPr>
              <w:lastRenderedPageBreak/>
              <w:t>One claimed concern Option2 is that, network has to avoid conflict configuration. However, this is always the case. Network has to avoid for any case for any WI. This should not be a showstopper of Option2.</w:t>
            </w:r>
          </w:p>
          <w:p w14:paraId="51D6FA45" w14:textId="77777777" w:rsidR="00DD48D4" w:rsidRDefault="00DD48D4" w:rsidP="00DD48D4">
            <w:pPr>
              <w:pStyle w:val="aa"/>
              <w:jc w:val="both"/>
              <w:rPr>
                <w:sz w:val="21"/>
                <w:szCs w:val="21"/>
                <w:lang w:eastAsia="zh-CN"/>
              </w:rPr>
            </w:pPr>
            <w:r>
              <w:rPr>
                <w:sz w:val="21"/>
                <w:szCs w:val="21"/>
                <w:lang w:eastAsia="zh-CN"/>
              </w:rPr>
              <w:t xml:space="preserve">Furthermore, according to the following guidance from RAN2 LS </w:t>
            </w:r>
            <w:r w:rsidRPr="007D6CD5">
              <w:rPr>
                <w:sz w:val="21"/>
                <w:szCs w:val="21"/>
                <w:lang w:eastAsia="zh-CN"/>
              </w:rPr>
              <w:t>R1-2001513</w:t>
            </w:r>
            <w:r>
              <w:rPr>
                <w:sz w:val="21"/>
                <w:szCs w:val="21"/>
                <w:lang w:eastAsia="zh-CN"/>
              </w:rPr>
              <w:t>/</w:t>
            </w:r>
            <w:r w:rsidRPr="007D6CD5">
              <w:rPr>
                <w:sz w:val="21"/>
                <w:szCs w:val="21"/>
                <w:lang w:eastAsia="zh-CN"/>
              </w:rPr>
              <w:t>R2-2002378</w:t>
            </w:r>
            <w:r>
              <w:rPr>
                <w:sz w:val="21"/>
                <w:szCs w:val="21"/>
                <w:lang w:eastAsia="zh-CN"/>
              </w:rPr>
              <w:t>, RAN1 should a</w:t>
            </w:r>
            <w:r w:rsidRPr="007D6CD5">
              <w:rPr>
                <w:sz w:val="21"/>
                <w:szCs w:val="21"/>
                <w:lang w:eastAsia="zh-CN"/>
              </w:rPr>
              <w:t>void defining functionality that has no RRC configuration but is dependent on capability bits.</w:t>
            </w:r>
            <w:r>
              <w:rPr>
                <w:sz w:val="21"/>
                <w:szCs w:val="21"/>
                <w:lang w:eastAsia="zh-CN"/>
              </w:rPr>
              <w:t xml:space="preserve"> Defining a RRC parameter to differentiate 1Tx-2Tx and 2Tx-2Tx is well aligned with RAN2’s guidance.</w:t>
            </w:r>
          </w:p>
          <w:tbl>
            <w:tblPr>
              <w:tblStyle w:val="af1"/>
              <w:tblW w:w="0" w:type="auto"/>
              <w:tblLook w:val="04A0" w:firstRow="1" w:lastRow="0" w:firstColumn="1" w:lastColumn="0" w:noHBand="0" w:noVBand="1"/>
            </w:tblPr>
            <w:tblGrid>
              <w:gridCol w:w="7201"/>
            </w:tblGrid>
            <w:tr w:rsidR="00DD48D4" w14:paraId="55F4B43B" w14:textId="77777777" w:rsidTr="00791934">
              <w:tc>
                <w:tcPr>
                  <w:tcW w:w="7201" w:type="dxa"/>
                </w:tcPr>
                <w:p w14:paraId="3F4BFAD0" w14:textId="77777777" w:rsidR="00DD48D4" w:rsidRPr="007D6CD5" w:rsidRDefault="00DD48D4" w:rsidP="00DD48D4">
                  <w:pPr>
                    <w:pStyle w:val="aa"/>
                    <w:jc w:val="both"/>
                    <w:rPr>
                      <w:b/>
                      <w:sz w:val="21"/>
                      <w:szCs w:val="21"/>
                      <w:lang w:eastAsia="zh-CN"/>
                    </w:rPr>
                  </w:pPr>
                  <w:r w:rsidRPr="007D6CD5">
                    <w:rPr>
                      <w:b/>
                      <w:sz w:val="21"/>
                      <w:szCs w:val="21"/>
                      <w:lang w:eastAsia="zh-CN"/>
                    </w:rPr>
                    <w:t xml:space="preserve">5 </w:t>
                  </w:r>
                  <w:r w:rsidRPr="007D6CD5">
                    <w:rPr>
                      <w:b/>
                      <w:sz w:val="21"/>
                      <w:szCs w:val="21"/>
                      <w:lang w:eastAsia="zh-CN"/>
                    </w:rPr>
                    <w:tab/>
                    <w:t>Avoid defining functionality that has no RRC configuration but is dependent on capability bits.</w:t>
                  </w:r>
                </w:p>
                <w:p w14:paraId="60E1DDEB" w14:textId="77777777" w:rsidR="00DD48D4" w:rsidRPr="007D6CD5" w:rsidRDefault="00DD48D4" w:rsidP="00DD48D4">
                  <w:pPr>
                    <w:pStyle w:val="aa"/>
                    <w:jc w:val="both"/>
                    <w:rPr>
                      <w:sz w:val="21"/>
                      <w:szCs w:val="21"/>
                      <w:lang w:eastAsia="zh-CN"/>
                    </w:rPr>
                  </w:pPr>
                  <w:r w:rsidRPr="007D6CD5">
                    <w:rPr>
                      <w:sz w:val="21"/>
                      <w:szCs w:val="21"/>
                      <w:lang w:eastAsia="zh-CN"/>
                    </w:rPr>
                    <w:t xml:space="preserve">The specification should not be written so that the network determines what configuration it can use for a UE implicitly by the reported UE capabilities. Instead, the </w:t>
                  </w:r>
                  <w:proofErr w:type="spellStart"/>
                  <w:r w:rsidRPr="007D6CD5">
                    <w:rPr>
                      <w:sz w:val="21"/>
                      <w:szCs w:val="21"/>
                      <w:lang w:eastAsia="zh-CN"/>
                    </w:rPr>
                    <w:t>gNB</w:t>
                  </w:r>
                  <w:proofErr w:type="spellEnd"/>
                  <w:r w:rsidRPr="007D6CD5">
                    <w:rPr>
                      <w:sz w:val="21"/>
                      <w:szCs w:val="21"/>
                      <w:lang w:eastAsia="zh-CN"/>
                    </w:rPr>
                    <w:t xml:space="preserve"> should always configure the UE explicitly by DL RRC signalling, </w:t>
                  </w:r>
                  <w:proofErr w:type="gramStart"/>
                  <w:r w:rsidRPr="007D6CD5">
                    <w:rPr>
                      <w:sz w:val="21"/>
                      <w:szCs w:val="21"/>
                      <w:lang w:eastAsia="zh-CN"/>
                    </w:rPr>
                    <w:t>respecting  the</w:t>
                  </w:r>
                  <w:proofErr w:type="gramEnd"/>
                  <w:r w:rsidRPr="007D6CD5">
                    <w:rPr>
                      <w:sz w:val="21"/>
                      <w:szCs w:val="21"/>
                      <w:lang w:eastAsia="zh-CN"/>
                    </w:rPr>
                    <w:t xml:space="preserve"> reported capabilities. </w:t>
                  </w:r>
                </w:p>
                <w:p w14:paraId="540B70D6" w14:textId="77777777" w:rsidR="00DD48D4" w:rsidRDefault="00DD48D4" w:rsidP="00DD48D4">
                  <w:pPr>
                    <w:pStyle w:val="aa"/>
                    <w:jc w:val="both"/>
                    <w:rPr>
                      <w:sz w:val="21"/>
                      <w:szCs w:val="21"/>
                      <w:lang w:eastAsia="zh-CN"/>
                    </w:rPr>
                  </w:pPr>
                  <w:r w:rsidRPr="007D6CD5">
                    <w:rPr>
                      <w:sz w:val="21"/>
                      <w:szCs w:val="21"/>
                      <w:lang w:eastAsia="zh-CN"/>
                    </w:rPr>
                    <w:t>A problematic case in Rel-15 was the UL/DL MIMO layers, which resulted in a late-stage introduction of explicit MIMO signalling support by RAN2 (</w:t>
                  </w:r>
                  <w:proofErr w:type="spellStart"/>
                  <w:r w:rsidRPr="007D6CD5">
                    <w:rPr>
                      <w:sz w:val="21"/>
                      <w:szCs w:val="21"/>
                      <w:lang w:eastAsia="zh-CN"/>
                    </w:rPr>
                    <w:t>maxLayersMIMO</w:t>
                  </w:r>
                  <w:proofErr w:type="spellEnd"/>
                  <w:r w:rsidRPr="007D6CD5">
                    <w:rPr>
                      <w:sz w:val="21"/>
                      <w:szCs w:val="21"/>
                      <w:lang w:eastAsia="zh-CN"/>
                    </w:rPr>
                    <w:t>-Indication).</w:t>
                  </w:r>
                </w:p>
              </w:tc>
            </w:tr>
          </w:tbl>
          <w:p w14:paraId="1F68CBE5" w14:textId="0675FDB4" w:rsidR="00DD48D4" w:rsidRDefault="00DD48D4" w:rsidP="00DD48D4">
            <w:pPr>
              <w:pStyle w:val="aa"/>
              <w:jc w:val="both"/>
              <w:rPr>
                <w:rFonts w:hint="eastAsia"/>
                <w:sz w:val="21"/>
                <w:szCs w:val="21"/>
                <w:lang w:eastAsia="zh-CN"/>
              </w:rPr>
            </w:pPr>
            <w:r w:rsidRPr="007D6CD5">
              <w:rPr>
                <w:sz w:val="21"/>
                <w:szCs w:val="21"/>
                <w:lang w:eastAsia="zh-CN"/>
              </w:rPr>
              <w:t xml:space="preserve"> </w:t>
            </w:r>
            <w:bookmarkStart w:id="4" w:name="_GoBack"/>
            <w:bookmarkEnd w:id="4"/>
          </w:p>
          <w:p w14:paraId="39C58602" w14:textId="1262C039" w:rsidR="00DD48D4" w:rsidRPr="006B59F9" w:rsidRDefault="00DD48D4" w:rsidP="00DD48D4">
            <w:pPr>
              <w:pStyle w:val="aa"/>
              <w:jc w:val="both"/>
              <w:rPr>
                <w:rFonts w:eastAsiaTheme="minorEastAsia"/>
                <w:lang w:eastAsia="zh-CN"/>
              </w:rPr>
            </w:pPr>
            <w:r>
              <w:rPr>
                <w:sz w:val="21"/>
                <w:szCs w:val="21"/>
                <w:lang w:eastAsia="zh-CN"/>
              </w:rPr>
              <w:t>At this stage, it is more appropriate to pick a clean solution with majority support, i.e., Option2.</w:t>
            </w:r>
          </w:p>
        </w:tc>
      </w:tr>
      <w:tr w:rsidR="00FE491D" w:rsidRPr="007264BD" w14:paraId="430C881D" w14:textId="77777777" w:rsidTr="002C69E3">
        <w:tc>
          <w:tcPr>
            <w:tcW w:w="2089" w:type="dxa"/>
            <w:shd w:val="clear" w:color="auto" w:fill="auto"/>
          </w:tcPr>
          <w:p w14:paraId="0A44B14A" w14:textId="5795A76F" w:rsidR="00FE491D" w:rsidRPr="007264BD" w:rsidRDefault="00FE491D" w:rsidP="00FE491D">
            <w:pPr>
              <w:pStyle w:val="aa"/>
              <w:jc w:val="both"/>
              <w:rPr>
                <w:sz w:val="21"/>
                <w:szCs w:val="21"/>
                <w:lang w:eastAsia="zh-CN"/>
              </w:rPr>
            </w:pPr>
          </w:p>
        </w:tc>
        <w:tc>
          <w:tcPr>
            <w:tcW w:w="7427" w:type="dxa"/>
            <w:shd w:val="clear" w:color="auto" w:fill="auto"/>
          </w:tcPr>
          <w:p w14:paraId="69F6FB1D" w14:textId="41D305E3" w:rsidR="00FE491D" w:rsidRPr="00F12F5C" w:rsidRDefault="00FE491D" w:rsidP="00FE491D">
            <w:pPr>
              <w:pStyle w:val="aa"/>
              <w:jc w:val="both"/>
              <w:rPr>
                <w:i/>
                <w:sz w:val="21"/>
                <w:szCs w:val="21"/>
                <w:lang w:eastAsia="zh-CN"/>
              </w:rPr>
            </w:pPr>
          </w:p>
        </w:tc>
      </w:tr>
    </w:tbl>
    <w:p w14:paraId="38F9175A" w14:textId="77777777" w:rsidR="00CE2DE3" w:rsidRDefault="00CE2DE3"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496B19">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proofErr w:type="spellStart"/>
      <w:r w:rsidRPr="00EA1795">
        <w:rPr>
          <w:i/>
          <w:iCs/>
          <w:color w:val="FF0000"/>
        </w:rPr>
        <w:t>nrofSRS</w:t>
      </w:r>
      <w:proofErr w:type="spellEnd"/>
      <w:r w:rsidRPr="00EA1795">
        <w:rPr>
          <w:i/>
          <w:iCs/>
          <w:color w:val="FF0000"/>
        </w:rPr>
        <w:t>-Ports</w:t>
      </w:r>
      <w:r w:rsidRPr="00EA1795">
        <w:rPr>
          <w:color w:val="FF0000"/>
          <w:sz w:val="21"/>
          <w:szCs w:val="21"/>
        </w:rPr>
        <w:t xml:space="preserve"> among the carriers on Band B is configured as 2 antenna ports and the state of </w:t>
      </w:r>
      <w:proofErr w:type="spellStart"/>
      <w:r w:rsidRPr="00EA1795">
        <w:rPr>
          <w:color w:val="FF0000"/>
          <w:sz w:val="21"/>
          <w:szCs w:val="21"/>
        </w:rPr>
        <w:t>Tx</w:t>
      </w:r>
      <w:proofErr w:type="spellEnd"/>
      <w:r w:rsidRPr="00EA1795">
        <w:rPr>
          <w:color w:val="FF0000"/>
          <w:sz w:val="21"/>
          <w:szCs w:val="21"/>
        </w:rPr>
        <w:t xml:space="preserve"> chains is 1 </w:t>
      </w:r>
      <w:proofErr w:type="spellStart"/>
      <w:r w:rsidRPr="00EA1795">
        <w:rPr>
          <w:color w:val="FF0000"/>
          <w:sz w:val="21"/>
          <w:szCs w:val="21"/>
        </w:rPr>
        <w:t>Tx</w:t>
      </w:r>
      <w:proofErr w:type="spellEnd"/>
      <w:r w:rsidRPr="00EA1795">
        <w:rPr>
          <w:color w:val="FF0000"/>
          <w:sz w:val="21"/>
          <w:szCs w:val="21"/>
        </w:rPr>
        <w:t xml:space="preserve">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496B19">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aa"/>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aa"/>
              <w:jc w:val="both"/>
              <w:rPr>
                <w:sz w:val="21"/>
                <w:szCs w:val="21"/>
                <w:lang w:eastAsia="zh-CN"/>
              </w:rPr>
            </w:pPr>
            <w:r>
              <w:rPr>
                <w:sz w:val="21"/>
                <w:szCs w:val="21"/>
                <w:lang w:eastAsia="zh-CN"/>
              </w:rPr>
              <w:t>We support Alt 1.</w:t>
            </w:r>
          </w:p>
          <w:p w14:paraId="3EB0011E" w14:textId="77777777" w:rsidR="00CD46CF" w:rsidRDefault="00CD46CF" w:rsidP="00CD46CF">
            <w:pPr>
              <w:pStyle w:val="aa"/>
              <w:rPr>
                <w:sz w:val="21"/>
                <w:szCs w:val="21"/>
                <w:lang w:eastAsia="zh-CN"/>
              </w:rPr>
            </w:pPr>
            <w:r>
              <w:rPr>
                <w:sz w:val="21"/>
                <w:szCs w:val="21"/>
                <w:lang w:eastAsia="zh-CN"/>
              </w:rPr>
              <w:t xml:space="preserve">This UL </w:t>
            </w:r>
            <w:proofErr w:type="spellStart"/>
            <w:r>
              <w:rPr>
                <w:sz w:val="21"/>
                <w:szCs w:val="21"/>
                <w:lang w:eastAsia="zh-CN"/>
              </w:rPr>
              <w:t>Tx</w:t>
            </w:r>
            <w:proofErr w:type="spellEnd"/>
            <w:r>
              <w:rPr>
                <w:sz w:val="21"/>
                <w:szCs w:val="21"/>
                <w:lang w:eastAsia="zh-CN"/>
              </w:rPr>
              <w:t xml:space="preserve">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 xml:space="preserve">when maximum </w:t>
            </w:r>
            <w:proofErr w:type="spellStart"/>
            <w:r w:rsidRPr="00467C87">
              <w:rPr>
                <w:sz w:val="21"/>
                <w:szCs w:val="21"/>
                <w:lang w:eastAsia="zh-CN"/>
              </w:rPr>
              <w:t>nrofSRS</w:t>
            </w:r>
            <w:proofErr w:type="spellEnd"/>
            <w:r w:rsidRPr="00467C87">
              <w:rPr>
                <w:sz w:val="21"/>
                <w:szCs w:val="21"/>
                <w:lang w:eastAsia="zh-CN"/>
              </w:rPr>
              <w:t xml:space="preserve">-Ports among the carriers on Band B is configured as 2 antenna ports and the state of </w:t>
            </w:r>
            <w:proofErr w:type="spellStart"/>
            <w:r w:rsidRPr="00467C87">
              <w:rPr>
                <w:sz w:val="21"/>
                <w:szCs w:val="21"/>
                <w:lang w:eastAsia="zh-CN"/>
              </w:rPr>
              <w:t>Tx</w:t>
            </w:r>
            <w:proofErr w:type="spellEnd"/>
            <w:r w:rsidRPr="00467C87">
              <w:rPr>
                <w:sz w:val="21"/>
                <w:szCs w:val="21"/>
                <w:lang w:eastAsia="zh-CN"/>
              </w:rPr>
              <w:t xml:space="preserve"> chains is 1 </w:t>
            </w:r>
            <w:proofErr w:type="spellStart"/>
            <w:r w:rsidRPr="00467C87">
              <w:rPr>
                <w:sz w:val="21"/>
                <w:szCs w:val="21"/>
                <w:lang w:eastAsia="zh-CN"/>
              </w:rPr>
              <w:lastRenderedPageBreak/>
              <w:t>Tx</w:t>
            </w:r>
            <w:proofErr w:type="spellEnd"/>
            <w:r w:rsidRPr="00467C87">
              <w:rPr>
                <w:sz w:val="21"/>
                <w:szCs w:val="21"/>
                <w:lang w:eastAsia="zh-CN"/>
              </w:rPr>
              <w:t xml:space="preserve"> on Band A and 1Tx on Band B</w:t>
            </w:r>
            <w:r>
              <w:rPr>
                <w:sz w:val="21"/>
                <w:szCs w:val="21"/>
                <w:lang w:eastAsia="zh-CN"/>
              </w:rPr>
              <w:t xml:space="preserve">” is the most critical issue, as </w:t>
            </w:r>
            <w:proofErr w:type="spellStart"/>
            <w:r>
              <w:rPr>
                <w:sz w:val="21"/>
                <w:szCs w:val="21"/>
                <w:lang w:eastAsia="zh-CN"/>
              </w:rPr>
              <w:t>gNB</w:t>
            </w:r>
            <w:proofErr w:type="spellEnd"/>
            <w:r>
              <w:rPr>
                <w:sz w:val="21"/>
                <w:szCs w:val="21"/>
                <w:lang w:eastAsia="zh-CN"/>
              </w:rPr>
              <w:t xml:space="preserve"> &amp; UE may interpret codebook as different </w:t>
            </w:r>
            <w:proofErr w:type="spellStart"/>
            <w:r>
              <w:rPr>
                <w:sz w:val="21"/>
                <w:szCs w:val="21"/>
                <w:lang w:eastAsia="zh-CN"/>
              </w:rPr>
              <w:t>Tx</w:t>
            </w:r>
            <w:proofErr w:type="spellEnd"/>
            <w:r>
              <w:rPr>
                <w:sz w:val="21"/>
                <w:szCs w:val="21"/>
                <w:lang w:eastAsia="zh-CN"/>
              </w:rPr>
              <w:t xml:space="preserve">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aa"/>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DD48D4" w:rsidRPr="007264BD" w14:paraId="1426F02C" w14:textId="77777777" w:rsidTr="00D51FCB">
        <w:tc>
          <w:tcPr>
            <w:tcW w:w="2074" w:type="dxa"/>
            <w:shd w:val="clear" w:color="auto" w:fill="auto"/>
          </w:tcPr>
          <w:p w14:paraId="5A5E071C" w14:textId="45C2B9DD" w:rsidR="00DD48D4" w:rsidRPr="007264BD" w:rsidRDefault="00DD48D4" w:rsidP="00DD48D4">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42" w:type="dxa"/>
            <w:shd w:val="clear" w:color="auto" w:fill="auto"/>
          </w:tcPr>
          <w:p w14:paraId="5A612B8D" w14:textId="77777777" w:rsidR="00DD48D4" w:rsidRDefault="00DD48D4" w:rsidP="00DD48D4">
            <w:pPr>
              <w:pStyle w:val="aa"/>
              <w:jc w:val="both"/>
              <w:rPr>
                <w:sz w:val="21"/>
                <w:szCs w:val="21"/>
                <w:lang w:eastAsia="zh-CN"/>
              </w:rPr>
            </w:pPr>
            <w:r>
              <w:rPr>
                <w:rFonts w:hint="eastAsia"/>
                <w:sz w:val="21"/>
                <w:szCs w:val="21"/>
                <w:lang w:eastAsia="zh-CN"/>
              </w:rPr>
              <w:t>W</w:t>
            </w:r>
            <w:r>
              <w:rPr>
                <w:sz w:val="21"/>
                <w:szCs w:val="21"/>
                <w:lang w:eastAsia="zh-CN"/>
              </w:rPr>
              <w:t>e support Alt.1.</w:t>
            </w:r>
          </w:p>
          <w:p w14:paraId="6443B295" w14:textId="5CD09903" w:rsidR="00DD48D4" w:rsidRPr="007264BD" w:rsidRDefault="00DD48D4" w:rsidP="00DD48D4">
            <w:pPr>
              <w:pStyle w:val="aa"/>
              <w:jc w:val="both"/>
              <w:rPr>
                <w:sz w:val="21"/>
                <w:szCs w:val="21"/>
                <w:lang w:eastAsia="zh-CN"/>
              </w:rPr>
            </w:pPr>
            <w:r>
              <w:rPr>
                <w:sz w:val="21"/>
                <w:szCs w:val="21"/>
                <w:lang w:eastAsia="zh-CN"/>
              </w:rPr>
              <w:t>This issue has been discussed for several meeting and was almost agreed in previous meetings. It would be good if we can converge on Alt.1.</w:t>
            </w: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aa"/>
              <w:jc w:val="both"/>
              <w:rPr>
                <w:sz w:val="21"/>
                <w:szCs w:val="21"/>
                <w:lang w:eastAsia="zh-CN"/>
              </w:rPr>
            </w:pPr>
          </w:p>
        </w:tc>
        <w:tc>
          <w:tcPr>
            <w:tcW w:w="7442" w:type="dxa"/>
            <w:shd w:val="clear" w:color="auto" w:fill="auto"/>
          </w:tcPr>
          <w:p w14:paraId="5E5A64F0" w14:textId="04271791" w:rsidR="00035952" w:rsidRPr="003442AF" w:rsidRDefault="00035952" w:rsidP="00035952">
            <w:pPr>
              <w:pStyle w:val="aa"/>
              <w:jc w:val="both"/>
              <w:rPr>
                <w:sz w:val="21"/>
                <w:szCs w:val="21"/>
                <w:lang w:eastAsia="zh-CN"/>
              </w:rPr>
            </w:pPr>
          </w:p>
        </w:tc>
      </w:tr>
    </w:tbl>
    <w:p w14:paraId="0FF85C50" w14:textId="77777777" w:rsidR="00926378" w:rsidRDefault="00926378" w:rsidP="003E2811">
      <w:pPr>
        <w:pStyle w:val="aa"/>
        <w:spacing w:beforeLines="50" w:before="120"/>
        <w:jc w:val="both"/>
        <w:rPr>
          <w:sz w:val="21"/>
          <w:szCs w:val="21"/>
          <w:lang w:eastAsia="zh-CN"/>
        </w:rPr>
      </w:pPr>
    </w:p>
    <w:p w14:paraId="66037DA4" w14:textId="52ABC54A" w:rsidR="00E33AC7" w:rsidRPr="00ED1D4E" w:rsidRDefault="00E33AC7" w:rsidP="00ED1D4E">
      <w:pPr>
        <w:pStyle w:val="2"/>
        <w:spacing w:line="240" w:lineRule="auto"/>
      </w:pPr>
      <w:r w:rsidRPr="00ED1D4E">
        <w:rPr>
          <w:rFonts w:hint="eastAsia"/>
        </w:rPr>
        <w:t>R</w:t>
      </w:r>
      <w:r w:rsidRPr="00ED1D4E">
        <w:t>RC parameters</w:t>
      </w:r>
    </w:p>
    <w:p w14:paraId="0D3839F5" w14:textId="508113E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 xml:space="preserve">the state of </w:t>
      </w:r>
      <w:proofErr w:type="spellStart"/>
      <w:r w:rsidR="00235789" w:rsidRPr="008215FC">
        <w:rPr>
          <w:sz w:val="21"/>
          <w:szCs w:val="21"/>
          <w:lang w:val="en-GB"/>
        </w:rPr>
        <w:t>Tx</w:t>
      </w:r>
      <w:proofErr w:type="spellEnd"/>
      <w:r w:rsidR="00235789" w:rsidRPr="008215FC">
        <w:rPr>
          <w:sz w:val="21"/>
          <w:szCs w:val="21"/>
          <w:lang w:val="en-GB"/>
        </w:rPr>
        <w:t xml:space="preserve"> chains after the UL </w:t>
      </w:r>
      <w:proofErr w:type="spellStart"/>
      <w:r w:rsidR="00235789" w:rsidRPr="008215FC">
        <w:rPr>
          <w:sz w:val="21"/>
          <w:szCs w:val="21"/>
          <w:lang w:val="en-GB"/>
        </w:rPr>
        <w:t>Tx</w:t>
      </w:r>
      <w:proofErr w:type="spellEnd"/>
      <w:r w:rsidR="00235789" w:rsidRPr="008215FC">
        <w:rPr>
          <w:sz w:val="21"/>
          <w:szCs w:val="21"/>
          <w:lang w:val="en-GB"/>
        </w:rPr>
        <w:t xml:space="preserve">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2F2E1D">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 xml:space="preserve">ndicate the state of chain if the state of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chains after the UL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aa"/>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EB3654">
        <w:tc>
          <w:tcPr>
            <w:tcW w:w="2088" w:type="dxa"/>
            <w:shd w:val="clear" w:color="auto" w:fill="auto"/>
          </w:tcPr>
          <w:p w14:paraId="717FF60A" w14:textId="77777777" w:rsidR="00BB5C81" w:rsidRPr="007264BD" w:rsidRDefault="00BB5C81" w:rsidP="00EB3654">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EB3654">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EB3654">
        <w:tc>
          <w:tcPr>
            <w:tcW w:w="2088" w:type="dxa"/>
            <w:shd w:val="clear" w:color="auto" w:fill="auto"/>
          </w:tcPr>
          <w:p w14:paraId="3F94206D" w14:textId="19718B0F" w:rsidR="00BB5C81" w:rsidRPr="007264BD" w:rsidRDefault="00B13E53" w:rsidP="00EB3654">
            <w:pPr>
              <w:pStyle w:val="aa"/>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EB3654">
            <w:pPr>
              <w:pStyle w:val="aa"/>
              <w:jc w:val="both"/>
              <w:rPr>
                <w:sz w:val="21"/>
                <w:szCs w:val="21"/>
                <w:lang w:eastAsia="zh-CN"/>
              </w:rPr>
            </w:pPr>
            <w:r>
              <w:rPr>
                <w:sz w:val="21"/>
                <w:szCs w:val="21"/>
                <w:lang w:eastAsia="zh-CN"/>
              </w:rPr>
              <w:t>We support FL’s recommendation.</w:t>
            </w:r>
          </w:p>
          <w:p w14:paraId="30ACD2E2" w14:textId="140FB969" w:rsidR="005F2EF6" w:rsidRPr="005B1EFE" w:rsidRDefault="007C1BAE" w:rsidP="00EB3654">
            <w:pPr>
              <w:pStyle w:val="aa"/>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DD48D4" w:rsidRPr="007264BD" w14:paraId="3BC94BFB" w14:textId="77777777" w:rsidTr="00EB3654">
        <w:tc>
          <w:tcPr>
            <w:tcW w:w="2088" w:type="dxa"/>
            <w:shd w:val="clear" w:color="auto" w:fill="auto"/>
          </w:tcPr>
          <w:p w14:paraId="67E022C8" w14:textId="24C63386" w:rsidR="00DD48D4" w:rsidRPr="007264BD" w:rsidRDefault="00DD48D4" w:rsidP="00DD48D4">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62B3591E" w14:textId="77777777" w:rsidR="00DD48D4" w:rsidRDefault="00DD48D4" w:rsidP="00DD48D4">
            <w:pPr>
              <w:pStyle w:val="aa"/>
              <w:jc w:val="both"/>
              <w:rPr>
                <w:sz w:val="21"/>
                <w:szCs w:val="21"/>
                <w:lang w:eastAsia="zh-CN"/>
              </w:rPr>
            </w:pPr>
            <w:r>
              <w:rPr>
                <w:rFonts w:hint="eastAsia"/>
                <w:sz w:val="21"/>
                <w:szCs w:val="21"/>
                <w:lang w:eastAsia="zh-CN"/>
              </w:rPr>
              <w:t>W</w:t>
            </w:r>
            <w:r>
              <w:rPr>
                <w:sz w:val="21"/>
                <w:szCs w:val="21"/>
                <w:lang w:eastAsia="zh-CN"/>
              </w:rPr>
              <w:t>e propose the following contents for the value range.</w:t>
            </w:r>
          </w:p>
          <w:p w14:paraId="156ED201" w14:textId="77777777" w:rsidR="00DD48D4" w:rsidRPr="00CF6C42" w:rsidRDefault="00DD48D4" w:rsidP="00DD48D4">
            <w:pPr>
              <w:pStyle w:val="aa"/>
              <w:jc w:val="both"/>
              <w:rPr>
                <w:b/>
                <w:sz w:val="21"/>
                <w:szCs w:val="21"/>
                <w:lang w:eastAsia="zh-CN"/>
              </w:rPr>
            </w:pPr>
            <w:r w:rsidRPr="00CF6C42">
              <w:rPr>
                <w:b/>
                <w:sz w:val="21"/>
                <w:szCs w:val="21"/>
                <w:lang w:eastAsia="zh-CN"/>
              </w:rPr>
              <w:t xml:space="preserve">Value range: </w:t>
            </w:r>
            <w:r w:rsidRPr="00CF6C42">
              <w:rPr>
                <w:b/>
                <w:i/>
                <w:sz w:val="21"/>
                <w:szCs w:val="21"/>
                <w:lang w:eastAsia="zh-CN"/>
              </w:rPr>
              <w:t>1T1T</w:t>
            </w:r>
            <w:r w:rsidRPr="00CF6C42">
              <w:rPr>
                <w:b/>
                <w:sz w:val="21"/>
                <w:szCs w:val="21"/>
                <w:lang w:eastAsia="zh-CN"/>
              </w:rPr>
              <w:t xml:space="preserve">, </w:t>
            </w:r>
            <w:r w:rsidRPr="00CF6C42">
              <w:rPr>
                <w:b/>
                <w:i/>
                <w:sz w:val="21"/>
                <w:szCs w:val="21"/>
                <w:lang w:eastAsia="zh-CN"/>
              </w:rPr>
              <w:t>0T2T</w:t>
            </w:r>
          </w:p>
          <w:p w14:paraId="577B3EBD" w14:textId="77777777" w:rsidR="00DD48D4" w:rsidRDefault="00DD48D4" w:rsidP="00DD48D4">
            <w:pPr>
              <w:pStyle w:val="aa"/>
              <w:ind w:leftChars="100" w:left="200"/>
              <w:jc w:val="both"/>
              <w:rPr>
                <w:sz w:val="21"/>
                <w:szCs w:val="21"/>
                <w:lang w:eastAsia="zh-CN"/>
              </w:rPr>
            </w:pPr>
            <w:r w:rsidRPr="00CF6C42">
              <w:rPr>
                <w:sz w:val="21"/>
                <w:szCs w:val="21"/>
                <w:lang w:eastAsia="zh-CN"/>
              </w:rPr>
              <w:lastRenderedPageBreak/>
              <w:t xml:space="preserve">When the UE transmitted 1-port or 2-port transmission on one carrier on one band followed by no transmission on this carrier and 1-port transmission on the other carrier on another band, </w:t>
            </w:r>
          </w:p>
          <w:p w14:paraId="2E22B25A" w14:textId="77777777" w:rsidR="00DD48D4" w:rsidRDefault="00DD48D4" w:rsidP="00DD48D4">
            <w:pPr>
              <w:pStyle w:val="aa"/>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1T1T</w:t>
            </w:r>
            <w:r w:rsidRPr="00CF6C42">
              <w:rPr>
                <w:color w:val="FF0000"/>
                <w:sz w:val="21"/>
                <w:szCs w:val="21"/>
                <w:lang w:eastAsia="zh-CN"/>
              </w:rPr>
              <w:t xml:space="preserve"> </w:t>
            </w:r>
            <w:r w:rsidRPr="00CF6C42">
              <w:rPr>
                <w:sz w:val="21"/>
                <w:szCs w:val="21"/>
                <w:lang w:eastAsia="zh-CN"/>
              </w:rPr>
              <w:t xml:space="preserve">for subsequent switching consideration the UE shall consider this as if 1-port transmission was transmitted on </w:t>
            </w:r>
            <w:r>
              <w:rPr>
                <w:sz w:val="21"/>
                <w:szCs w:val="21"/>
                <w:lang w:eastAsia="zh-CN"/>
              </w:rPr>
              <w:t>both uplinks</w:t>
            </w:r>
          </w:p>
          <w:p w14:paraId="0420EA6F" w14:textId="77777777" w:rsidR="00DD48D4" w:rsidRDefault="00DD48D4" w:rsidP="00DD48D4">
            <w:pPr>
              <w:pStyle w:val="aa"/>
              <w:ind w:leftChars="200" w:left="400"/>
              <w:jc w:val="both"/>
              <w:rPr>
                <w:sz w:val="21"/>
                <w:szCs w:val="21"/>
                <w:lang w:eastAsia="zh-CN"/>
              </w:rPr>
            </w:pPr>
            <w:proofErr w:type="gramStart"/>
            <w:r w:rsidRPr="00CF6C42">
              <w:rPr>
                <w:sz w:val="21"/>
                <w:szCs w:val="21"/>
                <w:lang w:eastAsia="zh-CN"/>
              </w:rPr>
              <w:t>if</w:t>
            </w:r>
            <w:proofErr w:type="gramEnd"/>
            <w:r w:rsidRPr="00CF6C42">
              <w:rPr>
                <w:sz w:val="21"/>
                <w:szCs w:val="21"/>
                <w:lang w:eastAsia="zh-CN"/>
              </w:rPr>
              <w:t xml:space="preserve"> the UE was configured with </w:t>
            </w:r>
            <w:r w:rsidRPr="00CF6C42">
              <w:rPr>
                <w:i/>
                <w:color w:val="FF0000"/>
                <w:sz w:val="21"/>
                <w:szCs w:val="21"/>
                <w:lang w:eastAsia="zh-CN"/>
              </w:rPr>
              <w:t>0T2T</w:t>
            </w:r>
            <w:r w:rsidRPr="00CF6C42">
              <w:rPr>
                <w:color w:val="FF0000"/>
                <w:sz w:val="21"/>
                <w:szCs w:val="21"/>
                <w:lang w:eastAsia="zh-CN"/>
              </w:rPr>
              <w:t xml:space="preserve"> </w:t>
            </w:r>
            <w:r w:rsidRPr="00CF6C42">
              <w:rPr>
                <w:sz w:val="21"/>
                <w:szCs w:val="21"/>
                <w:lang w:eastAsia="zh-CN"/>
              </w:rPr>
              <w:t>for subsequent switching consideration</w:t>
            </w:r>
            <w:r>
              <w:rPr>
                <w:sz w:val="21"/>
                <w:szCs w:val="21"/>
                <w:lang w:eastAsia="zh-CN"/>
              </w:rPr>
              <w:t xml:space="preserve">, </w:t>
            </w:r>
            <w:r w:rsidRPr="00CF6C42">
              <w:rPr>
                <w:sz w:val="21"/>
                <w:szCs w:val="21"/>
                <w:lang w:eastAsia="zh-CN"/>
              </w:rPr>
              <w:t>the UE shall consider this as if 2-port transmission took place on the transmitting carrier.</w:t>
            </w:r>
          </w:p>
          <w:p w14:paraId="1CA33231" w14:textId="7DCE5F97" w:rsidR="00DD48D4" w:rsidRPr="007264BD" w:rsidRDefault="00DD48D4" w:rsidP="00DD48D4">
            <w:pPr>
              <w:pStyle w:val="aa"/>
              <w:jc w:val="both"/>
              <w:rPr>
                <w:sz w:val="21"/>
                <w:szCs w:val="21"/>
                <w:lang w:eastAsia="zh-CN"/>
              </w:rPr>
            </w:pPr>
            <w:r w:rsidRPr="00CF6C42">
              <w:rPr>
                <w:rFonts w:hint="eastAsia"/>
                <w:b/>
                <w:sz w:val="21"/>
                <w:szCs w:val="21"/>
                <w:lang w:eastAsia="zh-CN"/>
              </w:rPr>
              <w:t>D</w:t>
            </w:r>
            <w:r w:rsidRPr="00CF6C42">
              <w:rPr>
                <w:b/>
                <w:sz w:val="21"/>
                <w:szCs w:val="21"/>
                <w:lang w:eastAsia="zh-CN"/>
              </w:rPr>
              <w:t xml:space="preserve">efault value could be </w:t>
            </w:r>
            <w:r w:rsidRPr="00CF6C42">
              <w:rPr>
                <w:b/>
                <w:i/>
                <w:sz w:val="21"/>
                <w:szCs w:val="21"/>
                <w:lang w:eastAsia="zh-CN"/>
              </w:rPr>
              <w:t>0T2T</w:t>
            </w:r>
            <w:r w:rsidRPr="00CF6C42">
              <w:rPr>
                <w:b/>
                <w:sz w:val="21"/>
                <w:szCs w:val="21"/>
                <w:lang w:eastAsia="zh-CN"/>
              </w:rPr>
              <w:t xml:space="preserve"> from our perspective.</w:t>
            </w:r>
          </w:p>
        </w:tc>
      </w:tr>
      <w:tr w:rsidR="00BB5C81" w:rsidRPr="007264BD" w14:paraId="5792AB6D" w14:textId="77777777" w:rsidTr="00EB3654">
        <w:tc>
          <w:tcPr>
            <w:tcW w:w="2088" w:type="dxa"/>
            <w:shd w:val="clear" w:color="auto" w:fill="auto"/>
          </w:tcPr>
          <w:p w14:paraId="3474AF48" w14:textId="77777777" w:rsidR="00BB5C81" w:rsidRPr="007264BD" w:rsidRDefault="00BB5C81" w:rsidP="00EB3654">
            <w:pPr>
              <w:pStyle w:val="aa"/>
              <w:jc w:val="both"/>
              <w:rPr>
                <w:sz w:val="21"/>
                <w:szCs w:val="21"/>
                <w:lang w:eastAsia="zh-CN"/>
              </w:rPr>
            </w:pPr>
          </w:p>
        </w:tc>
        <w:tc>
          <w:tcPr>
            <w:tcW w:w="7428" w:type="dxa"/>
            <w:shd w:val="clear" w:color="auto" w:fill="auto"/>
          </w:tcPr>
          <w:p w14:paraId="7B75217D" w14:textId="77777777" w:rsidR="00BB5C81" w:rsidRPr="007264BD" w:rsidRDefault="00BB5C81" w:rsidP="00EB3654">
            <w:pPr>
              <w:pStyle w:val="aa"/>
              <w:jc w:val="both"/>
              <w:rPr>
                <w:sz w:val="21"/>
                <w:szCs w:val="21"/>
                <w:lang w:eastAsia="zh-CN"/>
              </w:rPr>
            </w:pPr>
          </w:p>
        </w:tc>
      </w:tr>
    </w:tbl>
    <w:p w14:paraId="30C7478B" w14:textId="77777777" w:rsidR="00BB5C81" w:rsidRDefault="00BB5C81"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C06112">
      <w:pPr>
        <w:pStyle w:val="aa"/>
        <w:numPr>
          <w:ilvl w:val="0"/>
          <w:numId w:val="28"/>
        </w:numPr>
        <w:spacing w:beforeLines="50" w:before="120"/>
        <w:jc w:val="both"/>
        <w:rPr>
          <w:sz w:val="21"/>
          <w:szCs w:val="21"/>
          <w:lang w:eastAsia="zh-CN"/>
        </w:rPr>
      </w:pPr>
      <w:r w:rsidRPr="004E2EA9">
        <w:rPr>
          <w:sz w:val="21"/>
          <w:szCs w:val="21"/>
          <w:lang w:eastAsia="zh-CN"/>
        </w:rPr>
        <w:t xml:space="preserve">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03DF1EF9" w14:textId="77777777" w:rsidR="00C06112" w:rsidRPr="004E2EA9" w:rsidRDefault="00C06112" w:rsidP="00C06112">
      <w:pPr>
        <w:pStyle w:val="aa"/>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21B3E8BC" w14:textId="77777777" w:rsidR="00C06112" w:rsidRPr="004E2EA9" w:rsidRDefault="00C06112" w:rsidP="00C06112">
      <w:pPr>
        <w:pStyle w:val="aa"/>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aa"/>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lastRenderedPageBreak/>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a"/>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03CB229E" w14:textId="77777777" w:rsidR="000534B8" w:rsidRPr="000C2A33" w:rsidRDefault="000534B8" w:rsidP="00020368">
      <w:pPr>
        <w:pStyle w:val="aa"/>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a"/>
        <w:numPr>
          <w:ilvl w:val="1"/>
          <w:numId w:val="28"/>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a"/>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2087474A" w14:textId="77777777" w:rsidR="000534B8" w:rsidRPr="000C2A33" w:rsidRDefault="000534B8" w:rsidP="00020368">
      <w:pPr>
        <w:pStyle w:val="aa"/>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9"/>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9"/>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9"/>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a"/>
        <w:numPr>
          <w:ilvl w:val="0"/>
          <w:numId w:val="29"/>
        </w:numPr>
        <w:spacing w:beforeLines="50" w:before="120"/>
        <w:jc w:val="both"/>
        <w:rPr>
          <w:sz w:val="21"/>
          <w:szCs w:val="21"/>
          <w:lang w:eastAsia="zh-CN"/>
        </w:rPr>
      </w:pPr>
      <w:r w:rsidRPr="00440609">
        <w:rPr>
          <w:b/>
          <w:sz w:val="21"/>
          <w:szCs w:val="21"/>
          <w:lang w:val="en-US" w:eastAsia="zh-CN"/>
        </w:rPr>
        <w:lastRenderedPageBreak/>
        <w:t xml:space="preserve">For a UE configured with UL </w:t>
      </w:r>
      <w:proofErr w:type="spellStart"/>
      <w:proofErr w:type="gramStart"/>
      <w:r w:rsidRPr="00440609">
        <w:rPr>
          <w:b/>
          <w:sz w:val="21"/>
          <w:szCs w:val="21"/>
          <w:lang w:val="en-US" w:eastAsia="zh-CN"/>
        </w:rPr>
        <w:t>Tx</w:t>
      </w:r>
      <w:proofErr w:type="spellEnd"/>
      <w:proofErr w:type="gram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9"/>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a"/>
        <w:numPr>
          <w:ilvl w:val="0"/>
          <w:numId w:val="27"/>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020368">
      <w:pPr>
        <w:pStyle w:val="aa"/>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a"/>
        <w:numPr>
          <w:ilvl w:val="0"/>
          <w:numId w:val="20"/>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
    </w:p>
    <w:p w14:paraId="5012F876" w14:textId="7C4FE99F"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
    </w:p>
    <w:p w14:paraId="20C266C2" w14:textId="14BC5253" w:rsidR="002B186D" w:rsidRPr="00AA0C59" w:rsidRDefault="002B186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w:t>
      </w:r>
      <w:proofErr w:type="spellStart"/>
      <w:proofErr w:type="gramStart"/>
      <w:r w:rsidR="007F4BDD" w:rsidRPr="00AA0C59">
        <w:rPr>
          <w:lang w:eastAsia="zh-CN"/>
        </w:rPr>
        <w:t>Tx</w:t>
      </w:r>
      <w:proofErr w:type="spellEnd"/>
      <w:proofErr w:type="gramEnd"/>
      <w:r w:rsidR="007F4BDD" w:rsidRPr="00AA0C59">
        <w:rPr>
          <w:lang w:eastAsia="zh-CN"/>
        </w:rPr>
        <w:t xml:space="preserve"> switching, </w:t>
      </w:r>
      <w:r w:rsidR="007F4BDD" w:rsidRPr="00AA0C59">
        <w:rPr>
          <w:rFonts w:hint="eastAsia"/>
          <w:lang w:eastAsia="zh-CN"/>
        </w:rPr>
        <w:t xml:space="preserve">Huawei, </w:t>
      </w:r>
      <w:proofErr w:type="spellStart"/>
      <w:r w:rsidR="007F4BDD" w:rsidRPr="00AA0C59">
        <w:rPr>
          <w:rFonts w:hint="eastAsia"/>
          <w:lang w:eastAsia="zh-CN"/>
        </w:rPr>
        <w:t>HiSilicon</w:t>
      </w:r>
      <w:proofErr w:type="spellEnd"/>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lastRenderedPageBreak/>
        <w:t>R</w:t>
      </w:r>
      <w:r w:rsidRPr="00AA0C59">
        <w:rPr>
          <w:lang w:eastAsia="zh-CN"/>
        </w:rPr>
        <w:t xml:space="preserve">1-2110904, Remaining issues for Rel-17 UL </w:t>
      </w:r>
      <w:proofErr w:type="spellStart"/>
      <w:r w:rsidRPr="00AA0C59">
        <w:rPr>
          <w:lang w:eastAsia="zh-CN"/>
        </w:rPr>
        <w:t>Tx</w:t>
      </w:r>
      <w:proofErr w:type="spellEnd"/>
      <w:r w:rsidRPr="00AA0C59">
        <w:rPr>
          <w:lang w:eastAsia="zh-CN"/>
        </w:rPr>
        <w:t xml:space="preserve">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R1-2110972, Remaining issues on Rel-17 </w:t>
      </w:r>
      <w:proofErr w:type="spellStart"/>
      <w:r w:rsidRPr="00AA0C59">
        <w:rPr>
          <w:lang w:eastAsia="zh-CN"/>
        </w:rPr>
        <w:t>Tx</w:t>
      </w:r>
      <w:proofErr w:type="spellEnd"/>
      <w:r w:rsidRPr="00AA0C59">
        <w:rPr>
          <w:lang w:eastAsia="zh-CN"/>
        </w:rPr>
        <w:t xml:space="preserve">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 xml:space="preserve">iscussion on Rel-17 </w:t>
      </w:r>
      <w:proofErr w:type="spellStart"/>
      <w:proofErr w:type="gramStart"/>
      <w:r w:rsidRPr="00AA0C59">
        <w:rPr>
          <w:lang w:eastAsia="zh-CN"/>
        </w:rPr>
        <w:t>Tx</w:t>
      </w:r>
      <w:proofErr w:type="spellEnd"/>
      <w:proofErr w:type="gramEnd"/>
      <w:r w:rsidRPr="00AA0C59">
        <w:rPr>
          <w:lang w:eastAsia="zh-CN"/>
        </w:rPr>
        <w:t xml:space="preserve">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 xml:space="preserve">1-2111933, Discussion on the remaining problems of supporting </w:t>
      </w:r>
      <w:proofErr w:type="spellStart"/>
      <w:r w:rsidRPr="00AA0C59">
        <w:rPr>
          <w:lang w:eastAsia="zh-CN"/>
        </w:rPr>
        <w:t>Tx</w:t>
      </w:r>
      <w:proofErr w:type="spellEnd"/>
      <w:r w:rsidRPr="00AA0C59">
        <w:rPr>
          <w:lang w:eastAsia="zh-CN"/>
        </w:rPr>
        <w:t xml:space="preserve"> switching between two uplink carriers, Huawei, </w:t>
      </w:r>
      <w:proofErr w:type="spellStart"/>
      <w:r w:rsidRPr="00AA0C59">
        <w:rPr>
          <w:lang w:eastAsia="zh-CN"/>
        </w:rPr>
        <w:t>HiSilicon</w:t>
      </w:r>
      <w:proofErr w:type="spellEnd"/>
      <w:r w:rsidRPr="00AA0C59">
        <w:rPr>
          <w:lang w:eastAsia="zh-CN"/>
        </w:rPr>
        <w:t>, RAN1 #107-e, November 11th – 19th, 2021</w:t>
      </w:r>
    </w:p>
    <w:p w14:paraId="6D82AECE" w14:textId="57BA1775" w:rsidR="00D913BB" w:rsidRPr="00AA0C59" w:rsidRDefault="007B3078" w:rsidP="004D36B3">
      <w:pPr>
        <w:pStyle w:val="20"/>
        <w:numPr>
          <w:ilvl w:val="0"/>
          <w:numId w:val="11"/>
        </w:numPr>
        <w:overflowPunct/>
        <w:autoSpaceDE/>
        <w:autoSpaceDN/>
        <w:adjustRightInd/>
        <w:spacing w:before="180" w:after="0" w:line="240" w:lineRule="auto"/>
        <w:jc w:val="both"/>
        <w:textAlignment w:val="auto"/>
      </w:pPr>
      <w:r w:rsidRPr="00AA0C59">
        <w:rPr>
          <w:lang w:eastAsia="zh-CN"/>
        </w:rPr>
        <w:t xml:space="preserve">R1-2112188, Discussion on Rel-17 UL </w:t>
      </w:r>
      <w:proofErr w:type="spellStart"/>
      <w:r w:rsidRPr="00AA0C59">
        <w:rPr>
          <w:lang w:eastAsia="zh-CN"/>
        </w:rPr>
        <w:t>Tx</w:t>
      </w:r>
      <w:proofErr w:type="spellEnd"/>
      <w:r w:rsidRPr="00AA0C59">
        <w:rPr>
          <w:lang w:eastAsia="zh-CN"/>
        </w:rPr>
        <w:t xml:space="preserve">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20"/>
        <w:numPr>
          <w:ilvl w:val="0"/>
          <w:numId w:val="11"/>
        </w:numPr>
        <w:overflowPunct/>
        <w:autoSpaceDE/>
        <w:autoSpaceDN/>
        <w:adjustRightInd/>
        <w:spacing w:before="156" w:after="0" w:line="240" w:lineRule="auto"/>
        <w:jc w:val="both"/>
        <w:textAlignment w:val="auto"/>
      </w:pPr>
      <w:bookmarkStart w:id="7"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7"/>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EACEF" w14:textId="77777777" w:rsidR="00266EA2" w:rsidRDefault="00266EA2">
      <w:pPr>
        <w:spacing w:after="0" w:line="240" w:lineRule="auto"/>
      </w:pPr>
      <w:r>
        <w:separator/>
      </w:r>
    </w:p>
  </w:endnote>
  <w:endnote w:type="continuationSeparator" w:id="0">
    <w:p w14:paraId="402144F1" w14:textId="77777777" w:rsidR="00266EA2" w:rsidRDefault="0026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BE26140" w:rsidR="003F7FAE" w:rsidRDefault="003F7FA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4AA6">
      <w:rPr>
        <w:rFonts w:ascii="Arial" w:hAnsi="Arial" w:cs="Arial"/>
        <w:b/>
        <w:noProof/>
        <w:sz w:val="18"/>
        <w:szCs w:val="18"/>
      </w:rPr>
      <w:t>11</w:t>
    </w:r>
    <w:r>
      <w:rPr>
        <w:rFonts w:ascii="Arial" w:hAnsi="Arial" w:cs="Arial"/>
        <w:b/>
        <w:sz w:val="18"/>
        <w:szCs w:val="18"/>
      </w:rPr>
      <w:fldChar w:fldCharType="end"/>
    </w:r>
  </w:p>
  <w:p w14:paraId="0ABDEC68" w14:textId="77777777" w:rsidR="003F7FAE" w:rsidRDefault="003F7FAE">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383D3" w14:textId="77777777" w:rsidR="00266EA2" w:rsidRDefault="00266EA2">
      <w:pPr>
        <w:spacing w:after="0" w:line="240" w:lineRule="auto"/>
      </w:pPr>
      <w:r>
        <w:separator/>
      </w:r>
    </w:p>
  </w:footnote>
  <w:footnote w:type="continuationSeparator" w:id="0">
    <w:p w14:paraId="6E9D82A3" w14:textId="77777777" w:rsidR="00266EA2" w:rsidRDefault="00266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 w:numId="46">
    <w:abstractNumId w:val="10"/>
  </w:num>
  <w:num w:numId="47">
    <w:abstractNumId w:val="10"/>
  </w:num>
  <w:num w:numId="48">
    <w:abstractNumId w:val="25"/>
  </w:num>
  <w:num w:numId="49">
    <w:abstractNumId w:val="25"/>
  </w:num>
  <w:num w:numId="5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02A"/>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4E8D759-6A42-40BB-881D-6A467ACC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25</TotalTime>
  <Pages>11</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17</cp:revision>
  <cp:lastPrinted>2004-04-14T09:17:00Z</cp:lastPrinted>
  <dcterms:created xsi:type="dcterms:W3CDTF">2021-11-11T15:01:00Z</dcterms:created>
  <dcterms:modified xsi:type="dcterms:W3CDTF">2021-11-12T21:00:00Z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(3)qtXGgMZISISGyV7PFigQjkUzd+LTYmbu45PFarN9dDy+eRyyvz4mAANuYrlX8vZUP+sGxbea
Oo+Te5SxSugTvOjVs6gtLDVpQb7S9lS37mbMgb0O+qCIQZ+q7usKPtppHkXejiJmPmikj3Uh
Wc9O9NMhZkZOH0ApTJPBH4i7OQ7aUKegZyxI2v2feZAfgmGOb68XJ1IVBkFpexpSkHCyt16Q
Saj9k6067fbYUi8LU1</vt:lpwstr>
  </property>
  <property fmtid="{D5CDD505-2E9C-101B-9397-08002B2CF9AE}" pid="3" name="_2015_ms_pID_7253431">
    <vt:lpwstr>FPfVBJ+SVlmLTAQqp+3c+z3I+bX22+ozbnRGcQBJX6li9G7bHY8+w3
RNB6Gt7XH3qvd8aGY1Ye2ush2jWmCC8rnSXd/Z5Kv1snEeCBfsRK88y1+O4aRZThXN20yhcu
EBYkSa8ijbS+uBmB6DyWB5b8vDXU4byzZ9vNQBcu18ArDnQc73LccCNMA4x80cGcQeJmd8SW
PQrjK21X8q1Ve4dfYxZJFu8x4tV0I+F9sRYz</vt:lpwstr>
  </property>
  <property fmtid="{D5CDD505-2E9C-101B-9397-08002B2CF9AE}" pid="4" name="KSOProductBuildVer">
    <vt:lpwstr>2052-11.8.2.9022</vt:lpwstr>
  </property>
  <property fmtid="{D5CDD505-2E9C-101B-9397-08002B2CF9AE}" pid="5" name="_2015_ms_pID_7253432">
    <vt:lpwstr>6g==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