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2641E29A"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-e-NR-R17-TxSwitching-01] Email discussion on RAN1 Aspects for RF requirements for NR frequency range 1 (FR1) – Jianchi (China Telecom)</w:t>
      </w:r>
    </w:p>
    <w:p w14:paraId="01D9C1A1" w14:textId="77777777" w:rsidR="00CB77F7" w:rsidRPr="0012481F"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Including any Rel-17 RRC signalling aspects</w:t>
      </w:r>
    </w:p>
    <w:p w14:paraId="19E5E966"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6B6E69">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upport: Huawei, H</w:t>
      </w:r>
      <w:r w:rsidRPr="000766B1">
        <w:rPr>
          <w:sz w:val="21"/>
          <w:szCs w:val="21"/>
          <w:highlight w:val="cyan"/>
          <w:lang w:val="en-GB" w:eastAsia="zh-CN"/>
        </w:rPr>
        <w:t>iSilicon</w:t>
      </w:r>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A23CCD">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A23CCD">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r w:rsidRPr="00430912">
        <w:rPr>
          <w:rFonts w:ascii="Times New Roman" w:hAnsi="Times New Roman" w:hint="eastAsia"/>
          <w:color w:val="FF0000"/>
          <w:sz w:val="21"/>
          <w:szCs w:val="21"/>
          <w:lang w:val="en-GB" w:eastAsia="zh-CN"/>
        </w:rPr>
        <w:t>gNB would not configure 1Tx-2Tx mode where the assumed 1Tx CC is also configured with non-codebook based MIMO.</w:t>
      </w:r>
    </w:p>
    <w:p w14:paraId="2D0D427F" w14:textId="77777777" w:rsidR="00A23CCD" w:rsidRPr="00430912" w:rsidRDefault="00A23CCD" w:rsidP="00A23CCD">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0BCDB39" w14:textId="77777777" w:rsidR="00A23CCD" w:rsidRPr="00430912" w:rsidRDefault="00A23CCD" w:rsidP="00A23CCD">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57440AE8" w:rsidR="00CE2DE3" w:rsidRPr="007264BD" w:rsidRDefault="00804B2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0815DAB8" w14:textId="6D7B8AA1" w:rsidR="00CE2DE3" w:rsidRDefault="00804B2C" w:rsidP="00BD1AB2">
            <w:pPr>
              <w:pStyle w:val="BodyText"/>
              <w:jc w:val="both"/>
              <w:rPr>
                <w:sz w:val="21"/>
                <w:szCs w:val="21"/>
                <w:lang w:eastAsia="zh-CN"/>
              </w:rPr>
            </w:pPr>
            <w:r>
              <w:rPr>
                <w:sz w:val="21"/>
                <w:szCs w:val="21"/>
                <w:lang w:eastAsia="zh-CN"/>
              </w:rPr>
              <w:t>We support Option 2</w:t>
            </w:r>
            <w:r w:rsidR="00184B3B">
              <w:rPr>
                <w:sz w:val="21"/>
                <w:szCs w:val="21"/>
                <w:lang w:eastAsia="zh-CN"/>
              </w:rPr>
              <w:t xml:space="preserve"> </w:t>
            </w:r>
            <w:r w:rsidR="00463FC2">
              <w:rPr>
                <w:sz w:val="21"/>
                <w:szCs w:val="21"/>
                <w:lang w:eastAsia="zh-CN"/>
              </w:rPr>
              <w:t xml:space="preserve">which </w:t>
            </w:r>
            <w:r w:rsidR="00BA146C">
              <w:rPr>
                <w:sz w:val="21"/>
                <w:szCs w:val="21"/>
                <w:lang w:eastAsia="zh-CN"/>
              </w:rPr>
              <w:t xml:space="preserve">provides a </w:t>
            </w:r>
            <w:r w:rsidR="00463FC2">
              <w:rPr>
                <w:sz w:val="21"/>
                <w:szCs w:val="21"/>
                <w:lang w:eastAsia="zh-CN"/>
              </w:rPr>
              <w:t xml:space="preserve">clear way to indicate the switching mode. Meanwhile, </w:t>
            </w:r>
            <w:r w:rsidR="00184B3B">
              <w:rPr>
                <w:sz w:val="21"/>
                <w:szCs w:val="21"/>
                <w:lang w:eastAsia="zh-CN"/>
              </w:rPr>
              <w:t>we think Option 1 is with following issues.</w:t>
            </w:r>
          </w:p>
          <w:p w14:paraId="4156E688" w14:textId="77777777" w:rsidR="004F4EFB" w:rsidRDefault="004F4EFB" w:rsidP="004F4EFB">
            <w:pPr>
              <w:pStyle w:val="ListParagraph"/>
              <w:numPr>
                <w:ilvl w:val="0"/>
                <w:numId w:val="36"/>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bookmarkStart w:id="3" w:name="OLE_LINK10"/>
            <w:r w:rsidRPr="004F4EFB">
              <w:rPr>
                <w:rFonts w:ascii="Times New Roman" w:hAnsi="Times New Roman"/>
                <w:sz w:val="21"/>
                <w:szCs w:val="21"/>
                <w:lang w:val="en-US" w:eastAsia="zh-CN"/>
              </w:rPr>
              <w:t>noncodebook</w:t>
            </w:r>
            <w:bookmarkEnd w:id="3"/>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3DD6CC8B" w14:textId="6810F867" w:rsidR="004F4EFB" w:rsidRPr="004F4EFB" w:rsidRDefault="004F4EFB" w:rsidP="004F4EFB">
            <w:pPr>
              <w:pStyle w:val="ListParagraph"/>
              <w:numPr>
                <w:ilvl w:val="0"/>
                <w:numId w:val="36"/>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 xml:space="preserve">The frequency for switching mode determination. Our understanding is this should be at least a RRC message </w:t>
            </w:r>
            <w:r w:rsidR="00AC229C" w:rsidRPr="004F4EFB">
              <w:rPr>
                <w:rFonts w:ascii="Times New Roman" w:hAnsi="Times New Roman"/>
                <w:sz w:val="21"/>
                <w:szCs w:val="21"/>
                <w:lang w:val="en-US" w:eastAsia="zh-CN"/>
              </w:rPr>
              <w:t>circle</w:t>
            </w:r>
            <w:r w:rsidRPr="004F4EFB">
              <w:rPr>
                <w:rFonts w:ascii="Times New Roman" w:hAnsi="Times New Roman"/>
                <w:sz w:val="21"/>
                <w:szCs w:val="21"/>
                <w:lang w:val="en-US" w:eastAsia="zh-CN"/>
              </w:rPr>
              <w:t>, and therefore a new RRC IE as in Option 2 could serve this purpose very well. However, the current option 1 may have smaller time period as number of antenna ports could be changed/configured with MAC-CE</w:t>
            </w:r>
            <w:r w:rsidR="009A6A26">
              <w:rPr>
                <w:rFonts w:ascii="Times New Roman" w:hAnsi="Times New Roman"/>
                <w:sz w:val="21"/>
                <w:szCs w:val="21"/>
                <w:lang w:val="en-US" w:eastAsia="zh-CN"/>
              </w:rPr>
              <w:t>.</w:t>
            </w:r>
          </w:p>
          <w:p w14:paraId="7471C1DE" w14:textId="77777777" w:rsidR="004F4EFB" w:rsidRDefault="004F4EFB" w:rsidP="004F4EFB">
            <w:pPr>
              <w:pStyle w:val="BodyText"/>
              <w:numPr>
                <w:ilvl w:val="0"/>
                <w:numId w:val="36"/>
              </w:numPr>
              <w:spacing w:line="240" w:lineRule="auto"/>
              <w:jc w:val="both"/>
              <w:rPr>
                <w:sz w:val="21"/>
                <w:szCs w:val="21"/>
                <w:lang w:eastAsia="zh-CN"/>
              </w:rPr>
            </w:pPr>
            <w:r>
              <w:rPr>
                <w:sz w:val="21"/>
                <w:szCs w:val="21"/>
                <w:lang w:eastAsia="zh-CN"/>
              </w:rPr>
              <w:t xml:space="preserve">Option 1 only checks the SRS antenna port number which might NOT fully reveal the Tx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Tx and thus implement shorter switching time. </w:t>
            </w:r>
          </w:p>
          <w:p w14:paraId="343B9423" w14:textId="056B7FE3" w:rsidR="00804B2C" w:rsidRPr="007264BD" w:rsidRDefault="00804B2C" w:rsidP="00BD1AB2">
            <w:pPr>
              <w:pStyle w:val="BodyText"/>
              <w:jc w:val="both"/>
              <w:rPr>
                <w:sz w:val="21"/>
                <w:szCs w:val="21"/>
                <w:lang w:eastAsia="zh-CN"/>
              </w:rPr>
            </w:pPr>
          </w:p>
        </w:tc>
      </w:tr>
      <w:tr w:rsidR="00D51FCB" w:rsidRPr="007264BD" w14:paraId="69B2C6C7" w14:textId="77777777" w:rsidTr="00CC13EE">
        <w:tc>
          <w:tcPr>
            <w:tcW w:w="2089" w:type="dxa"/>
            <w:shd w:val="clear" w:color="auto" w:fill="auto"/>
          </w:tcPr>
          <w:p w14:paraId="138C286F" w14:textId="56E24738" w:rsidR="00D51FCB" w:rsidRPr="007264BD" w:rsidRDefault="00D51FCB" w:rsidP="00CC13EE">
            <w:pPr>
              <w:pStyle w:val="BodyText"/>
              <w:jc w:val="both"/>
              <w:rPr>
                <w:sz w:val="21"/>
                <w:szCs w:val="21"/>
                <w:lang w:eastAsia="zh-CN"/>
              </w:rPr>
            </w:pPr>
          </w:p>
        </w:tc>
        <w:tc>
          <w:tcPr>
            <w:tcW w:w="7427" w:type="dxa"/>
            <w:shd w:val="clear" w:color="auto" w:fill="auto"/>
          </w:tcPr>
          <w:p w14:paraId="39C58602" w14:textId="05959784" w:rsidR="00D51FCB" w:rsidRPr="006B59F9" w:rsidRDefault="00D51FCB" w:rsidP="00CC13EE">
            <w:pPr>
              <w:pStyle w:val="BodyText"/>
              <w:jc w:val="both"/>
              <w:rPr>
                <w:rFonts w:eastAsiaTheme="minorEastAsia"/>
                <w:lang w:eastAsia="zh-CN"/>
              </w:rPr>
            </w:pPr>
          </w:p>
        </w:tc>
      </w:tr>
      <w:tr w:rsidR="00FE491D" w:rsidRPr="007264BD" w14:paraId="430C881D" w14:textId="77777777" w:rsidTr="002C69E3">
        <w:tc>
          <w:tcPr>
            <w:tcW w:w="2089" w:type="dxa"/>
            <w:shd w:val="clear" w:color="auto" w:fill="auto"/>
          </w:tcPr>
          <w:p w14:paraId="0A44B14A" w14:textId="5795A76F" w:rsidR="00FE491D" w:rsidRPr="007264BD" w:rsidRDefault="00FE491D" w:rsidP="00FE491D">
            <w:pPr>
              <w:pStyle w:val="BodyText"/>
              <w:jc w:val="both"/>
              <w:rPr>
                <w:sz w:val="21"/>
                <w:szCs w:val="21"/>
                <w:lang w:eastAsia="zh-CN"/>
              </w:rPr>
            </w:pPr>
          </w:p>
        </w:tc>
        <w:tc>
          <w:tcPr>
            <w:tcW w:w="7427" w:type="dxa"/>
            <w:shd w:val="clear" w:color="auto" w:fill="auto"/>
          </w:tcPr>
          <w:p w14:paraId="69F6FB1D" w14:textId="41D305E3" w:rsidR="00FE491D" w:rsidRPr="00F12F5C" w:rsidRDefault="00FE491D" w:rsidP="00FE491D">
            <w:pPr>
              <w:pStyle w:val="BodyText"/>
              <w:jc w:val="both"/>
              <w:rPr>
                <w:i/>
                <w:sz w:val="21"/>
                <w:szCs w:val="21"/>
                <w:lang w:eastAsia="zh-CN"/>
              </w:rPr>
            </w:pPr>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lastRenderedPageBreak/>
        <w:t xml:space="preserve">Alt 1: </w:t>
      </w:r>
    </w:p>
    <w:p w14:paraId="00DA2FF7" w14:textId="77777777" w:rsidR="00496B19" w:rsidRPr="002F38DD" w:rsidRDefault="00496B19" w:rsidP="00496B19">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r w:rsidRPr="00EA1795">
        <w:rPr>
          <w:i/>
          <w:iCs/>
          <w:color w:val="FF0000"/>
        </w:rPr>
        <w:t>nrofSRS-Ports</w:t>
      </w:r>
      <w:r w:rsidRPr="00EA1795">
        <w:rPr>
          <w:color w:val="FF0000"/>
          <w:sz w:val="21"/>
          <w:szCs w:val="21"/>
        </w:rPr>
        <w:t> among the carriers on Band B is configured as 2 antenna ports and the state of Tx chains is 1 Tx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496B19">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27B80FD4" w:rsidR="00D51FCB" w:rsidRPr="007264BD" w:rsidRDefault="00343F66" w:rsidP="00CC13EE">
            <w:pPr>
              <w:pStyle w:val="BodyText"/>
              <w:jc w:val="both"/>
              <w:rPr>
                <w:sz w:val="21"/>
                <w:szCs w:val="21"/>
                <w:lang w:eastAsia="zh-CN"/>
              </w:rPr>
            </w:pPr>
            <w:r>
              <w:rPr>
                <w:sz w:val="21"/>
                <w:szCs w:val="21"/>
                <w:lang w:eastAsia="zh-CN"/>
              </w:rPr>
              <w:t>Qualcomm</w:t>
            </w:r>
          </w:p>
        </w:tc>
        <w:tc>
          <w:tcPr>
            <w:tcW w:w="7442" w:type="dxa"/>
            <w:shd w:val="clear" w:color="auto" w:fill="auto"/>
          </w:tcPr>
          <w:p w14:paraId="1F83014A" w14:textId="77777777" w:rsidR="00D51FCB" w:rsidRDefault="00343F66" w:rsidP="004925D5">
            <w:pPr>
              <w:pStyle w:val="BodyText"/>
              <w:jc w:val="both"/>
              <w:rPr>
                <w:sz w:val="21"/>
                <w:szCs w:val="21"/>
                <w:lang w:eastAsia="zh-CN"/>
              </w:rPr>
            </w:pPr>
            <w:r>
              <w:rPr>
                <w:sz w:val="21"/>
                <w:szCs w:val="21"/>
                <w:lang w:eastAsia="zh-CN"/>
              </w:rPr>
              <w:t>We support Alt 1.</w:t>
            </w:r>
          </w:p>
          <w:p w14:paraId="3EB0011E" w14:textId="77777777" w:rsidR="00CD46CF" w:rsidRDefault="00CD46CF" w:rsidP="00CD46CF">
            <w:pPr>
              <w:pStyle w:val="BodyText"/>
              <w:rPr>
                <w:sz w:val="21"/>
                <w:szCs w:val="21"/>
                <w:lang w:eastAsia="zh-CN"/>
              </w:rPr>
            </w:pPr>
            <w:r>
              <w:rPr>
                <w:sz w:val="21"/>
                <w:szCs w:val="21"/>
                <w:lang w:eastAsia="zh-CN"/>
              </w:rPr>
              <w:t>This UL Tx switching feature has two most important parts – when to switch and how to switch. This conclusion is on the 1</w:t>
            </w:r>
            <w:r w:rsidRPr="009756ED">
              <w:rPr>
                <w:sz w:val="21"/>
                <w:szCs w:val="21"/>
                <w:vertAlign w:val="superscript"/>
                <w:lang w:eastAsia="zh-CN"/>
              </w:rPr>
              <w:t>st</w:t>
            </w:r>
            <w:r>
              <w:rPr>
                <w:sz w:val="21"/>
                <w:szCs w:val="21"/>
                <w:lang w:eastAsia="zh-CN"/>
              </w:rPr>
              <w:t xml:space="preserve"> part – when to switch. I</w:t>
            </w:r>
            <w:r>
              <w:rPr>
                <w:rFonts w:hint="eastAsia"/>
                <w:sz w:val="21"/>
                <w:szCs w:val="21"/>
                <w:lang w:eastAsia="zh-CN"/>
              </w:rPr>
              <w:t xml:space="preserve">n </w:t>
            </w:r>
            <w:r>
              <w:rPr>
                <w:sz w:val="21"/>
                <w:szCs w:val="21"/>
                <w:lang w:eastAsia="zh-CN"/>
              </w:rPr>
              <w:t>the proposed conclusion, the port number determination “</w:t>
            </w:r>
            <w:r w:rsidRPr="00467C87">
              <w:rPr>
                <w:sz w:val="21"/>
                <w:szCs w:val="21"/>
                <w:lang w:eastAsia="zh-CN"/>
              </w:rPr>
              <w:t>when maximum nrofSRS-Ports among the carriers on Band B is configured as 2 antenna ports and the state of Tx chains is 1 Tx on Band A and 1Tx on Band B</w:t>
            </w:r>
            <w:r>
              <w:rPr>
                <w:sz w:val="21"/>
                <w:szCs w:val="21"/>
                <w:lang w:eastAsia="zh-CN"/>
              </w:rPr>
              <w:t>” is the most critical issue, as gNB &amp; UE may interpret codebook as different Tx status.</w:t>
            </w:r>
          </w:p>
          <w:p w14:paraId="0127A9E7" w14:textId="77777777" w:rsidR="00CD46CF" w:rsidRDefault="00CD46CF" w:rsidP="00CD46CF">
            <w:pPr>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As the conclusion would help to reduce the potential scheduling ambiguity, we would propose companies to be more constructive to make the necessary progress. </w:t>
            </w:r>
          </w:p>
          <w:p w14:paraId="43701273" w14:textId="74E89376" w:rsidR="00343F66" w:rsidRPr="007264BD" w:rsidRDefault="00CD46CF" w:rsidP="00CD46CF">
            <w:pPr>
              <w:pStyle w:val="BodyText"/>
              <w:rPr>
                <w:sz w:val="21"/>
                <w:szCs w:val="21"/>
                <w:lang w:eastAsia="zh-CN"/>
              </w:rPr>
            </w:pPr>
            <w:r>
              <w:rPr>
                <w:sz w:val="21"/>
                <w:szCs w:val="21"/>
                <w:lang w:eastAsia="zh-CN"/>
              </w:rPr>
              <w:t xml:space="preserve">We had long time discussion and </w:t>
            </w:r>
            <w:r w:rsidR="0033346E">
              <w:rPr>
                <w:sz w:val="21"/>
                <w:szCs w:val="21"/>
                <w:lang w:eastAsia="zh-CN"/>
              </w:rPr>
              <w:t>unfortunately,</w:t>
            </w:r>
            <w:r>
              <w:rPr>
                <w:sz w:val="21"/>
                <w:szCs w:val="21"/>
                <w:lang w:eastAsia="zh-CN"/>
              </w:rPr>
              <w:t xml:space="preserve"> we can’t converge to one proposal. To make progress, we compromise to above FL proposed conclusion without specification impact, which leave the port number categorization to implementation. </w:t>
            </w:r>
          </w:p>
        </w:tc>
      </w:tr>
      <w:tr w:rsidR="00FE491D" w:rsidRPr="007264BD" w14:paraId="1426F02C" w14:textId="77777777" w:rsidTr="00D51FCB">
        <w:tc>
          <w:tcPr>
            <w:tcW w:w="2074" w:type="dxa"/>
            <w:shd w:val="clear" w:color="auto" w:fill="auto"/>
          </w:tcPr>
          <w:p w14:paraId="5A5E071C" w14:textId="2A57C4D6" w:rsidR="00FE491D" w:rsidRPr="007264BD" w:rsidRDefault="00FE491D" w:rsidP="00FE491D">
            <w:pPr>
              <w:pStyle w:val="BodyText"/>
              <w:jc w:val="both"/>
              <w:rPr>
                <w:sz w:val="21"/>
                <w:szCs w:val="21"/>
                <w:lang w:eastAsia="zh-CN"/>
              </w:rPr>
            </w:pPr>
          </w:p>
        </w:tc>
        <w:tc>
          <w:tcPr>
            <w:tcW w:w="7442" w:type="dxa"/>
            <w:shd w:val="clear" w:color="auto" w:fill="auto"/>
          </w:tcPr>
          <w:p w14:paraId="6443B295" w14:textId="37437246" w:rsidR="00FE491D" w:rsidRPr="007264BD" w:rsidRDefault="00FE491D" w:rsidP="00FE491D">
            <w:pPr>
              <w:pStyle w:val="BodyText"/>
              <w:jc w:val="both"/>
              <w:rPr>
                <w:sz w:val="21"/>
                <w:szCs w:val="21"/>
                <w:lang w:eastAsia="zh-CN"/>
              </w:rPr>
            </w:pP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BodyText"/>
              <w:jc w:val="both"/>
              <w:rPr>
                <w:sz w:val="21"/>
                <w:szCs w:val="21"/>
                <w:lang w:eastAsia="zh-CN"/>
              </w:rPr>
            </w:pPr>
          </w:p>
        </w:tc>
        <w:tc>
          <w:tcPr>
            <w:tcW w:w="7442" w:type="dxa"/>
            <w:shd w:val="clear" w:color="auto" w:fill="auto"/>
          </w:tcPr>
          <w:p w14:paraId="5E5A64F0" w14:textId="04271791" w:rsidR="00035952" w:rsidRPr="003442AF" w:rsidRDefault="00035952" w:rsidP="00035952">
            <w:pPr>
              <w:pStyle w:val="BodyText"/>
              <w:jc w:val="both"/>
              <w:rPr>
                <w:sz w:val="21"/>
                <w:szCs w:val="21"/>
                <w:lang w:eastAsia="zh-CN"/>
              </w:rPr>
            </w:pPr>
          </w:p>
        </w:tc>
      </w:tr>
    </w:tbl>
    <w:p w14:paraId="0FF85C50" w14:textId="77777777" w:rsidR="00926378" w:rsidRDefault="00926378" w:rsidP="003E2811">
      <w:pPr>
        <w:pStyle w:val="BodyText"/>
        <w:spacing w:beforeLines="50" w:before="120"/>
        <w:jc w:val="both"/>
        <w:rPr>
          <w:sz w:val="21"/>
          <w:szCs w:val="21"/>
          <w:lang w:eastAsia="zh-CN"/>
        </w:rPr>
      </w:pPr>
    </w:p>
    <w:p w14:paraId="66037DA4" w14:textId="52ABC54A" w:rsidR="00E33AC7" w:rsidRPr="00ED1D4E" w:rsidRDefault="00E33AC7" w:rsidP="00ED1D4E">
      <w:pPr>
        <w:pStyle w:val="Heading2"/>
        <w:spacing w:line="240" w:lineRule="auto"/>
      </w:pPr>
      <w:r w:rsidRPr="00ED1D4E">
        <w:rPr>
          <w:rFonts w:hint="eastAsia"/>
        </w:rPr>
        <w:t>R</w:t>
      </w:r>
      <w:r w:rsidRPr="00ED1D4E">
        <w:t>RC parameters</w:t>
      </w:r>
    </w:p>
    <w:p w14:paraId="0D3839F5" w14:textId="508113E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the state of Tx chains after the UL Tx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2F2E1D">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Per (UE, cell, 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DengXian" w:hAnsi="Arial" w:cs="Arial"/>
                <w:b/>
                <w:bCs/>
                <w:color w:val="CCE8CF"/>
                <w:sz w:val="16"/>
                <w:szCs w:val="16"/>
                <w:lang w:eastAsia="zh-CN"/>
              </w:rPr>
            </w:pPr>
            <w:r w:rsidRPr="008215FC">
              <w:rPr>
                <w:rFonts w:ascii="Arial" w:eastAsia="DengXian" w:hAnsi="Arial" w:cs="Arial"/>
                <w:b/>
                <w:bCs/>
                <w:color w:val="CCE8CF"/>
                <w:sz w:val="16"/>
                <w:szCs w:val="16"/>
                <w:lang w:eastAsia="zh-CN"/>
              </w:rPr>
              <w:t>UE-specific or Cell-specific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Uplink Tx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DengXian" w:hAnsi="Arial" w:cs="Arial"/>
                <w:i/>
                <w:iCs/>
                <w:sz w:val="16"/>
                <w:szCs w:val="16"/>
                <w:lang w:eastAsia="zh-CN"/>
              </w:rPr>
            </w:pPr>
            <w:r w:rsidRPr="008215FC">
              <w:rPr>
                <w:rFonts w:ascii="Arial" w:eastAsia="DengXian" w:hAnsi="Arial" w:cs="Arial"/>
                <w:i/>
                <w:iCs/>
                <w:sz w:val="16"/>
                <w:szCs w:val="16"/>
                <w:lang w:eastAsia="zh-CN"/>
              </w:rPr>
              <w:t>uplinkTxSwitchingTxState</w:t>
            </w:r>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For UL-CA o</w:t>
            </w:r>
            <w:r w:rsidR="00750750">
              <w:rPr>
                <w:rFonts w:ascii="Arial" w:eastAsia="DengXian" w:hAnsi="Arial" w:cs="Arial"/>
                <w:sz w:val="16"/>
                <w:szCs w:val="16"/>
                <w:lang w:eastAsia="zh-CN"/>
              </w:rPr>
              <w:t>ption 2 and 2Tx-2Tx switching, i</w:t>
            </w:r>
            <w:r w:rsidRPr="008215FC">
              <w:rPr>
                <w:rFonts w:ascii="Arial" w:eastAsia="DengXian" w:hAnsi="Arial" w:cs="Arial"/>
                <w:sz w:val="16"/>
                <w:szCs w:val="16"/>
                <w:lang w:eastAsia="zh-CN"/>
              </w:rPr>
              <w:t xml:space="preserve">ndicate the state of chain if the </w:t>
            </w:r>
            <w:r w:rsidRPr="008215FC">
              <w:rPr>
                <w:rFonts w:ascii="Arial" w:eastAsia="DengXian" w:hAnsi="Arial" w:cs="Arial"/>
                <w:sz w:val="16"/>
                <w:szCs w:val="16"/>
                <w:lang w:eastAsia="zh-CN"/>
              </w:rPr>
              <w:lastRenderedPageBreak/>
              <w:t>state of Tx chains after the UL Tx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DengXian"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DengXian" w:hAnsi="Arial" w:cs="Arial"/>
                <w:sz w:val="16"/>
                <w:szCs w:val="16"/>
                <w:lang w:eastAsia="zh-CN"/>
              </w:rPr>
            </w:pPr>
            <w:r w:rsidRPr="008215FC">
              <w:rPr>
                <w:rFonts w:ascii="Arial" w:eastAsia="DengXian" w:hAnsi="Arial" w:cs="Arial"/>
                <w:sz w:val="16"/>
                <w:szCs w:val="16"/>
                <w:lang w:eastAsia="zh-CN"/>
              </w:rPr>
              <w:t>UE-specific</w:t>
            </w:r>
          </w:p>
        </w:tc>
      </w:tr>
    </w:tbl>
    <w:p w14:paraId="3A6325B9" w14:textId="6218E5CA" w:rsidR="008215FC" w:rsidRDefault="008215FC" w:rsidP="007A79B0">
      <w:pPr>
        <w:pStyle w:val="BodyText"/>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EB3654">
        <w:tc>
          <w:tcPr>
            <w:tcW w:w="2088" w:type="dxa"/>
            <w:shd w:val="clear" w:color="auto" w:fill="auto"/>
          </w:tcPr>
          <w:p w14:paraId="717FF60A" w14:textId="77777777" w:rsidR="00BB5C81" w:rsidRPr="007264BD" w:rsidRDefault="00BB5C81" w:rsidP="00EB3654">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EB3654">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EB3654">
        <w:tc>
          <w:tcPr>
            <w:tcW w:w="2088" w:type="dxa"/>
            <w:shd w:val="clear" w:color="auto" w:fill="auto"/>
          </w:tcPr>
          <w:p w14:paraId="3F94206D" w14:textId="19718B0F" w:rsidR="00BB5C81" w:rsidRPr="007264BD" w:rsidRDefault="00B13E53" w:rsidP="00EB3654">
            <w:pPr>
              <w:pStyle w:val="BodyText"/>
              <w:jc w:val="both"/>
              <w:rPr>
                <w:sz w:val="21"/>
                <w:szCs w:val="21"/>
                <w:lang w:eastAsia="zh-CN"/>
              </w:rPr>
            </w:pPr>
            <w:r>
              <w:rPr>
                <w:sz w:val="21"/>
                <w:szCs w:val="21"/>
                <w:lang w:eastAsia="zh-CN"/>
              </w:rPr>
              <w:t>Qualcomm</w:t>
            </w:r>
          </w:p>
        </w:tc>
        <w:tc>
          <w:tcPr>
            <w:tcW w:w="7428" w:type="dxa"/>
            <w:shd w:val="clear" w:color="auto" w:fill="auto"/>
          </w:tcPr>
          <w:p w14:paraId="089A1D07" w14:textId="611BC4A0" w:rsidR="005F2EF6" w:rsidRDefault="005F3E52" w:rsidP="00EB3654">
            <w:pPr>
              <w:pStyle w:val="BodyText"/>
              <w:jc w:val="both"/>
              <w:rPr>
                <w:sz w:val="21"/>
                <w:szCs w:val="21"/>
                <w:lang w:eastAsia="zh-CN"/>
              </w:rPr>
            </w:pPr>
            <w:r>
              <w:rPr>
                <w:sz w:val="21"/>
                <w:szCs w:val="21"/>
                <w:lang w:eastAsia="zh-CN"/>
              </w:rPr>
              <w:t>We support FL’s recommendation.</w:t>
            </w:r>
          </w:p>
          <w:p w14:paraId="30ACD2E2" w14:textId="140FB969" w:rsidR="005F2EF6" w:rsidRPr="005B1EFE" w:rsidRDefault="007C1BAE" w:rsidP="00EB3654">
            <w:pPr>
              <w:pStyle w:val="BodyText"/>
              <w:jc w:val="both"/>
              <w:rPr>
                <w:lang w:eastAsia="zh-CN"/>
              </w:rPr>
            </w:pPr>
            <w:r>
              <w:rPr>
                <w:sz w:val="21"/>
                <w:szCs w:val="21"/>
                <w:lang w:eastAsia="zh-CN"/>
              </w:rPr>
              <w:t xml:space="preserve">Just one </w:t>
            </w:r>
            <w:r w:rsidR="005B1EFE">
              <w:rPr>
                <w:sz w:val="21"/>
                <w:szCs w:val="21"/>
                <w:lang w:eastAsia="zh-CN"/>
              </w:rPr>
              <w:t xml:space="preserve">clarification question on the value range, </w:t>
            </w:r>
            <w:r w:rsidR="005F2EF6">
              <w:t xml:space="preserve">is it the intent to leave </w:t>
            </w:r>
            <w:r w:rsidR="005B1EFE">
              <w:rPr>
                <w:rFonts w:hint="eastAsia"/>
                <w:lang w:eastAsia="zh-CN"/>
              </w:rPr>
              <w:t>it</w:t>
            </w:r>
            <w:r w:rsidR="005F2EF6">
              <w:t xml:space="preserve"> blank at this meeting? Otherwise, it could be filled with e.g. {1Tx, 2Tx}</w:t>
            </w:r>
            <w:r w:rsidR="005B1EFE">
              <w:t xml:space="preserve"> per our understanding.</w:t>
            </w:r>
          </w:p>
        </w:tc>
      </w:tr>
      <w:tr w:rsidR="00BB5C81" w:rsidRPr="007264BD" w14:paraId="3BC94BFB" w14:textId="77777777" w:rsidTr="00EB3654">
        <w:tc>
          <w:tcPr>
            <w:tcW w:w="2088" w:type="dxa"/>
            <w:shd w:val="clear" w:color="auto" w:fill="auto"/>
          </w:tcPr>
          <w:p w14:paraId="67E022C8" w14:textId="77777777" w:rsidR="00BB5C81" w:rsidRPr="007264BD" w:rsidRDefault="00BB5C81" w:rsidP="00EB3654">
            <w:pPr>
              <w:pStyle w:val="BodyText"/>
              <w:jc w:val="both"/>
              <w:rPr>
                <w:sz w:val="21"/>
                <w:szCs w:val="21"/>
                <w:lang w:eastAsia="zh-CN"/>
              </w:rPr>
            </w:pPr>
          </w:p>
        </w:tc>
        <w:tc>
          <w:tcPr>
            <w:tcW w:w="7428" w:type="dxa"/>
            <w:shd w:val="clear" w:color="auto" w:fill="auto"/>
          </w:tcPr>
          <w:p w14:paraId="1CA33231" w14:textId="77777777" w:rsidR="00BB5C81" w:rsidRPr="007264BD" w:rsidRDefault="00BB5C81" w:rsidP="00EB3654">
            <w:pPr>
              <w:pStyle w:val="BodyText"/>
              <w:jc w:val="both"/>
              <w:rPr>
                <w:sz w:val="21"/>
                <w:szCs w:val="21"/>
                <w:lang w:eastAsia="zh-CN"/>
              </w:rPr>
            </w:pPr>
          </w:p>
        </w:tc>
      </w:tr>
      <w:tr w:rsidR="00BB5C81" w:rsidRPr="007264BD" w14:paraId="5792AB6D" w14:textId="77777777" w:rsidTr="00EB3654">
        <w:tc>
          <w:tcPr>
            <w:tcW w:w="2088" w:type="dxa"/>
            <w:shd w:val="clear" w:color="auto" w:fill="auto"/>
          </w:tcPr>
          <w:p w14:paraId="3474AF48" w14:textId="77777777" w:rsidR="00BB5C81" w:rsidRPr="007264BD" w:rsidRDefault="00BB5C81" w:rsidP="00EB3654">
            <w:pPr>
              <w:pStyle w:val="BodyText"/>
              <w:jc w:val="both"/>
              <w:rPr>
                <w:sz w:val="21"/>
                <w:szCs w:val="21"/>
                <w:lang w:eastAsia="zh-CN"/>
              </w:rPr>
            </w:pPr>
          </w:p>
        </w:tc>
        <w:tc>
          <w:tcPr>
            <w:tcW w:w="7428" w:type="dxa"/>
            <w:shd w:val="clear" w:color="auto" w:fill="auto"/>
          </w:tcPr>
          <w:p w14:paraId="7B75217D" w14:textId="77777777" w:rsidR="00BB5C81" w:rsidRPr="007264BD" w:rsidRDefault="00BB5C81" w:rsidP="00EB3654">
            <w:pPr>
              <w:pStyle w:val="BodyText"/>
              <w:jc w:val="both"/>
              <w:rPr>
                <w:sz w:val="21"/>
                <w:szCs w:val="21"/>
                <w:lang w:eastAsia="zh-CN"/>
              </w:rPr>
            </w:pPr>
          </w:p>
        </w:tc>
      </w:tr>
    </w:tbl>
    <w:p w14:paraId="30C7478B" w14:textId="77777777" w:rsidR="00BB5C81" w:rsidRDefault="00BB5C81" w:rsidP="00BB5C81">
      <w:pPr>
        <w:pStyle w:val="BodyText"/>
        <w:spacing w:beforeLines="50" w:before="120"/>
        <w:jc w:val="both"/>
        <w:rPr>
          <w:sz w:val="21"/>
          <w:szCs w:val="21"/>
          <w:lang w:eastAsia="zh-CN"/>
        </w:rPr>
      </w:pPr>
    </w:p>
    <w:p w14:paraId="5D5D5085" w14:textId="36FA6C65" w:rsidR="00C06112" w:rsidRPr="0078053A" w:rsidRDefault="00C06112" w:rsidP="00C06112">
      <w:pPr>
        <w:pStyle w:val="Heading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C06112">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C06112">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21B3E8BC" w14:textId="77777777" w:rsidR="00C06112" w:rsidRPr="004E2EA9" w:rsidRDefault="00C06112" w:rsidP="00C06112">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lastRenderedPageBreak/>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ListParagraph"/>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ListParagraph"/>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lastRenderedPageBreak/>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ListParagraph"/>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BodyText"/>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ListParagraph"/>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BodyText"/>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BodyText"/>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lastRenderedPageBreak/>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lastRenderedPageBreak/>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4"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4"/>
    </w:p>
    <w:p w14:paraId="5012F876" w14:textId="7C4FE99F"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5"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5"/>
    </w:p>
    <w:p w14:paraId="20C266C2" w14:textId="14BC5253" w:rsidR="002B186D" w:rsidRPr="00AA0C59" w:rsidRDefault="002B186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lastRenderedPageBreak/>
        <w:t xml:space="preserve">R1-2110795, </w:t>
      </w:r>
      <w:r w:rsidR="007F4BDD" w:rsidRPr="00AA0C59">
        <w:rPr>
          <w:lang w:eastAsia="zh-CN"/>
        </w:rPr>
        <w:t xml:space="preserve">Discussions on enhancements for UL Tx switching, </w:t>
      </w:r>
      <w:r w:rsidR="007F4BDD" w:rsidRPr="00AA0C59">
        <w:rPr>
          <w:rFonts w:hint="eastAsia"/>
          <w:lang w:eastAsia="zh-CN"/>
        </w:rPr>
        <w:t>Huawei, HiSilicon</w:t>
      </w:r>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1-2110904, Remaining issues for Rel-17 UL Tx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R1-2110972, Remaining issues on Rel-17 Tx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iscussion on Rel-17 Tx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List2"/>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1-2111933, Discussion on the remaining problems of supporting Tx switching between two uplink carriers, Huawei, HiSilicon, RAN1 #107-e, November 11th – 19th, 2021</w:t>
      </w:r>
    </w:p>
    <w:p w14:paraId="6D82AECE" w14:textId="57BA1775" w:rsidR="00D913BB" w:rsidRPr="00AA0C59" w:rsidRDefault="007B3078" w:rsidP="004D36B3">
      <w:pPr>
        <w:pStyle w:val="List2"/>
        <w:numPr>
          <w:ilvl w:val="0"/>
          <w:numId w:val="11"/>
        </w:numPr>
        <w:overflowPunct/>
        <w:autoSpaceDE/>
        <w:autoSpaceDN/>
        <w:adjustRightInd/>
        <w:spacing w:before="180" w:after="0" w:line="240" w:lineRule="auto"/>
        <w:jc w:val="both"/>
        <w:textAlignment w:val="auto"/>
      </w:pPr>
      <w:r w:rsidRPr="00AA0C59">
        <w:rPr>
          <w:lang w:eastAsia="zh-CN"/>
        </w:rPr>
        <w:t>R1-2112188, Discussion on Rel-17 UL Tx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List2"/>
        <w:numPr>
          <w:ilvl w:val="0"/>
          <w:numId w:val="11"/>
        </w:numPr>
        <w:overflowPunct/>
        <w:autoSpaceDE/>
        <w:autoSpaceDN/>
        <w:adjustRightInd/>
        <w:spacing w:before="156" w:after="0" w:line="240" w:lineRule="auto"/>
        <w:jc w:val="both"/>
        <w:textAlignment w:val="auto"/>
      </w:pPr>
      <w:bookmarkStart w:id="6"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6"/>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E2FD" w14:textId="77777777" w:rsidR="00755846" w:rsidRDefault="00755846">
      <w:pPr>
        <w:spacing w:after="0" w:line="240" w:lineRule="auto"/>
      </w:pPr>
      <w:r>
        <w:separator/>
      </w:r>
    </w:p>
  </w:endnote>
  <w:endnote w:type="continuationSeparator" w:id="0">
    <w:p w14:paraId="44961241" w14:textId="77777777" w:rsidR="00755846" w:rsidRDefault="0075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1BE26140" w:rsidR="003F7FAE" w:rsidRDefault="003F7FA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331D6">
      <w:rPr>
        <w:rFonts w:ascii="Arial" w:hAnsi="Arial" w:cs="Arial"/>
        <w:b/>
        <w:noProof/>
        <w:sz w:val="18"/>
        <w:szCs w:val="18"/>
      </w:rPr>
      <w:t>9</w:t>
    </w:r>
    <w:r>
      <w:rPr>
        <w:rFonts w:ascii="Arial" w:hAnsi="Arial" w:cs="Arial"/>
        <w:b/>
        <w:sz w:val="18"/>
        <w:szCs w:val="18"/>
      </w:rPr>
      <w:fldChar w:fldCharType="end"/>
    </w:r>
  </w:p>
  <w:p w14:paraId="0ABDEC68" w14:textId="77777777" w:rsidR="003F7FAE" w:rsidRDefault="003F7FAE">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4F1D" w14:textId="77777777" w:rsidR="00755846" w:rsidRDefault="00755846">
      <w:pPr>
        <w:spacing w:after="0" w:line="240" w:lineRule="auto"/>
      </w:pPr>
      <w:r>
        <w:separator/>
      </w:r>
    </w:p>
  </w:footnote>
  <w:footnote w:type="continuationSeparator" w:id="0">
    <w:p w14:paraId="18205C2E" w14:textId="77777777" w:rsidR="00755846" w:rsidRDefault="00755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SimSun" w:eastAsia="SimSun" w:hAnsi="SimSun"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 w:numId="46">
    <w:abstractNumId w:val="10"/>
  </w:num>
  <w:num w:numId="47">
    <w:abstractNumId w:val="10"/>
  </w:num>
  <w:num w:numId="48">
    <w:abstractNumId w:val="25"/>
  </w:num>
  <w:num w:numId="49">
    <w:abstractNumId w:val="25"/>
  </w:num>
  <w:num w:numId="5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02A"/>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49B"/>
    <w:rsid w:val="00CD3667"/>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4"/>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B81762-9B8A-4B02-A227-77143EB18EE9}">
  <ds:schemaRefs>
    <ds:schemaRef ds:uri="http://schemas.openxmlformats.org/officeDocument/2006/bibliography"/>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24</TotalTime>
  <Pages>10</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15</cp:revision>
  <cp:lastPrinted>2004-04-14T09:17:00Z</cp:lastPrinted>
  <dcterms:created xsi:type="dcterms:W3CDTF">2021-11-11T15:01:00Z</dcterms:created>
  <dcterms:modified xsi:type="dcterms:W3CDTF">2021-11-12T03:11:00Z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(3)qtXGgMZISISGyV7PFigQjkUzd+LTYmbu45PFarN9dDy+eRyyvz4mAANuYrlX8vZUP+sGxbea
Oo+Te5SxSugTvOjVs6gtLDVpQb7S9lS37mbMgb0O+qCIQZ+q7usKPtppHkXejiJmPmikj3Uh
Wc9O9NMhZkZOH0ApTJPBH4i7OQ7aUKegZyxI2v2feZAfgmGOb68XJ1IVBkFpexpSkHCyt16Q
Saj9k6067fbYUi8LU1</vt:lpwstr>
  </property>
  <property fmtid="{D5CDD505-2E9C-101B-9397-08002B2CF9AE}" pid="3" name="_2015_ms_pID_7253431">
    <vt:lpwstr>FPfVBJ+SVlmLTAQqp+3c+z3I+bX22+ozbnRGcQBJX6li9G7bHY8+w3
RNB6Gt7XH3qvd8aGY1Ye2ush2jWmCC8rnSXd/Z5Kv1snEeCBfsRK88y1+O4aRZThXN20yhcu
EBYkSa8ijbS+uBmB6DyWB5b8vDXU4byzZ9vNQBcu18ArDnQc73LccCNMA4x80cGcQeJmd8SW
PQrjK21X8q1Ve4dfYxZJFu8x4tV0I+F9sRYz</vt:lpwstr>
  </property>
  <property fmtid="{D5CDD505-2E9C-101B-9397-08002B2CF9AE}" pid="4" name="KSOProductBuildVer">
    <vt:lpwstr>2052-11.8.2.9022</vt:lpwstr>
  </property>
  <property fmtid="{D5CDD505-2E9C-101B-9397-08002B2CF9AE}" pid="5" name="_2015_ms_pID_7253432">
    <vt:lpwstr>6g==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