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C58F3" w14:textId="7FE16251" w:rsidR="00872D44" w:rsidRPr="00E61DEB" w:rsidRDefault="00872D44" w:rsidP="00872D44">
      <w:pPr>
        <w:pBdr>
          <w:top w:val="single" w:sz="4" w:space="1" w:color="auto"/>
        </w:pBdr>
        <w:spacing w:after="0"/>
        <w:jc w:val="left"/>
        <w:rPr>
          <w:b/>
          <w:noProof/>
          <w:lang w:eastAsia="fr-FR"/>
        </w:rPr>
      </w:pPr>
      <w:r w:rsidRPr="00E61DEB">
        <w:rPr>
          <w:b/>
          <w:noProof/>
          <w:lang w:eastAsia="fr-FR"/>
        </w:rPr>
        <w:t>3GPP TSG RAN WG1 Meeting #</w:t>
      </w:r>
      <w:r w:rsidR="009C0C58" w:rsidRPr="00E61DEB">
        <w:rPr>
          <w:b/>
          <w:noProof/>
          <w:lang w:eastAsia="fr-FR"/>
        </w:rPr>
        <w:t>10</w:t>
      </w:r>
      <w:r w:rsidR="002D6400">
        <w:rPr>
          <w:b/>
          <w:noProof/>
          <w:lang w:eastAsia="fr-FR"/>
        </w:rPr>
        <w:t>7-e</w:t>
      </w:r>
      <w:r w:rsidRPr="00E61DEB">
        <w:rPr>
          <w:b/>
          <w:noProof/>
          <w:lang w:eastAsia="fr-FR"/>
        </w:rPr>
        <w:t xml:space="preserve">  </w:t>
      </w:r>
      <w:r w:rsidRPr="00E61DEB">
        <w:rPr>
          <w:b/>
          <w:noProof/>
          <w:lang w:eastAsia="fr-FR"/>
        </w:rPr>
        <w:tab/>
      </w:r>
      <w:r w:rsidRPr="00E61DEB">
        <w:rPr>
          <w:b/>
          <w:noProof/>
          <w:lang w:eastAsia="fr-FR"/>
        </w:rPr>
        <w:tab/>
      </w:r>
      <w:r w:rsidRPr="00E61DEB">
        <w:rPr>
          <w:b/>
          <w:noProof/>
          <w:lang w:eastAsia="fr-FR"/>
        </w:rPr>
        <w:tab/>
      </w:r>
      <w:r w:rsidRPr="00E61DEB">
        <w:rPr>
          <w:b/>
          <w:noProof/>
          <w:lang w:eastAsia="fr-FR"/>
        </w:rPr>
        <w:tab/>
      </w:r>
      <w:r w:rsidRPr="00E61DEB">
        <w:rPr>
          <w:b/>
          <w:noProof/>
          <w:lang w:eastAsia="fr-FR"/>
        </w:rPr>
        <w:tab/>
      </w:r>
      <w:r w:rsidRPr="00E61DEB">
        <w:rPr>
          <w:b/>
          <w:noProof/>
          <w:lang w:eastAsia="fr-FR"/>
        </w:rPr>
        <w:tab/>
      </w:r>
      <w:r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537985" w:rsidRPr="00E61DEB">
        <w:rPr>
          <w:b/>
          <w:noProof/>
          <w:lang w:eastAsia="fr-FR"/>
        </w:rPr>
        <w:t xml:space="preserve"> </w:t>
      </w:r>
      <w:r w:rsidR="00537985" w:rsidRPr="00E61DEB">
        <w:rPr>
          <w:b/>
          <w:noProof/>
          <w:lang w:eastAsia="fr-FR"/>
        </w:rPr>
        <w:tab/>
      </w:r>
      <w:r w:rsidR="00FE5121" w:rsidRPr="00E61DEB">
        <w:rPr>
          <w:b/>
          <w:noProof/>
          <w:lang w:eastAsia="fr-FR"/>
        </w:rPr>
        <w:tab/>
      </w:r>
      <w:r w:rsidR="00FE5121" w:rsidRPr="00E61DEB">
        <w:rPr>
          <w:b/>
          <w:noProof/>
          <w:lang w:eastAsia="fr-FR"/>
        </w:rPr>
        <w:tab/>
      </w:r>
      <w:r w:rsidR="00C51747" w:rsidRPr="00E61DEB">
        <w:rPr>
          <w:b/>
        </w:rPr>
        <w:t xml:space="preserve">                                                                                                               </w:t>
      </w:r>
      <w:r w:rsidR="00CC5345" w:rsidRPr="00CC5345">
        <w:rPr>
          <w:b/>
        </w:rPr>
        <w:t>R1-2112849</w:t>
      </w:r>
      <w:bookmarkStart w:id="0" w:name="_GoBack"/>
      <w:bookmarkEnd w:id="0"/>
    </w:p>
    <w:p w14:paraId="06BC58F4" w14:textId="07731E8E" w:rsidR="00872D44" w:rsidRPr="00E61DEB" w:rsidRDefault="00537985" w:rsidP="00872D44">
      <w:pPr>
        <w:tabs>
          <w:tab w:val="right" w:pos="9216"/>
        </w:tabs>
        <w:spacing w:after="0"/>
        <w:jc w:val="left"/>
        <w:rPr>
          <w:b/>
          <w:noProof/>
          <w:lang w:eastAsia="fr-FR"/>
        </w:rPr>
      </w:pPr>
      <w:r w:rsidRPr="00E61DEB">
        <w:rPr>
          <w:b/>
          <w:noProof/>
          <w:lang w:eastAsia="fr-FR"/>
        </w:rPr>
        <w:t xml:space="preserve">e-Meeting, </w:t>
      </w:r>
      <w:r w:rsidR="002D6400">
        <w:rPr>
          <w:b/>
          <w:noProof/>
          <w:lang w:eastAsia="fr-FR"/>
        </w:rPr>
        <w:t>November 11</w:t>
      </w:r>
      <w:r w:rsidR="002D6400" w:rsidRPr="002D6400">
        <w:rPr>
          <w:b/>
          <w:noProof/>
          <w:vertAlign w:val="superscript"/>
          <w:lang w:eastAsia="fr-FR"/>
        </w:rPr>
        <w:t>th</w:t>
      </w:r>
      <w:r w:rsidR="002D6400">
        <w:rPr>
          <w:b/>
          <w:noProof/>
          <w:lang w:eastAsia="fr-FR"/>
        </w:rPr>
        <w:t xml:space="preserve"> </w:t>
      </w:r>
      <w:r w:rsidR="002D6400" w:rsidRPr="002D6400">
        <w:rPr>
          <w:b/>
          <w:noProof/>
          <w:lang w:eastAsia="fr-FR"/>
        </w:rPr>
        <w:t>– 19</w:t>
      </w:r>
      <w:r w:rsidR="002D6400" w:rsidRPr="002D6400">
        <w:rPr>
          <w:b/>
          <w:noProof/>
          <w:vertAlign w:val="superscript"/>
          <w:lang w:eastAsia="fr-FR"/>
        </w:rPr>
        <w:t>th</w:t>
      </w:r>
      <w:r w:rsidR="002D6400">
        <w:rPr>
          <w:b/>
          <w:noProof/>
          <w:lang w:eastAsia="fr-FR"/>
        </w:rPr>
        <w:t xml:space="preserve"> </w:t>
      </w:r>
      <w:r w:rsidRPr="00E61DEB">
        <w:rPr>
          <w:b/>
          <w:noProof/>
          <w:lang w:eastAsia="fr-FR"/>
        </w:rPr>
        <w:t>, 2021</w:t>
      </w:r>
    </w:p>
    <w:p w14:paraId="06BC58F5" w14:textId="77777777" w:rsidR="00FD0EF8" w:rsidRPr="00E61DEB" w:rsidRDefault="00FD0EF8" w:rsidP="00FF3EEC">
      <w:pPr>
        <w:pBdr>
          <w:top w:val="single" w:sz="4" w:space="1" w:color="auto"/>
        </w:pBdr>
        <w:spacing w:after="0"/>
        <w:jc w:val="left"/>
        <w:rPr>
          <w:b/>
          <w:kern w:val="2"/>
          <w:lang w:eastAsia="zh-CN"/>
        </w:rPr>
      </w:pPr>
    </w:p>
    <w:p w14:paraId="06BC58F6" w14:textId="77777777" w:rsidR="00791306" w:rsidRPr="00E61DEB" w:rsidRDefault="00791306" w:rsidP="00FF3EEC">
      <w:pPr>
        <w:spacing w:after="60"/>
        <w:ind w:left="1555" w:hanging="1555"/>
        <w:jc w:val="left"/>
        <w:rPr>
          <w:b/>
          <w:kern w:val="2"/>
          <w:lang w:eastAsia="zh-CN"/>
        </w:rPr>
      </w:pPr>
      <w:r w:rsidRPr="00E61DEB">
        <w:rPr>
          <w:b/>
          <w:kern w:val="2"/>
          <w:lang w:eastAsia="zh-CN"/>
        </w:rPr>
        <w:t>Agenda Item:</w:t>
      </w:r>
      <w:r w:rsidRPr="00E61DEB">
        <w:rPr>
          <w:b/>
          <w:kern w:val="2"/>
          <w:lang w:eastAsia="zh-CN"/>
        </w:rPr>
        <w:tab/>
      </w:r>
      <w:r w:rsidR="0021038F" w:rsidRPr="00E61DEB">
        <w:rPr>
          <w:b/>
          <w:kern w:val="2"/>
          <w:lang w:eastAsia="zh-CN"/>
        </w:rPr>
        <w:t>8.4</w:t>
      </w:r>
    </w:p>
    <w:p w14:paraId="06BC58F7" w14:textId="6E0059F5" w:rsidR="00791306" w:rsidRPr="00E61DEB" w:rsidRDefault="00791306" w:rsidP="00FF3EEC">
      <w:pPr>
        <w:spacing w:after="60"/>
        <w:ind w:left="1555" w:hanging="1555"/>
        <w:jc w:val="left"/>
        <w:rPr>
          <w:b/>
          <w:kern w:val="2"/>
          <w:lang w:eastAsia="zh-CN"/>
        </w:rPr>
      </w:pPr>
      <w:r w:rsidRPr="00E61DEB">
        <w:rPr>
          <w:b/>
          <w:kern w:val="2"/>
          <w:lang w:eastAsia="zh-CN"/>
        </w:rPr>
        <w:t>Source:</w:t>
      </w:r>
      <w:r w:rsidRPr="00E61DEB">
        <w:rPr>
          <w:b/>
          <w:kern w:val="2"/>
          <w:lang w:eastAsia="zh-CN"/>
        </w:rPr>
        <w:tab/>
      </w:r>
      <w:r w:rsidR="00E347F8" w:rsidRPr="00E61DEB">
        <w:rPr>
          <w:b/>
          <w:kern w:val="2"/>
          <w:lang w:eastAsia="zh-CN"/>
        </w:rPr>
        <w:t>Moderator (Thales)</w:t>
      </w:r>
    </w:p>
    <w:p w14:paraId="06BC58F8" w14:textId="26104953" w:rsidR="00F3439E" w:rsidRPr="00E61DEB" w:rsidRDefault="00791306" w:rsidP="00FF3EEC">
      <w:pPr>
        <w:spacing w:after="60"/>
        <w:ind w:left="1555" w:hanging="1555"/>
        <w:jc w:val="left"/>
        <w:rPr>
          <w:b/>
          <w:kern w:val="2"/>
          <w:lang w:eastAsia="zh-CN"/>
        </w:rPr>
      </w:pPr>
      <w:r w:rsidRPr="00E61DEB">
        <w:rPr>
          <w:b/>
          <w:kern w:val="2"/>
          <w:lang w:eastAsia="zh-CN"/>
        </w:rPr>
        <w:t>Title:</w:t>
      </w:r>
      <w:r w:rsidRPr="00E61DEB">
        <w:rPr>
          <w:b/>
          <w:kern w:val="2"/>
          <w:lang w:eastAsia="zh-CN"/>
        </w:rPr>
        <w:tab/>
      </w:r>
      <w:r w:rsidR="00EA7FF5" w:rsidRPr="00E61DEB">
        <w:rPr>
          <w:b/>
          <w:kern w:val="2"/>
          <w:lang w:eastAsia="zh-CN"/>
        </w:rPr>
        <w:t xml:space="preserve">Summary of </w:t>
      </w:r>
      <w:r w:rsidR="002D6400" w:rsidRPr="002D6400">
        <w:rPr>
          <w:b/>
          <w:lang w:eastAsia="x-none"/>
        </w:rPr>
        <w:t>[107-e-R17-RRC-NR-NTN]</w:t>
      </w:r>
      <w:r w:rsidR="00EA7FF5" w:rsidRPr="00E61DEB">
        <w:rPr>
          <w:b/>
        </w:rPr>
        <w:t xml:space="preserve"> Email discussion on Rel-17 RRC parameters for NR to support NTN</w:t>
      </w:r>
    </w:p>
    <w:p w14:paraId="06BC58F9" w14:textId="77777777" w:rsidR="00791306" w:rsidRPr="00E61DEB" w:rsidRDefault="00791306" w:rsidP="00FF3EEC">
      <w:pPr>
        <w:spacing w:after="60"/>
        <w:ind w:left="1555" w:hanging="1555"/>
        <w:jc w:val="left"/>
        <w:rPr>
          <w:b/>
          <w:kern w:val="2"/>
          <w:lang w:eastAsia="zh-CN"/>
        </w:rPr>
      </w:pPr>
      <w:r w:rsidRPr="00E61DEB">
        <w:rPr>
          <w:b/>
          <w:kern w:val="2"/>
          <w:lang w:eastAsia="zh-CN"/>
        </w:rPr>
        <w:t>Docum</w:t>
      </w:r>
      <w:r w:rsidR="00290422" w:rsidRPr="00E61DEB">
        <w:rPr>
          <w:b/>
          <w:kern w:val="2"/>
          <w:lang w:eastAsia="zh-CN"/>
        </w:rPr>
        <w:t>ent for:</w:t>
      </w:r>
      <w:r w:rsidR="00235140" w:rsidRPr="00E61DEB">
        <w:rPr>
          <w:b/>
          <w:kern w:val="2"/>
          <w:lang w:eastAsia="zh-CN"/>
        </w:rPr>
        <w:tab/>
        <w:t>Discussion</w:t>
      </w:r>
      <w:r w:rsidR="005802CD" w:rsidRPr="00E61DEB">
        <w:rPr>
          <w:b/>
          <w:kern w:val="2"/>
          <w:lang w:eastAsia="zh-CN"/>
        </w:rPr>
        <w:t xml:space="preserve"> </w:t>
      </w:r>
    </w:p>
    <w:p w14:paraId="06BC58FA" w14:textId="77777777" w:rsidR="00791306" w:rsidRPr="00E61DEB" w:rsidRDefault="00791306" w:rsidP="00FF3EEC">
      <w:pPr>
        <w:pBdr>
          <w:bottom w:val="single" w:sz="4" w:space="1" w:color="auto"/>
        </w:pBdr>
        <w:spacing w:after="0"/>
        <w:jc w:val="left"/>
        <w:rPr>
          <w:b/>
        </w:rPr>
      </w:pPr>
    </w:p>
    <w:p w14:paraId="06BC58FB" w14:textId="77777777" w:rsidR="00791306" w:rsidRPr="00E61DEB" w:rsidRDefault="00791306" w:rsidP="00FF3EEC">
      <w:pPr>
        <w:pStyle w:val="Titre1"/>
        <w:rPr>
          <w:sz w:val="22"/>
          <w:szCs w:val="22"/>
        </w:rPr>
      </w:pPr>
      <w:bookmarkStart w:id="1" w:name="_Ref124589705"/>
      <w:bookmarkStart w:id="2" w:name="_Ref129681862"/>
      <w:bookmarkStart w:id="3" w:name="_Toc82188760"/>
      <w:r w:rsidRPr="00E61DEB">
        <w:rPr>
          <w:sz w:val="22"/>
          <w:szCs w:val="22"/>
        </w:rPr>
        <w:t>Introduction</w:t>
      </w:r>
      <w:bookmarkEnd w:id="1"/>
      <w:bookmarkEnd w:id="2"/>
      <w:bookmarkEnd w:id="3"/>
    </w:p>
    <w:p w14:paraId="3EB0D2E1" w14:textId="2FC13A10" w:rsidR="0042126C" w:rsidRPr="00E61DEB" w:rsidRDefault="0042126C" w:rsidP="00E959D4">
      <w:pPr>
        <w:pStyle w:val="Lgende"/>
        <w:jc w:val="both"/>
        <w:rPr>
          <w:b w:val="0"/>
          <w:bCs w:val="0"/>
          <w:sz w:val="22"/>
          <w:szCs w:val="22"/>
        </w:rPr>
      </w:pPr>
      <w:r w:rsidRPr="00E61DEB">
        <w:rPr>
          <w:b w:val="0"/>
          <w:bCs w:val="0"/>
          <w:sz w:val="22"/>
          <w:szCs w:val="22"/>
        </w:rPr>
        <w:t xml:space="preserve">There </w:t>
      </w:r>
      <w:r w:rsidR="007F3C15">
        <w:rPr>
          <w:b w:val="0"/>
          <w:bCs w:val="0"/>
          <w:sz w:val="22"/>
          <w:szCs w:val="22"/>
        </w:rPr>
        <w:t xml:space="preserve">were </w:t>
      </w:r>
      <w:r w:rsidRPr="00E61DEB">
        <w:rPr>
          <w:b w:val="0"/>
          <w:bCs w:val="0"/>
          <w:sz w:val="22"/>
          <w:szCs w:val="22"/>
        </w:rPr>
        <w:t>preliminary discussion</w:t>
      </w:r>
      <w:r w:rsidR="007F3C15">
        <w:rPr>
          <w:b w:val="0"/>
          <w:bCs w:val="0"/>
          <w:sz w:val="22"/>
          <w:szCs w:val="22"/>
        </w:rPr>
        <w:t>s</w:t>
      </w:r>
      <w:r w:rsidRPr="00E61DEB">
        <w:rPr>
          <w:b w:val="0"/>
          <w:bCs w:val="0"/>
          <w:sz w:val="22"/>
          <w:szCs w:val="22"/>
        </w:rPr>
        <w:t xml:space="preserve"> on RRC parameters for NR to support NTN</w:t>
      </w:r>
      <w:r w:rsidR="00273AEA" w:rsidRPr="00E61DEB">
        <w:rPr>
          <w:b w:val="0"/>
          <w:bCs w:val="0"/>
          <w:sz w:val="22"/>
          <w:szCs w:val="22"/>
        </w:rPr>
        <w:t xml:space="preserve"> </w:t>
      </w:r>
      <w:r w:rsidRPr="00E61DEB">
        <w:rPr>
          <w:b w:val="0"/>
          <w:bCs w:val="0"/>
          <w:sz w:val="22"/>
          <w:szCs w:val="22"/>
        </w:rPr>
        <w:t>[</w:t>
      </w:r>
      <w:r w:rsidR="007F3C15">
        <w:rPr>
          <w:b w:val="0"/>
          <w:bCs w:val="0"/>
          <w:sz w:val="22"/>
          <w:szCs w:val="22"/>
        </w:rPr>
        <w:t>5</w:t>
      </w:r>
      <w:r w:rsidRPr="00E61DEB">
        <w:rPr>
          <w:b w:val="0"/>
          <w:bCs w:val="0"/>
          <w:sz w:val="22"/>
          <w:szCs w:val="22"/>
        </w:rPr>
        <w:t>]</w:t>
      </w:r>
      <w:r w:rsidR="00273AEA" w:rsidRPr="00E61DEB">
        <w:rPr>
          <w:b w:val="0"/>
          <w:bCs w:val="0"/>
          <w:sz w:val="22"/>
          <w:szCs w:val="22"/>
        </w:rPr>
        <w:t>. In current RAN1 meeting, RRC parameters pertinent for NR NTN will be further discussed.</w:t>
      </w:r>
    </w:p>
    <w:p w14:paraId="326731E4" w14:textId="47F62DAC" w:rsidR="00B266F6" w:rsidRDefault="00273AEA" w:rsidP="00B266F6">
      <w:pPr>
        <w:rPr>
          <w:highlight w:val="cyan"/>
        </w:rPr>
      </w:pPr>
      <w:r w:rsidRPr="00E61DEB">
        <w:t xml:space="preserve">This document </w:t>
      </w:r>
      <w:r w:rsidR="0042126C" w:rsidRPr="00E61DEB">
        <w:t xml:space="preserve">is the Summary of </w:t>
      </w:r>
      <w:r w:rsidR="00B266F6" w:rsidRPr="00BE4F25">
        <w:rPr>
          <w:highlight w:val="cyan"/>
          <w:lang w:eastAsia="x-none"/>
        </w:rPr>
        <w:t>[10</w:t>
      </w:r>
      <w:r w:rsidR="00B266F6">
        <w:rPr>
          <w:highlight w:val="cyan"/>
          <w:lang w:eastAsia="x-none"/>
        </w:rPr>
        <w:t>7</w:t>
      </w:r>
      <w:r w:rsidR="00B266F6" w:rsidRPr="00BE4F25">
        <w:rPr>
          <w:highlight w:val="cyan"/>
          <w:lang w:eastAsia="x-none"/>
        </w:rPr>
        <w:t>-e-</w:t>
      </w:r>
      <w:r w:rsidR="00B266F6">
        <w:rPr>
          <w:highlight w:val="cyan"/>
          <w:lang w:eastAsia="x-none"/>
        </w:rPr>
        <w:t>R17-RRC-NR-NTN</w:t>
      </w:r>
      <w:r w:rsidR="00B266F6" w:rsidRPr="00BE4F25">
        <w:rPr>
          <w:highlight w:val="cyan"/>
          <w:lang w:eastAsia="x-none"/>
        </w:rPr>
        <w:t xml:space="preserve">] Email discussion on </w:t>
      </w:r>
      <w:r w:rsidR="00B266F6">
        <w:rPr>
          <w:highlight w:val="cyan"/>
          <w:lang w:eastAsia="x-none"/>
        </w:rPr>
        <w:t xml:space="preserve">Rel-17 RRC parameters for NR to support NTN </w:t>
      </w:r>
    </w:p>
    <w:p w14:paraId="3BF1BFC3" w14:textId="77777777" w:rsidR="00B266F6" w:rsidRDefault="00B266F6" w:rsidP="00B266F6">
      <w:pPr>
        <w:numPr>
          <w:ilvl w:val="0"/>
          <w:numId w:val="35"/>
        </w:numPr>
        <w:autoSpaceDE/>
        <w:autoSpaceDN/>
        <w:adjustRightInd/>
        <w:snapToGrid/>
        <w:spacing w:after="0"/>
        <w:jc w:val="left"/>
        <w:rPr>
          <w:highlight w:val="cyan"/>
        </w:rPr>
      </w:pPr>
      <w:r>
        <w:rPr>
          <w:highlight w:val="cyan"/>
        </w:rPr>
        <w:t>Email discussion to start on November 15</w:t>
      </w:r>
    </w:p>
    <w:p w14:paraId="3B5C6136" w14:textId="169A2417" w:rsidR="00094B3B" w:rsidRPr="00E61DEB" w:rsidRDefault="00094B3B" w:rsidP="00B266F6"/>
    <w:p w14:paraId="06BC58FD" w14:textId="77777777" w:rsidR="003B5392" w:rsidRPr="00E61DEB" w:rsidRDefault="00E302D0" w:rsidP="003B5392">
      <w:pPr>
        <w:pStyle w:val="Titre1"/>
        <w:rPr>
          <w:sz w:val="22"/>
          <w:szCs w:val="22"/>
        </w:rPr>
      </w:pPr>
      <w:bookmarkStart w:id="4" w:name="_Toc82188762"/>
      <w:r w:rsidRPr="00E61DEB">
        <w:rPr>
          <w:sz w:val="22"/>
          <w:szCs w:val="22"/>
        </w:rPr>
        <w:t>Timing relationship enhancements</w:t>
      </w:r>
      <w:bookmarkEnd w:id="4"/>
    </w:p>
    <w:p w14:paraId="06BC58FE" w14:textId="77777777" w:rsidR="003B5392" w:rsidRPr="00E61DEB" w:rsidRDefault="003B5392" w:rsidP="003B5392">
      <w:pPr>
        <w:pStyle w:val="Titre2"/>
        <w:rPr>
          <w:sz w:val="22"/>
        </w:rPr>
      </w:pPr>
      <w:bookmarkStart w:id="5" w:name="_Toc82188763"/>
      <w:r w:rsidRPr="00E61DEB">
        <w:rPr>
          <w:sz w:val="22"/>
        </w:rPr>
        <w:t>Related RRC parameters</w:t>
      </w:r>
      <w:bookmarkEnd w:id="5"/>
    </w:p>
    <w:p w14:paraId="7048D389" w14:textId="051994C3" w:rsidR="008C2BB3" w:rsidRDefault="00304663" w:rsidP="008C2BB3">
      <w:r w:rsidRPr="00E61DEB">
        <w:t>Based on the ag</w:t>
      </w:r>
      <w:r w:rsidR="002D6400">
        <w:t>reements to date (up to RAN1#106</w:t>
      </w:r>
      <w:r w:rsidR="00095571">
        <w:t>-bis</w:t>
      </w:r>
      <w:r w:rsidRPr="00E61DEB">
        <w:t>-e) and the companies proposals submitted to RAN1#10</w:t>
      </w:r>
      <w:r w:rsidR="002D6400">
        <w:t>7</w:t>
      </w:r>
      <w:r w:rsidRPr="00E61DEB">
        <w:t>-e</w:t>
      </w:r>
      <w:r w:rsidR="008C2BB3" w:rsidRPr="00E61DEB">
        <w:t>, a</w:t>
      </w:r>
      <w:r w:rsidR="00AF5A94">
        <w:t>n updated</w:t>
      </w:r>
      <w:r w:rsidR="008C2BB3" w:rsidRPr="00E61DEB">
        <w:t xml:space="preserve"> list of RRC parameters pertinent to NR NTN </w:t>
      </w:r>
      <w:r w:rsidR="006759E6" w:rsidRPr="00E61DEB">
        <w:t xml:space="preserve"> and related to the t</w:t>
      </w:r>
      <w:r w:rsidR="008C2BB3" w:rsidRPr="00E61DEB">
        <w:t>iming relationship enhancements is given within the following table:</w:t>
      </w:r>
    </w:p>
    <w:tbl>
      <w:tblPr>
        <w:tblW w:w="5000" w:type="pct"/>
        <w:tblCellMar>
          <w:left w:w="70" w:type="dxa"/>
          <w:right w:w="70" w:type="dxa"/>
        </w:tblCellMar>
        <w:tblLook w:val="04A0" w:firstRow="1" w:lastRow="0" w:firstColumn="1" w:lastColumn="0" w:noHBand="0" w:noVBand="1"/>
      </w:tblPr>
      <w:tblGrid>
        <w:gridCol w:w="2242"/>
        <w:gridCol w:w="1644"/>
        <w:gridCol w:w="2242"/>
        <w:gridCol w:w="4407"/>
        <w:gridCol w:w="1259"/>
        <w:gridCol w:w="837"/>
        <w:gridCol w:w="965"/>
        <w:gridCol w:w="1264"/>
        <w:gridCol w:w="1350"/>
        <w:gridCol w:w="2766"/>
        <w:gridCol w:w="1142"/>
      </w:tblGrid>
      <w:tr w:rsidR="002D6400" w:rsidRPr="00ED534E" w14:paraId="69381AD6" w14:textId="77777777" w:rsidTr="002D6400">
        <w:trPr>
          <w:trHeight w:val="520"/>
          <w:tblHeader/>
        </w:trPr>
        <w:tc>
          <w:tcPr>
            <w:tcW w:w="500"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2EF62114" w14:textId="77777777" w:rsidR="002D6400" w:rsidRPr="00ED534E" w:rsidRDefault="002D6400" w:rsidP="002D6400">
            <w:pPr>
              <w:autoSpaceDE/>
              <w:autoSpaceDN/>
              <w:adjustRightInd/>
              <w:snapToGrid/>
              <w:spacing w:after="0"/>
              <w:jc w:val="left"/>
              <w:rPr>
                <w:rFonts w:eastAsia="Times New Roman"/>
                <w:b/>
                <w:bCs/>
                <w:color w:val="FFFFFF"/>
                <w:szCs w:val="20"/>
                <w:lang w:eastAsia="fr-FR"/>
              </w:rPr>
            </w:pPr>
            <w:r w:rsidRPr="00ED534E">
              <w:rPr>
                <w:rFonts w:eastAsia="Times New Roman"/>
                <w:b/>
                <w:bCs/>
                <w:color w:val="FFFFFF"/>
                <w:szCs w:val="20"/>
                <w:lang w:eastAsia="fr-FR"/>
              </w:rPr>
              <w:t>Parameter name in the spec</w:t>
            </w:r>
          </w:p>
        </w:tc>
        <w:tc>
          <w:tcPr>
            <w:tcW w:w="255" w:type="pct"/>
            <w:tcBorders>
              <w:top w:val="single" w:sz="4" w:space="0" w:color="auto"/>
              <w:left w:val="nil"/>
              <w:bottom w:val="single" w:sz="4" w:space="0" w:color="auto"/>
              <w:right w:val="single" w:sz="4" w:space="0" w:color="auto"/>
            </w:tcBorders>
            <w:shd w:val="clear" w:color="000000" w:fill="00B0F0"/>
            <w:vAlign w:val="center"/>
            <w:hideMark/>
          </w:tcPr>
          <w:p w14:paraId="335FD774" w14:textId="77777777" w:rsidR="002D6400" w:rsidRPr="00ED534E" w:rsidRDefault="002D6400" w:rsidP="002D6400">
            <w:pPr>
              <w:autoSpaceDE/>
              <w:autoSpaceDN/>
              <w:adjustRightInd/>
              <w:snapToGrid/>
              <w:spacing w:after="0"/>
              <w:jc w:val="left"/>
              <w:rPr>
                <w:rFonts w:eastAsia="Times New Roman"/>
                <w:b/>
                <w:bCs/>
                <w:color w:val="FFFFFF"/>
                <w:szCs w:val="20"/>
                <w:lang w:val="fr-FR" w:eastAsia="fr-FR"/>
              </w:rPr>
            </w:pPr>
            <w:r w:rsidRPr="00ED534E">
              <w:rPr>
                <w:rFonts w:eastAsia="Times New Roman"/>
                <w:b/>
                <w:bCs/>
                <w:color w:val="FFFFFF"/>
                <w:szCs w:val="20"/>
                <w:lang w:val="fr-FR" w:eastAsia="fr-FR"/>
              </w:rPr>
              <w:t>New or existing?</w:t>
            </w:r>
          </w:p>
        </w:tc>
        <w:tc>
          <w:tcPr>
            <w:tcW w:w="500" w:type="pct"/>
            <w:tcBorders>
              <w:top w:val="single" w:sz="4" w:space="0" w:color="auto"/>
              <w:left w:val="nil"/>
              <w:bottom w:val="single" w:sz="4" w:space="0" w:color="auto"/>
              <w:right w:val="single" w:sz="4" w:space="0" w:color="auto"/>
            </w:tcBorders>
            <w:shd w:val="clear" w:color="000000" w:fill="00B0F0"/>
            <w:vAlign w:val="center"/>
            <w:hideMark/>
          </w:tcPr>
          <w:p w14:paraId="7ED95926" w14:textId="77777777" w:rsidR="002D6400" w:rsidRPr="00ED534E" w:rsidRDefault="002D6400" w:rsidP="002D6400">
            <w:pPr>
              <w:autoSpaceDE/>
              <w:autoSpaceDN/>
              <w:adjustRightInd/>
              <w:snapToGrid/>
              <w:spacing w:after="0"/>
              <w:jc w:val="left"/>
              <w:rPr>
                <w:rFonts w:eastAsia="Times New Roman"/>
                <w:b/>
                <w:bCs/>
                <w:color w:val="FFFFFF"/>
                <w:szCs w:val="20"/>
                <w:lang w:eastAsia="fr-FR"/>
              </w:rPr>
            </w:pPr>
            <w:r w:rsidRPr="00ED534E">
              <w:rPr>
                <w:rFonts w:eastAsia="Times New Roman"/>
                <w:b/>
                <w:bCs/>
                <w:color w:val="FFFFFF"/>
                <w:szCs w:val="20"/>
                <w:lang w:eastAsia="fr-FR"/>
              </w:rPr>
              <w:t>Parameter name in the text</w:t>
            </w:r>
          </w:p>
        </w:tc>
        <w:tc>
          <w:tcPr>
            <w:tcW w:w="1153" w:type="pct"/>
            <w:tcBorders>
              <w:top w:val="single" w:sz="4" w:space="0" w:color="auto"/>
              <w:left w:val="nil"/>
              <w:bottom w:val="single" w:sz="4" w:space="0" w:color="auto"/>
              <w:right w:val="single" w:sz="4" w:space="0" w:color="auto"/>
            </w:tcBorders>
            <w:shd w:val="clear" w:color="000000" w:fill="00B0F0"/>
            <w:vAlign w:val="center"/>
            <w:hideMark/>
          </w:tcPr>
          <w:p w14:paraId="733E091A" w14:textId="77777777" w:rsidR="002D6400" w:rsidRPr="00ED534E" w:rsidRDefault="002D6400" w:rsidP="002D6400">
            <w:pPr>
              <w:autoSpaceDE/>
              <w:autoSpaceDN/>
              <w:adjustRightInd/>
              <w:snapToGrid/>
              <w:spacing w:after="0"/>
              <w:jc w:val="left"/>
              <w:rPr>
                <w:rFonts w:eastAsia="Times New Roman"/>
                <w:b/>
                <w:bCs/>
                <w:color w:val="FFFFFF"/>
                <w:szCs w:val="20"/>
                <w:lang w:val="fr-FR" w:eastAsia="fr-FR"/>
              </w:rPr>
            </w:pPr>
            <w:r w:rsidRPr="00ED534E">
              <w:rPr>
                <w:rFonts w:eastAsia="Times New Roman"/>
                <w:b/>
                <w:bCs/>
                <w:color w:val="FFFFFF"/>
                <w:szCs w:val="20"/>
                <w:lang w:val="fr-FR" w:eastAsia="fr-FR"/>
              </w:rPr>
              <w:t>Description</w:t>
            </w:r>
          </w:p>
        </w:tc>
        <w:tc>
          <w:tcPr>
            <w:tcW w:w="284" w:type="pct"/>
            <w:tcBorders>
              <w:top w:val="single" w:sz="4" w:space="0" w:color="auto"/>
              <w:left w:val="nil"/>
              <w:bottom w:val="single" w:sz="4" w:space="0" w:color="auto"/>
              <w:right w:val="single" w:sz="4" w:space="0" w:color="auto"/>
            </w:tcBorders>
            <w:shd w:val="clear" w:color="000000" w:fill="00B0F0"/>
            <w:vAlign w:val="center"/>
            <w:hideMark/>
          </w:tcPr>
          <w:p w14:paraId="2DF025DB" w14:textId="77777777" w:rsidR="002D6400" w:rsidRPr="00ED534E" w:rsidRDefault="002D6400" w:rsidP="002D6400">
            <w:pPr>
              <w:autoSpaceDE/>
              <w:autoSpaceDN/>
              <w:adjustRightInd/>
              <w:snapToGrid/>
              <w:spacing w:after="0"/>
              <w:jc w:val="left"/>
              <w:rPr>
                <w:rFonts w:eastAsia="Times New Roman"/>
                <w:b/>
                <w:bCs/>
                <w:color w:val="FFFFFF"/>
                <w:szCs w:val="20"/>
                <w:lang w:val="fr-FR" w:eastAsia="fr-FR"/>
              </w:rPr>
            </w:pPr>
            <w:r w:rsidRPr="00ED534E">
              <w:rPr>
                <w:rFonts w:eastAsia="Times New Roman"/>
                <w:b/>
                <w:bCs/>
                <w:color w:val="FFFFFF"/>
                <w:szCs w:val="20"/>
                <w:lang w:val="fr-FR" w:eastAsia="fr-FR"/>
              </w:rPr>
              <w:t>Value range</w:t>
            </w:r>
          </w:p>
        </w:tc>
        <w:tc>
          <w:tcPr>
            <w:tcW w:w="248" w:type="pct"/>
            <w:tcBorders>
              <w:top w:val="single" w:sz="4" w:space="0" w:color="auto"/>
              <w:left w:val="nil"/>
              <w:bottom w:val="single" w:sz="4" w:space="0" w:color="auto"/>
              <w:right w:val="single" w:sz="4" w:space="0" w:color="auto"/>
            </w:tcBorders>
            <w:shd w:val="clear" w:color="000000" w:fill="00B0F0"/>
            <w:vAlign w:val="center"/>
            <w:hideMark/>
          </w:tcPr>
          <w:p w14:paraId="70E8FC53" w14:textId="77777777" w:rsidR="002D6400" w:rsidRPr="00ED534E" w:rsidRDefault="002D6400" w:rsidP="002D6400">
            <w:pPr>
              <w:autoSpaceDE/>
              <w:autoSpaceDN/>
              <w:adjustRightInd/>
              <w:snapToGrid/>
              <w:spacing w:after="0"/>
              <w:jc w:val="left"/>
              <w:rPr>
                <w:rFonts w:eastAsia="Times New Roman"/>
                <w:b/>
                <w:bCs/>
                <w:color w:val="FFFFFF"/>
                <w:szCs w:val="20"/>
                <w:lang w:val="fr-FR" w:eastAsia="fr-FR"/>
              </w:rPr>
            </w:pPr>
            <w:r w:rsidRPr="00ED534E">
              <w:rPr>
                <w:rFonts w:eastAsia="Times New Roman"/>
                <w:b/>
                <w:bCs/>
                <w:color w:val="FFFFFF"/>
                <w:szCs w:val="20"/>
                <w:lang w:val="fr-FR" w:eastAsia="fr-FR"/>
              </w:rPr>
              <w:t>Default value aspect</w:t>
            </w:r>
          </w:p>
        </w:tc>
        <w:tc>
          <w:tcPr>
            <w:tcW w:w="248" w:type="pct"/>
            <w:tcBorders>
              <w:top w:val="single" w:sz="4" w:space="0" w:color="auto"/>
              <w:left w:val="nil"/>
              <w:bottom w:val="single" w:sz="4" w:space="0" w:color="auto"/>
              <w:right w:val="single" w:sz="4" w:space="0" w:color="auto"/>
            </w:tcBorders>
            <w:shd w:val="clear" w:color="000000" w:fill="00B0F0"/>
            <w:vAlign w:val="center"/>
            <w:hideMark/>
          </w:tcPr>
          <w:p w14:paraId="3524FE14" w14:textId="77777777" w:rsidR="002D6400" w:rsidRPr="00ED534E" w:rsidRDefault="002D6400" w:rsidP="002D6400">
            <w:pPr>
              <w:autoSpaceDE/>
              <w:autoSpaceDN/>
              <w:adjustRightInd/>
              <w:snapToGrid/>
              <w:spacing w:after="0"/>
              <w:jc w:val="left"/>
              <w:rPr>
                <w:rFonts w:eastAsia="Times New Roman"/>
                <w:b/>
                <w:bCs/>
                <w:color w:val="FFFFFF"/>
                <w:szCs w:val="20"/>
                <w:lang w:val="fr-FR" w:eastAsia="fr-FR"/>
              </w:rPr>
            </w:pPr>
            <w:r w:rsidRPr="00ED534E">
              <w:rPr>
                <w:rFonts w:eastAsia="Times New Roman"/>
                <w:b/>
                <w:bCs/>
                <w:color w:val="FFFFFF"/>
                <w:szCs w:val="20"/>
                <w:lang w:val="fr-FR" w:eastAsia="fr-FR"/>
              </w:rPr>
              <w:t>Per (UE, cell, TRP, …)</w:t>
            </w:r>
          </w:p>
        </w:tc>
        <w:tc>
          <w:tcPr>
            <w:tcW w:w="374" w:type="pct"/>
            <w:tcBorders>
              <w:top w:val="single" w:sz="4" w:space="0" w:color="auto"/>
              <w:left w:val="nil"/>
              <w:bottom w:val="single" w:sz="4" w:space="0" w:color="auto"/>
              <w:right w:val="single" w:sz="4" w:space="0" w:color="auto"/>
            </w:tcBorders>
            <w:shd w:val="clear" w:color="000000" w:fill="00B0F0"/>
            <w:vAlign w:val="center"/>
            <w:hideMark/>
          </w:tcPr>
          <w:p w14:paraId="67341DE7" w14:textId="77777777" w:rsidR="002D6400" w:rsidRPr="00ED534E" w:rsidRDefault="002D6400" w:rsidP="002D6400">
            <w:pPr>
              <w:autoSpaceDE/>
              <w:autoSpaceDN/>
              <w:adjustRightInd/>
              <w:snapToGrid/>
              <w:spacing w:after="0"/>
              <w:jc w:val="left"/>
              <w:rPr>
                <w:rFonts w:eastAsia="Times New Roman"/>
                <w:b/>
                <w:bCs/>
                <w:color w:val="FFFFFF"/>
                <w:szCs w:val="20"/>
                <w:lang w:eastAsia="fr-FR"/>
              </w:rPr>
            </w:pPr>
            <w:r w:rsidRPr="00ED534E">
              <w:rPr>
                <w:rFonts w:eastAsia="Times New Roman"/>
                <w:b/>
                <w:bCs/>
                <w:color w:val="FFFFFF"/>
                <w:szCs w:val="20"/>
                <w:lang w:eastAsia="fr-FR"/>
              </w:rPr>
              <w:t>UE-specific or Cell-specific</w:t>
            </w:r>
          </w:p>
        </w:tc>
        <w:tc>
          <w:tcPr>
            <w:tcW w:w="346" w:type="pct"/>
            <w:tcBorders>
              <w:top w:val="single" w:sz="4" w:space="0" w:color="auto"/>
              <w:left w:val="nil"/>
              <w:bottom w:val="single" w:sz="4" w:space="0" w:color="auto"/>
              <w:right w:val="single" w:sz="4" w:space="0" w:color="auto"/>
            </w:tcBorders>
            <w:shd w:val="clear" w:color="000000" w:fill="00B0F0"/>
            <w:vAlign w:val="center"/>
            <w:hideMark/>
          </w:tcPr>
          <w:p w14:paraId="556C228C" w14:textId="77777777" w:rsidR="002D6400" w:rsidRPr="00ED534E" w:rsidRDefault="002D6400" w:rsidP="002D6400">
            <w:pPr>
              <w:autoSpaceDE/>
              <w:autoSpaceDN/>
              <w:adjustRightInd/>
              <w:snapToGrid/>
              <w:spacing w:after="0"/>
              <w:jc w:val="left"/>
              <w:rPr>
                <w:rFonts w:eastAsia="Times New Roman"/>
                <w:b/>
                <w:bCs/>
                <w:color w:val="FFFFFF"/>
                <w:szCs w:val="20"/>
                <w:lang w:val="fr-FR" w:eastAsia="fr-FR"/>
              </w:rPr>
            </w:pPr>
            <w:r w:rsidRPr="00ED534E">
              <w:rPr>
                <w:rFonts w:eastAsia="Times New Roman"/>
                <w:b/>
                <w:bCs/>
                <w:color w:val="FFFFFF"/>
                <w:szCs w:val="20"/>
                <w:lang w:val="fr-FR" w:eastAsia="fr-FR"/>
              </w:rPr>
              <w:t>Specification</w:t>
            </w:r>
          </w:p>
        </w:tc>
        <w:tc>
          <w:tcPr>
            <w:tcW w:w="857" w:type="pct"/>
            <w:tcBorders>
              <w:top w:val="single" w:sz="4" w:space="0" w:color="auto"/>
              <w:left w:val="nil"/>
              <w:bottom w:val="single" w:sz="4" w:space="0" w:color="auto"/>
              <w:right w:val="single" w:sz="4" w:space="0" w:color="auto"/>
            </w:tcBorders>
            <w:shd w:val="clear" w:color="000000" w:fill="00B0F0"/>
            <w:vAlign w:val="center"/>
            <w:hideMark/>
          </w:tcPr>
          <w:p w14:paraId="307649D3" w14:textId="77777777" w:rsidR="002D6400" w:rsidRPr="00ED534E" w:rsidRDefault="002D6400" w:rsidP="002D6400">
            <w:pPr>
              <w:autoSpaceDE/>
              <w:autoSpaceDN/>
              <w:adjustRightInd/>
              <w:snapToGrid/>
              <w:spacing w:after="0"/>
              <w:jc w:val="left"/>
              <w:rPr>
                <w:rFonts w:eastAsia="Times New Roman"/>
                <w:b/>
                <w:bCs/>
                <w:color w:val="FFFFFF"/>
                <w:szCs w:val="20"/>
                <w:lang w:val="fr-FR" w:eastAsia="fr-FR"/>
              </w:rPr>
            </w:pPr>
            <w:r w:rsidRPr="00ED534E">
              <w:rPr>
                <w:rFonts w:eastAsia="Times New Roman"/>
                <w:b/>
                <w:bCs/>
                <w:color w:val="FFFFFF"/>
                <w:szCs w:val="20"/>
                <w:lang w:val="fr-FR" w:eastAsia="fr-FR"/>
              </w:rPr>
              <w:t>Comment</w:t>
            </w:r>
          </w:p>
        </w:tc>
        <w:tc>
          <w:tcPr>
            <w:tcW w:w="235" w:type="pct"/>
            <w:tcBorders>
              <w:top w:val="single" w:sz="4" w:space="0" w:color="auto"/>
              <w:left w:val="nil"/>
              <w:bottom w:val="single" w:sz="4" w:space="0" w:color="auto"/>
              <w:right w:val="single" w:sz="4" w:space="0" w:color="auto"/>
            </w:tcBorders>
            <w:shd w:val="clear" w:color="000000" w:fill="00B0F0"/>
            <w:vAlign w:val="center"/>
            <w:hideMark/>
          </w:tcPr>
          <w:p w14:paraId="44FAEBE2" w14:textId="77777777" w:rsidR="002D6400" w:rsidRPr="00ED534E" w:rsidRDefault="002D6400" w:rsidP="002D6400">
            <w:pPr>
              <w:autoSpaceDE/>
              <w:autoSpaceDN/>
              <w:adjustRightInd/>
              <w:snapToGrid/>
              <w:spacing w:after="0"/>
              <w:jc w:val="left"/>
              <w:rPr>
                <w:rFonts w:eastAsia="Times New Roman"/>
                <w:b/>
                <w:bCs/>
                <w:color w:val="FFFFFF"/>
                <w:szCs w:val="20"/>
                <w:lang w:val="fr-FR" w:eastAsia="fr-FR"/>
              </w:rPr>
            </w:pPr>
            <w:r w:rsidRPr="00ED534E">
              <w:rPr>
                <w:rFonts w:eastAsia="Times New Roman"/>
                <w:b/>
                <w:bCs/>
                <w:color w:val="FFFFFF"/>
                <w:szCs w:val="20"/>
                <w:lang w:val="fr-FR" w:eastAsia="fr-FR"/>
              </w:rPr>
              <w:t>Status</w:t>
            </w:r>
          </w:p>
        </w:tc>
      </w:tr>
      <w:tr w:rsidR="002D6400" w:rsidRPr="00ED534E" w14:paraId="7F959FC9" w14:textId="77777777" w:rsidTr="002D6400">
        <w:trPr>
          <w:trHeight w:val="115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86A6680"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CellSpecific_Koffset</w:t>
            </w:r>
          </w:p>
        </w:tc>
        <w:tc>
          <w:tcPr>
            <w:tcW w:w="255" w:type="pct"/>
            <w:tcBorders>
              <w:top w:val="nil"/>
              <w:left w:val="nil"/>
              <w:bottom w:val="single" w:sz="4" w:space="0" w:color="auto"/>
              <w:right w:val="single" w:sz="4" w:space="0" w:color="auto"/>
            </w:tcBorders>
            <w:shd w:val="clear" w:color="auto" w:fill="auto"/>
            <w:noWrap/>
            <w:vAlign w:val="center"/>
            <w:hideMark/>
          </w:tcPr>
          <w:p w14:paraId="14EAFF6A"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New</w:t>
            </w:r>
          </w:p>
        </w:tc>
        <w:tc>
          <w:tcPr>
            <w:tcW w:w="500" w:type="pct"/>
            <w:tcBorders>
              <w:top w:val="nil"/>
              <w:left w:val="nil"/>
              <w:bottom w:val="single" w:sz="4" w:space="0" w:color="auto"/>
              <w:right w:val="single" w:sz="4" w:space="0" w:color="auto"/>
            </w:tcBorders>
            <w:shd w:val="clear" w:color="auto" w:fill="auto"/>
            <w:noWrap/>
            <w:vAlign w:val="center"/>
            <w:hideMark/>
          </w:tcPr>
          <w:p w14:paraId="165540DB"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CellSpecific_Koffset</w:t>
            </w:r>
          </w:p>
        </w:tc>
        <w:tc>
          <w:tcPr>
            <w:tcW w:w="1153" w:type="pct"/>
            <w:tcBorders>
              <w:top w:val="nil"/>
              <w:left w:val="nil"/>
              <w:bottom w:val="single" w:sz="4" w:space="0" w:color="auto"/>
              <w:right w:val="single" w:sz="4" w:space="0" w:color="auto"/>
            </w:tcBorders>
            <w:shd w:val="clear" w:color="auto" w:fill="auto"/>
            <w:vAlign w:val="center"/>
            <w:hideMark/>
          </w:tcPr>
          <w:p w14:paraId="5FA5BFA3" w14:textId="77777777" w:rsidR="002D6400" w:rsidRPr="00ED534E" w:rsidRDefault="002D6400" w:rsidP="002D6400">
            <w:pPr>
              <w:autoSpaceDE/>
              <w:autoSpaceDN/>
              <w:adjustRightInd/>
              <w:snapToGrid/>
              <w:spacing w:after="0"/>
              <w:jc w:val="left"/>
              <w:rPr>
                <w:rFonts w:eastAsia="Times New Roman"/>
                <w:color w:val="000000"/>
                <w:szCs w:val="20"/>
                <w:lang w:eastAsia="fr-FR"/>
              </w:rPr>
            </w:pPr>
            <w:r w:rsidRPr="00ED534E">
              <w:rPr>
                <w:rFonts w:eastAsia="Times New Roman"/>
                <w:color w:val="000000"/>
                <w:szCs w:val="20"/>
                <w:lang w:eastAsia="fr-FR"/>
              </w:rPr>
              <w:t xml:space="preserve">The CellSpecific_K_offset is a scheduling offset used for the timing relationships that need to be modified for NTN [see TS 38.2xy]. </w:t>
            </w:r>
            <w:r w:rsidRPr="00ED534E">
              <w:rPr>
                <w:rFonts w:eastAsia="Times New Roman"/>
                <w:color w:val="000000"/>
                <w:szCs w:val="20"/>
                <w:lang w:eastAsia="fr-FR"/>
              </w:rPr>
              <w:br/>
              <w:t>The unit of K_offset is number of slots for a given subcarrier spacing of 15 kHz</w:t>
            </w:r>
          </w:p>
        </w:tc>
        <w:tc>
          <w:tcPr>
            <w:tcW w:w="284" w:type="pct"/>
            <w:tcBorders>
              <w:top w:val="nil"/>
              <w:left w:val="nil"/>
              <w:bottom w:val="single" w:sz="4" w:space="0" w:color="auto"/>
              <w:right w:val="single" w:sz="4" w:space="0" w:color="auto"/>
            </w:tcBorders>
            <w:shd w:val="clear" w:color="auto" w:fill="auto"/>
            <w:noWrap/>
            <w:vAlign w:val="center"/>
            <w:hideMark/>
          </w:tcPr>
          <w:p w14:paraId="74B5C540" w14:textId="342F2520" w:rsidR="002D6400" w:rsidRPr="00ED534E" w:rsidRDefault="00AF5A94" w:rsidP="002D6400">
            <w:pPr>
              <w:autoSpaceDE/>
              <w:autoSpaceDN/>
              <w:adjustRightInd/>
              <w:snapToGrid/>
              <w:spacing w:after="0"/>
              <w:jc w:val="left"/>
              <w:rPr>
                <w:rFonts w:eastAsia="Times New Roman"/>
                <w:color w:val="000000"/>
                <w:szCs w:val="20"/>
                <w:lang w:val="fr-FR" w:eastAsia="fr-FR"/>
              </w:rPr>
            </w:pPr>
            <w:r w:rsidRPr="00AF5A94">
              <w:rPr>
                <w:rFonts w:eastAsia="Times New Roman"/>
                <w:color w:val="FF0000"/>
                <w:szCs w:val="20"/>
                <w:lang w:val="fr-FR" w:eastAsia="fr-FR"/>
              </w:rPr>
              <w:t>[0 – 542 ms]</w:t>
            </w:r>
          </w:p>
        </w:tc>
        <w:tc>
          <w:tcPr>
            <w:tcW w:w="248" w:type="pct"/>
            <w:tcBorders>
              <w:top w:val="nil"/>
              <w:left w:val="nil"/>
              <w:bottom w:val="single" w:sz="4" w:space="0" w:color="auto"/>
              <w:right w:val="single" w:sz="4" w:space="0" w:color="auto"/>
            </w:tcBorders>
            <w:shd w:val="clear" w:color="auto" w:fill="auto"/>
            <w:noWrap/>
            <w:vAlign w:val="center"/>
            <w:hideMark/>
          </w:tcPr>
          <w:p w14:paraId="7C5D1DCF"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TBD</w:t>
            </w:r>
          </w:p>
        </w:tc>
        <w:tc>
          <w:tcPr>
            <w:tcW w:w="248" w:type="pct"/>
            <w:tcBorders>
              <w:top w:val="nil"/>
              <w:left w:val="nil"/>
              <w:bottom w:val="single" w:sz="4" w:space="0" w:color="auto"/>
              <w:right w:val="single" w:sz="4" w:space="0" w:color="auto"/>
            </w:tcBorders>
            <w:shd w:val="clear" w:color="auto" w:fill="auto"/>
            <w:noWrap/>
            <w:vAlign w:val="center"/>
            <w:hideMark/>
          </w:tcPr>
          <w:p w14:paraId="1B4D8E41"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cell</w:t>
            </w:r>
          </w:p>
        </w:tc>
        <w:tc>
          <w:tcPr>
            <w:tcW w:w="374" w:type="pct"/>
            <w:tcBorders>
              <w:top w:val="nil"/>
              <w:left w:val="nil"/>
              <w:bottom w:val="single" w:sz="4" w:space="0" w:color="auto"/>
              <w:right w:val="single" w:sz="4" w:space="0" w:color="auto"/>
            </w:tcBorders>
            <w:shd w:val="clear" w:color="auto" w:fill="auto"/>
            <w:noWrap/>
            <w:vAlign w:val="center"/>
            <w:hideMark/>
          </w:tcPr>
          <w:p w14:paraId="0957176D"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Cell-specific</w:t>
            </w:r>
          </w:p>
        </w:tc>
        <w:tc>
          <w:tcPr>
            <w:tcW w:w="346" w:type="pct"/>
            <w:tcBorders>
              <w:top w:val="nil"/>
              <w:left w:val="nil"/>
              <w:bottom w:val="single" w:sz="4" w:space="0" w:color="auto"/>
              <w:right w:val="single" w:sz="4" w:space="0" w:color="auto"/>
            </w:tcBorders>
            <w:shd w:val="clear" w:color="auto" w:fill="auto"/>
            <w:noWrap/>
            <w:vAlign w:val="center"/>
            <w:hideMark/>
          </w:tcPr>
          <w:p w14:paraId="6D2A72D5"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38.331</w:t>
            </w:r>
          </w:p>
        </w:tc>
        <w:tc>
          <w:tcPr>
            <w:tcW w:w="857" w:type="pct"/>
            <w:tcBorders>
              <w:top w:val="nil"/>
              <w:left w:val="nil"/>
              <w:bottom w:val="single" w:sz="4" w:space="0" w:color="auto"/>
              <w:right w:val="single" w:sz="4" w:space="0" w:color="auto"/>
            </w:tcBorders>
            <w:shd w:val="clear" w:color="auto" w:fill="auto"/>
            <w:vAlign w:val="center"/>
            <w:hideMark/>
          </w:tcPr>
          <w:p w14:paraId="1084451A"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eastAsia="fr-FR"/>
              </w:rPr>
              <w:br/>
              <w:t>• For the reference subcarrier spacing value for the unit of K_offset in FR1, a value of 15 kHz is used.</w:t>
            </w:r>
            <w:r w:rsidRPr="00ED534E">
              <w:rPr>
                <w:rFonts w:eastAsia="Times New Roman"/>
                <w:color w:val="000000"/>
                <w:szCs w:val="20"/>
                <w:lang w:eastAsia="fr-FR"/>
              </w:rPr>
              <w:br/>
            </w:r>
            <w:r w:rsidRPr="00ED534E">
              <w:rPr>
                <w:rFonts w:eastAsia="Times New Roman"/>
                <w:color w:val="000000"/>
                <w:szCs w:val="20"/>
                <w:lang w:val="fr-FR" w:eastAsia="fr-FR"/>
              </w:rPr>
              <w:t>• FFS: FR2</w:t>
            </w:r>
          </w:p>
        </w:tc>
        <w:tc>
          <w:tcPr>
            <w:tcW w:w="235" w:type="pct"/>
            <w:tcBorders>
              <w:top w:val="nil"/>
              <w:left w:val="nil"/>
              <w:bottom w:val="single" w:sz="4" w:space="0" w:color="auto"/>
              <w:right w:val="single" w:sz="4" w:space="0" w:color="auto"/>
            </w:tcBorders>
            <w:shd w:val="clear" w:color="auto" w:fill="auto"/>
            <w:noWrap/>
            <w:vAlign w:val="bottom"/>
            <w:hideMark/>
          </w:tcPr>
          <w:p w14:paraId="3D5BA354" w14:textId="73E9928F" w:rsidR="002D6400" w:rsidRPr="00ED534E" w:rsidRDefault="00AF5A94" w:rsidP="002D6400">
            <w:pPr>
              <w:autoSpaceDE/>
              <w:autoSpaceDN/>
              <w:adjustRightInd/>
              <w:snapToGrid/>
              <w:spacing w:after="0"/>
              <w:jc w:val="left"/>
              <w:rPr>
                <w:rFonts w:eastAsia="Times New Roman"/>
                <w:color w:val="ED7D31"/>
                <w:szCs w:val="20"/>
                <w:lang w:val="fr-FR" w:eastAsia="fr-FR"/>
              </w:rPr>
            </w:pPr>
            <w:r w:rsidRPr="00AF5A94">
              <w:rPr>
                <w:rFonts w:eastAsia="Times New Roman"/>
                <w:color w:val="00B050"/>
                <w:szCs w:val="20"/>
                <w:lang w:val="fr-FR" w:eastAsia="fr-FR"/>
              </w:rPr>
              <w:t>New-stable</w:t>
            </w:r>
          </w:p>
        </w:tc>
      </w:tr>
      <w:tr w:rsidR="002D6400" w:rsidRPr="00ED534E" w14:paraId="5880015E" w14:textId="77777777" w:rsidTr="002D6400">
        <w:trPr>
          <w:trHeight w:val="322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A1FCCCB"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lastRenderedPageBreak/>
              <w:t>K_mac</w:t>
            </w:r>
          </w:p>
        </w:tc>
        <w:tc>
          <w:tcPr>
            <w:tcW w:w="255" w:type="pct"/>
            <w:tcBorders>
              <w:top w:val="nil"/>
              <w:left w:val="nil"/>
              <w:bottom w:val="single" w:sz="4" w:space="0" w:color="auto"/>
              <w:right w:val="single" w:sz="4" w:space="0" w:color="auto"/>
            </w:tcBorders>
            <w:shd w:val="clear" w:color="auto" w:fill="auto"/>
            <w:noWrap/>
            <w:vAlign w:val="center"/>
            <w:hideMark/>
          </w:tcPr>
          <w:p w14:paraId="21005B71"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New</w:t>
            </w:r>
          </w:p>
        </w:tc>
        <w:tc>
          <w:tcPr>
            <w:tcW w:w="500" w:type="pct"/>
            <w:tcBorders>
              <w:top w:val="nil"/>
              <w:left w:val="nil"/>
              <w:bottom w:val="single" w:sz="4" w:space="0" w:color="auto"/>
              <w:right w:val="single" w:sz="4" w:space="0" w:color="auto"/>
            </w:tcBorders>
            <w:shd w:val="clear" w:color="auto" w:fill="auto"/>
            <w:noWrap/>
            <w:vAlign w:val="center"/>
            <w:hideMark/>
          </w:tcPr>
          <w:p w14:paraId="25C0D3C5"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K_mac</w:t>
            </w:r>
          </w:p>
        </w:tc>
        <w:tc>
          <w:tcPr>
            <w:tcW w:w="1153" w:type="pct"/>
            <w:tcBorders>
              <w:top w:val="nil"/>
              <w:left w:val="nil"/>
              <w:bottom w:val="single" w:sz="4" w:space="0" w:color="auto"/>
              <w:right w:val="single" w:sz="4" w:space="0" w:color="auto"/>
            </w:tcBorders>
            <w:shd w:val="clear" w:color="auto" w:fill="auto"/>
            <w:vAlign w:val="center"/>
            <w:hideMark/>
          </w:tcPr>
          <w:p w14:paraId="7188FE9C" w14:textId="77777777" w:rsidR="002D6400" w:rsidRPr="00ED534E" w:rsidRDefault="002D6400" w:rsidP="002D6400">
            <w:pPr>
              <w:autoSpaceDE/>
              <w:autoSpaceDN/>
              <w:adjustRightInd/>
              <w:snapToGrid/>
              <w:spacing w:after="0"/>
              <w:jc w:val="left"/>
              <w:rPr>
                <w:rFonts w:eastAsia="Times New Roman"/>
                <w:color w:val="000000"/>
                <w:szCs w:val="20"/>
                <w:lang w:eastAsia="fr-FR"/>
              </w:rPr>
            </w:pPr>
            <w:r w:rsidRPr="00ED534E">
              <w:rPr>
                <w:rFonts w:eastAsia="Times New Roman"/>
                <w:color w:val="000000"/>
                <w:szCs w:val="20"/>
                <w:lang w:eastAsia="fr-FR"/>
              </w:rPr>
              <w:t>K_mac is a scheduling offset provided by network if downlink and uplink frame timing are not aligned at gNB. It is needed for UE action and assumption on downlink configuration indicated by a MAC-CE command in PDSCH [see TS 38.2xy].</w:t>
            </w:r>
            <w:r w:rsidRPr="00ED534E">
              <w:rPr>
                <w:rFonts w:eastAsia="Times New Roman"/>
                <w:color w:val="000000"/>
                <w:szCs w:val="20"/>
                <w:lang w:eastAsia="fr-FR"/>
              </w:rPr>
              <w:br/>
              <w:t>When UE is not provided by network with a K_mac value, UE assumes K_mac = 0.</w:t>
            </w:r>
            <w:r w:rsidRPr="00ED534E">
              <w:rPr>
                <w:rFonts w:eastAsia="Times New Roman"/>
                <w:color w:val="000000"/>
                <w:szCs w:val="20"/>
                <w:lang w:eastAsia="fr-FR"/>
              </w:rPr>
              <w:br/>
            </w:r>
            <w:r w:rsidRPr="00ED534E">
              <w:rPr>
                <w:rFonts w:eastAsia="Times New Roman"/>
                <w:color w:val="000000"/>
                <w:szCs w:val="20"/>
                <w:lang w:eastAsia="fr-FR"/>
              </w:rPr>
              <w:br/>
              <w:t>The unit of K_mac is number of slots for a given subcarrier spacing.</w:t>
            </w:r>
          </w:p>
        </w:tc>
        <w:tc>
          <w:tcPr>
            <w:tcW w:w="284" w:type="pct"/>
            <w:tcBorders>
              <w:top w:val="nil"/>
              <w:left w:val="nil"/>
              <w:bottom w:val="single" w:sz="4" w:space="0" w:color="auto"/>
              <w:right w:val="single" w:sz="4" w:space="0" w:color="auto"/>
            </w:tcBorders>
            <w:shd w:val="clear" w:color="auto" w:fill="auto"/>
            <w:noWrap/>
            <w:vAlign w:val="center"/>
            <w:hideMark/>
          </w:tcPr>
          <w:p w14:paraId="2F9CA2E8" w14:textId="2EB6E6A6" w:rsidR="002D6400" w:rsidRPr="00ED534E" w:rsidRDefault="00AF5A94" w:rsidP="002D6400">
            <w:pPr>
              <w:autoSpaceDE/>
              <w:autoSpaceDN/>
              <w:adjustRightInd/>
              <w:snapToGrid/>
              <w:spacing w:after="0"/>
              <w:jc w:val="left"/>
              <w:rPr>
                <w:rFonts w:eastAsia="Times New Roman"/>
                <w:color w:val="000000"/>
                <w:szCs w:val="20"/>
                <w:lang w:val="fr-FR" w:eastAsia="fr-FR"/>
              </w:rPr>
            </w:pPr>
            <w:r w:rsidRPr="00AF5A94">
              <w:rPr>
                <w:rFonts w:eastAsia="Times New Roman"/>
                <w:color w:val="FF0000"/>
                <w:szCs w:val="20"/>
                <w:lang w:val="fr-FR" w:eastAsia="fr-FR"/>
              </w:rPr>
              <w:t>[</w:t>
            </w:r>
            <w:r w:rsidRPr="00AF5A94">
              <w:rPr>
                <w:color w:val="FF0000"/>
              </w:rPr>
              <w:t>1 – 271 ms]</w:t>
            </w:r>
          </w:p>
        </w:tc>
        <w:tc>
          <w:tcPr>
            <w:tcW w:w="248" w:type="pct"/>
            <w:tcBorders>
              <w:top w:val="nil"/>
              <w:left w:val="nil"/>
              <w:bottom w:val="single" w:sz="4" w:space="0" w:color="auto"/>
              <w:right w:val="single" w:sz="4" w:space="0" w:color="auto"/>
            </w:tcBorders>
            <w:shd w:val="clear" w:color="auto" w:fill="auto"/>
            <w:noWrap/>
            <w:vAlign w:val="center"/>
            <w:hideMark/>
          </w:tcPr>
          <w:p w14:paraId="2722580E"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0</w:t>
            </w:r>
          </w:p>
        </w:tc>
        <w:tc>
          <w:tcPr>
            <w:tcW w:w="248" w:type="pct"/>
            <w:tcBorders>
              <w:top w:val="nil"/>
              <w:left w:val="nil"/>
              <w:bottom w:val="single" w:sz="4" w:space="0" w:color="auto"/>
              <w:right w:val="single" w:sz="4" w:space="0" w:color="auto"/>
            </w:tcBorders>
            <w:shd w:val="clear" w:color="auto" w:fill="auto"/>
            <w:noWrap/>
            <w:vAlign w:val="center"/>
            <w:hideMark/>
          </w:tcPr>
          <w:p w14:paraId="6B98C648"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cell</w:t>
            </w:r>
          </w:p>
        </w:tc>
        <w:tc>
          <w:tcPr>
            <w:tcW w:w="374" w:type="pct"/>
            <w:tcBorders>
              <w:top w:val="nil"/>
              <w:left w:val="nil"/>
              <w:bottom w:val="single" w:sz="4" w:space="0" w:color="auto"/>
              <w:right w:val="single" w:sz="4" w:space="0" w:color="auto"/>
            </w:tcBorders>
            <w:shd w:val="clear" w:color="auto" w:fill="auto"/>
            <w:noWrap/>
            <w:vAlign w:val="center"/>
            <w:hideMark/>
          </w:tcPr>
          <w:p w14:paraId="5EFBB702"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Cell-specific</w:t>
            </w:r>
          </w:p>
        </w:tc>
        <w:tc>
          <w:tcPr>
            <w:tcW w:w="346" w:type="pct"/>
            <w:tcBorders>
              <w:top w:val="nil"/>
              <w:left w:val="nil"/>
              <w:bottom w:val="single" w:sz="4" w:space="0" w:color="auto"/>
              <w:right w:val="single" w:sz="4" w:space="0" w:color="auto"/>
            </w:tcBorders>
            <w:shd w:val="clear" w:color="auto" w:fill="auto"/>
            <w:noWrap/>
            <w:vAlign w:val="center"/>
            <w:hideMark/>
          </w:tcPr>
          <w:p w14:paraId="79A8B57E"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38.331</w:t>
            </w:r>
          </w:p>
        </w:tc>
        <w:tc>
          <w:tcPr>
            <w:tcW w:w="857" w:type="pct"/>
            <w:tcBorders>
              <w:top w:val="nil"/>
              <w:left w:val="nil"/>
              <w:bottom w:val="single" w:sz="4" w:space="0" w:color="auto"/>
              <w:right w:val="single" w:sz="4" w:space="0" w:color="auto"/>
            </w:tcBorders>
            <w:shd w:val="clear" w:color="auto" w:fill="auto"/>
            <w:vAlign w:val="center"/>
            <w:hideMark/>
          </w:tcPr>
          <w:p w14:paraId="5847A6F2"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eastAsia="fr-FR"/>
              </w:rPr>
              <w:t>The clarifications on the usage of the parameters by “It is needed … “ would be captured in [see TS 38.2xy]</w:t>
            </w:r>
            <w:r w:rsidRPr="00ED534E">
              <w:rPr>
                <w:rFonts w:eastAsia="Times New Roman"/>
                <w:color w:val="000000"/>
                <w:szCs w:val="20"/>
                <w:lang w:eastAsia="fr-FR"/>
              </w:rPr>
              <w:br/>
            </w:r>
            <w:r w:rsidRPr="00ED534E">
              <w:rPr>
                <w:rFonts w:eastAsia="Times New Roman"/>
                <w:color w:val="000000"/>
                <w:szCs w:val="20"/>
                <w:lang w:eastAsia="fr-FR"/>
              </w:rPr>
              <w:br/>
              <w:t>If a UE is provided with a K_mac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n+</w:t>
            </w:r>
            <w:r w:rsidRPr="00ED534E">
              <w:rPr>
                <w:rFonts w:eastAsia="Cambria Math"/>
                <w:color w:val="000000"/>
                <w:szCs w:val="20"/>
                <w:lang w:val="fr-FR" w:eastAsia="fr-FR"/>
              </w:rPr>
              <w:t>〖</w:t>
            </w:r>
            <w:r w:rsidRPr="00ED534E">
              <w:rPr>
                <w:rFonts w:eastAsia="Times New Roman"/>
                <w:color w:val="000000"/>
                <w:szCs w:val="20"/>
                <w:lang w:eastAsia="fr-FR"/>
              </w:rPr>
              <w:t>3N</w:t>
            </w:r>
            <w:r w:rsidRPr="00ED534E">
              <w:rPr>
                <w:rFonts w:eastAsia="Cambria Math"/>
                <w:color w:val="000000"/>
                <w:szCs w:val="20"/>
                <w:lang w:val="fr-FR" w:eastAsia="fr-FR"/>
              </w:rPr>
              <w:t>〗</w:t>
            </w:r>
            <w:r w:rsidRPr="00ED534E">
              <w:rPr>
                <w:rFonts w:eastAsia="Times New Roman"/>
                <w:color w:val="000000"/>
                <w:szCs w:val="20"/>
                <w:lang w:eastAsia="fr-FR"/>
              </w:rPr>
              <w:t xml:space="preserve">_slot^(subframe,µ)+K_mac, where µ is the SCS configuration for the PUCCH.       </w:t>
            </w:r>
            <w:r w:rsidRPr="00ED534E">
              <w:rPr>
                <w:rFonts w:eastAsia="Times New Roman"/>
                <w:color w:val="000000"/>
                <w:szCs w:val="20"/>
                <w:lang w:eastAsia="fr-FR"/>
              </w:rPr>
              <w:br/>
              <w:t>For the reference subcarrier spacing value for the unit of K_mac in FR1, a value of 15 kHz is used.</w:t>
            </w:r>
            <w:r w:rsidRPr="00ED534E">
              <w:rPr>
                <w:rFonts w:eastAsia="Times New Roman"/>
                <w:color w:val="000000"/>
                <w:szCs w:val="20"/>
                <w:lang w:eastAsia="fr-FR"/>
              </w:rPr>
              <w:br/>
            </w:r>
            <w:r w:rsidRPr="00ED534E">
              <w:rPr>
                <w:rFonts w:eastAsia="Times New Roman"/>
                <w:color w:val="000000"/>
                <w:szCs w:val="20"/>
                <w:lang w:val="fr-FR" w:eastAsia="fr-FR"/>
              </w:rPr>
              <w:t>• FFS: FR2</w:t>
            </w:r>
          </w:p>
        </w:tc>
        <w:tc>
          <w:tcPr>
            <w:tcW w:w="235" w:type="pct"/>
            <w:tcBorders>
              <w:top w:val="nil"/>
              <w:left w:val="nil"/>
              <w:bottom w:val="single" w:sz="4" w:space="0" w:color="auto"/>
              <w:right w:val="single" w:sz="4" w:space="0" w:color="auto"/>
            </w:tcBorders>
            <w:shd w:val="clear" w:color="auto" w:fill="auto"/>
            <w:noWrap/>
            <w:vAlign w:val="bottom"/>
            <w:hideMark/>
          </w:tcPr>
          <w:p w14:paraId="4FDC7BA3" w14:textId="2EAD71E8" w:rsidR="002D6400" w:rsidRPr="00AF5A94" w:rsidRDefault="00AF5A94" w:rsidP="002D6400">
            <w:pPr>
              <w:autoSpaceDE/>
              <w:autoSpaceDN/>
              <w:adjustRightInd/>
              <w:snapToGrid/>
              <w:spacing w:after="0"/>
              <w:jc w:val="left"/>
              <w:rPr>
                <w:rFonts w:eastAsia="Times New Roman"/>
                <w:color w:val="00B050"/>
                <w:szCs w:val="20"/>
                <w:lang w:val="fr-FR" w:eastAsia="fr-FR"/>
              </w:rPr>
            </w:pPr>
            <w:r w:rsidRPr="00AF5A94">
              <w:rPr>
                <w:rFonts w:eastAsia="Times New Roman"/>
                <w:color w:val="00B050"/>
                <w:szCs w:val="20"/>
                <w:lang w:val="fr-FR" w:eastAsia="fr-FR"/>
              </w:rPr>
              <w:t>New-</w:t>
            </w:r>
            <w:r w:rsidR="002D6400" w:rsidRPr="00AF5A94">
              <w:rPr>
                <w:rFonts w:eastAsia="Times New Roman"/>
                <w:color w:val="00B050"/>
                <w:szCs w:val="20"/>
                <w:lang w:val="fr-FR" w:eastAsia="fr-FR"/>
              </w:rPr>
              <w:t>stable</w:t>
            </w:r>
          </w:p>
        </w:tc>
      </w:tr>
      <w:tr w:rsidR="002D6400" w:rsidRPr="00ED534E" w14:paraId="36C6C3F2" w14:textId="77777777" w:rsidTr="002D6400">
        <w:trPr>
          <w:trHeight w:val="29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41C1553B"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dl-DataToUL-ACK-r17</w:t>
            </w:r>
          </w:p>
        </w:tc>
        <w:tc>
          <w:tcPr>
            <w:tcW w:w="255" w:type="pct"/>
            <w:tcBorders>
              <w:top w:val="nil"/>
              <w:left w:val="nil"/>
              <w:bottom w:val="single" w:sz="4" w:space="0" w:color="auto"/>
              <w:right w:val="single" w:sz="4" w:space="0" w:color="auto"/>
            </w:tcBorders>
            <w:shd w:val="clear" w:color="auto" w:fill="auto"/>
            <w:noWrap/>
            <w:vAlign w:val="center"/>
            <w:hideMark/>
          </w:tcPr>
          <w:p w14:paraId="30EF895B"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extension of R16</w:t>
            </w:r>
          </w:p>
        </w:tc>
        <w:tc>
          <w:tcPr>
            <w:tcW w:w="500" w:type="pct"/>
            <w:tcBorders>
              <w:top w:val="nil"/>
              <w:left w:val="nil"/>
              <w:bottom w:val="single" w:sz="4" w:space="0" w:color="auto"/>
              <w:right w:val="single" w:sz="4" w:space="0" w:color="auto"/>
            </w:tcBorders>
            <w:shd w:val="clear" w:color="auto" w:fill="auto"/>
            <w:noWrap/>
            <w:vAlign w:val="center"/>
            <w:hideMark/>
          </w:tcPr>
          <w:p w14:paraId="7075487D"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dl-DataToUL-ACK-r17</w:t>
            </w:r>
          </w:p>
        </w:tc>
        <w:tc>
          <w:tcPr>
            <w:tcW w:w="1153" w:type="pct"/>
            <w:tcBorders>
              <w:top w:val="nil"/>
              <w:left w:val="nil"/>
              <w:bottom w:val="single" w:sz="4" w:space="0" w:color="auto"/>
              <w:right w:val="single" w:sz="4" w:space="0" w:color="auto"/>
            </w:tcBorders>
            <w:shd w:val="clear" w:color="auto" w:fill="auto"/>
            <w:vAlign w:val="center"/>
            <w:hideMark/>
          </w:tcPr>
          <w:p w14:paraId="5E6ADAD8" w14:textId="77777777" w:rsidR="002D6400" w:rsidRPr="00ED534E" w:rsidRDefault="002D6400" w:rsidP="002D6400">
            <w:pPr>
              <w:autoSpaceDE/>
              <w:autoSpaceDN/>
              <w:adjustRightInd/>
              <w:snapToGrid/>
              <w:spacing w:after="0"/>
              <w:jc w:val="left"/>
              <w:rPr>
                <w:rFonts w:eastAsia="Times New Roman"/>
                <w:color w:val="000000"/>
                <w:szCs w:val="20"/>
                <w:lang w:eastAsia="fr-FR"/>
              </w:rPr>
            </w:pPr>
            <w:r w:rsidRPr="00ED534E">
              <w:rPr>
                <w:rFonts w:eastAsia="Times New Roman"/>
                <w:color w:val="000000"/>
                <w:szCs w:val="20"/>
                <w:lang w:eastAsia="fr-FR"/>
              </w:rPr>
              <w:t xml:space="preserve">For unpaired spectrum, extend the value range of K1 from (0..15) to (0..31) </w:t>
            </w:r>
          </w:p>
        </w:tc>
        <w:tc>
          <w:tcPr>
            <w:tcW w:w="284" w:type="pct"/>
            <w:tcBorders>
              <w:top w:val="nil"/>
              <w:left w:val="nil"/>
              <w:bottom w:val="single" w:sz="4" w:space="0" w:color="auto"/>
              <w:right w:val="single" w:sz="4" w:space="0" w:color="auto"/>
            </w:tcBorders>
            <w:shd w:val="clear" w:color="auto" w:fill="auto"/>
            <w:noWrap/>
            <w:vAlign w:val="center"/>
            <w:hideMark/>
          </w:tcPr>
          <w:p w14:paraId="445A7EFD"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(0..31)</w:t>
            </w:r>
          </w:p>
        </w:tc>
        <w:tc>
          <w:tcPr>
            <w:tcW w:w="248" w:type="pct"/>
            <w:tcBorders>
              <w:top w:val="nil"/>
              <w:left w:val="nil"/>
              <w:bottom w:val="single" w:sz="4" w:space="0" w:color="auto"/>
              <w:right w:val="single" w:sz="4" w:space="0" w:color="auto"/>
            </w:tcBorders>
            <w:shd w:val="clear" w:color="auto" w:fill="auto"/>
            <w:noWrap/>
            <w:vAlign w:val="center"/>
            <w:hideMark/>
          </w:tcPr>
          <w:p w14:paraId="5EC686AD"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 </w:t>
            </w:r>
          </w:p>
        </w:tc>
        <w:tc>
          <w:tcPr>
            <w:tcW w:w="248" w:type="pct"/>
            <w:tcBorders>
              <w:top w:val="nil"/>
              <w:left w:val="nil"/>
              <w:bottom w:val="single" w:sz="4" w:space="0" w:color="auto"/>
              <w:right w:val="single" w:sz="4" w:space="0" w:color="auto"/>
            </w:tcBorders>
            <w:shd w:val="clear" w:color="auto" w:fill="auto"/>
            <w:noWrap/>
            <w:vAlign w:val="center"/>
            <w:hideMark/>
          </w:tcPr>
          <w:p w14:paraId="012981BA"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eastAsia="fr-FR"/>
              </w:rPr>
              <w:t>Per BWP</w:t>
            </w:r>
          </w:p>
        </w:tc>
        <w:tc>
          <w:tcPr>
            <w:tcW w:w="374" w:type="pct"/>
            <w:tcBorders>
              <w:top w:val="nil"/>
              <w:left w:val="nil"/>
              <w:bottom w:val="single" w:sz="4" w:space="0" w:color="auto"/>
              <w:right w:val="single" w:sz="4" w:space="0" w:color="auto"/>
            </w:tcBorders>
            <w:shd w:val="clear" w:color="auto" w:fill="auto"/>
            <w:noWrap/>
            <w:vAlign w:val="center"/>
            <w:hideMark/>
          </w:tcPr>
          <w:p w14:paraId="30627F1C"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eastAsia="fr-FR"/>
              </w:rPr>
              <w:t>UE specific</w:t>
            </w:r>
          </w:p>
        </w:tc>
        <w:tc>
          <w:tcPr>
            <w:tcW w:w="346" w:type="pct"/>
            <w:tcBorders>
              <w:top w:val="nil"/>
              <w:left w:val="nil"/>
              <w:bottom w:val="single" w:sz="4" w:space="0" w:color="auto"/>
              <w:right w:val="single" w:sz="4" w:space="0" w:color="auto"/>
            </w:tcBorders>
            <w:shd w:val="clear" w:color="auto" w:fill="auto"/>
            <w:noWrap/>
            <w:vAlign w:val="center"/>
            <w:hideMark/>
          </w:tcPr>
          <w:p w14:paraId="4DB3140A"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 </w:t>
            </w:r>
          </w:p>
        </w:tc>
        <w:tc>
          <w:tcPr>
            <w:tcW w:w="857" w:type="pct"/>
            <w:tcBorders>
              <w:top w:val="nil"/>
              <w:left w:val="nil"/>
              <w:bottom w:val="single" w:sz="4" w:space="0" w:color="auto"/>
              <w:right w:val="single" w:sz="4" w:space="0" w:color="auto"/>
            </w:tcBorders>
            <w:shd w:val="clear" w:color="auto" w:fill="auto"/>
            <w:vAlign w:val="center"/>
            <w:hideMark/>
          </w:tcPr>
          <w:p w14:paraId="6A1491D1" w14:textId="77777777" w:rsidR="002D6400" w:rsidRPr="00ED534E" w:rsidRDefault="002D6400" w:rsidP="002D6400">
            <w:pPr>
              <w:autoSpaceDE/>
              <w:autoSpaceDN/>
              <w:adjustRightInd/>
              <w:snapToGrid/>
              <w:spacing w:after="0"/>
              <w:jc w:val="left"/>
              <w:rPr>
                <w:rFonts w:eastAsia="Times New Roman"/>
                <w:color w:val="000000"/>
                <w:szCs w:val="20"/>
                <w:lang w:val="fr-FR" w:eastAsia="fr-FR"/>
              </w:rPr>
            </w:pPr>
            <w:r w:rsidRPr="00ED534E">
              <w:rPr>
                <w:rFonts w:eastAsia="Times New Roman"/>
                <w:color w:val="000000"/>
                <w:szCs w:val="20"/>
                <w:lang w:val="fr-FR" w:eastAsia="fr-FR"/>
              </w:rPr>
              <w:t> </w:t>
            </w:r>
          </w:p>
        </w:tc>
        <w:tc>
          <w:tcPr>
            <w:tcW w:w="235" w:type="pct"/>
            <w:tcBorders>
              <w:top w:val="nil"/>
              <w:left w:val="nil"/>
              <w:bottom w:val="single" w:sz="4" w:space="0" w:color="auto"/>
              <w:right w:val="single" w:sz="4" w:space="0" w:color="auto"/>
            </w:tcBorders>
            <w:shd w:val="clear" w:color="auto" w:fill="auto"/>
            <w:noWrap/>
            <w:vAlign w:val="bottom"/>
            <w:hideMark/>
          </w:tcPr>
          <w:p w14:paraId="322B00B4" w14:textId="79733064" w:rsidR="002D6400" w:rsidRPr="00AF5A94" w:rsidRDefault="002D6400" w:rsidP="002D6400">
            <w:pPr>
              <w:autoSpaceDE/>
              <w:autoSpaceDN/>
              <w:adjustRightInd/>
              <w:snapToGrid/>
              <w:spacing w:after="0"/>
              <w:jc w:val="left"/>
              <w:rPr>
                <w:rFonts w:eastAsia="Times New Roman"/>
                <w:color w:val="00B050"/>
                <w:szCs w:val="20"/>
                <w:lang w:val="fr-FR" w:eastAsia="fr-FR"/>
              </w:rPr>
            </w:pPr>
            <w:r w:rsidRPr="00AF5A94">
              <w:rPr>
                <w:rFonts w:eastAsia="Times New Roman"/>
                <w:color w:val="00B050"/>
                <w:szCs w:val="20"/>
                <w:lang w:val="fr-FR" w:eastAsia="fr-FR"/>
              </w:rPr>
              <w:t>stable</w:t>
            </w:r>
          </w:p>
        </w:tc>
      </w:tr>
    </w:tbl>
    <w:p w14:paraId="307387FD" w14:textId="77777777" w:rsidR="002D6400" w:rsidRPr="00E61DEB" w:rsidRDefault="002D6400" w:rsidP="008C2BB3"/>
    <w:p w14:paraId="06BC594A" w14:textId="77777777" w:rsidR="003B5392" w:rsidRPr="00E61DEB" w:rsidRDefault="00DD15F7" w:rsidP="00DD15F7">
      <w:pPr>
        <w:pStyle w:val="Titre2"/>
        <w:rPr>
          <w:sz w:val="22"/>
        </w:rPr>
      </w:pPr>
      <w:bookmarkStart w:id="6" w:name="_Toc80303173"/>
      <w:bookmarkStart w:id="7" w:name="_Toc82188764"/>
      <w:r w:rsidRPr="00E61DEB">
        <w:rPr>
          <w:sz w:val="22"/>
        </w:rPr>
        <w:lastRenderedPageBreak/>
        <w:t>Company views</w:t>
      </w:r>
      <w:bookmarkEnd w:id="6"/>
      <w:bookmarkEnd w:id="7"/>
      <w:r w:rsidRPr="00E61DEB">
        <w:rPr>
          <w:sz w:val="22"/>
        </w:rPr>
        <w:t xml:space="preserve"> </w:t>
      </w:r>
    </w:p>
    <w:p w14:paraId="4CEF2C0F" w14:textId="77777777" w:rsidR="002C0030" w:rsidRPr="00E61DEB" w:rsidRDefault="002C0030" w:rsidP="007308A9">
      <w:pPr>
        <w:rPr>
          <w:rFonts w:eastAsia="SimSun"/>
          <w:b/>
          <w:highlight w:val="yellow"/>
          <w:lang w:eastAsia="zh-CN"/>
        </w:rPr>
      </w:pPr>
    </w:p>
    <w:p w14:paraId="62E063A9" w14:textId="1FD70784" w:rsidR="002C0030" w:rsidRPr="00E61DEB" w:rsidRDefault="002C0030" w:rsidP="002C0030">
      <w:pPr>
        <w:pStyle w:val="DraftProposal"/>
        <w:numPr>
          <w:ilvl w:val="0"/>
          <w:numId w:val="0"/>
        </w:numPr>
        <w:rPr>
          <w:rFonts w:ascii="Times New Roman" w:hAnsi="Times New Roman" w:cs="Times New Roman"/>
        </w:rPr>
      </w:pPr>
      <w:r w:rsidRPr="00E61DEB">
        <w:rPr>
          <w:rFonts w:ascii="Times New Roman" w:eastAsiaTheme="minorEastAsia" w:hAnsi="Times New Roman" w:cs="Times New Roman"/>
          <w:bCs w:val="0"/>
          <w:highlight w:val="yellow"/>
        </w:rPr>
        <w:t>C</w:t>
      </w:r>
      <w:r w:rsidRPr="00E61DEB">
        <w:rPr>
          <w:rFonts w:ascii="Times New Roman" w:hAnsi="Times New Roman" w:cs="Times New Roman"/>
          <w:highlight w:val="yellow"/>
        </w:rPr>
        <w:t>ompanies are encouraged to provide comments on RRC parameters list (section 2.1):</w:t>
      </w:r>
    </w:p>
    <w:tbl>
      <w:tblPr>
        <w:tblStyle w:val="Grilledutableau"/>
        <w:tblW w:w="4973" w:type="pct"/>
        <w:tblLook w:val="04A0" w:firstRow="1" w:lastRow="0" w:firstColumn="1" w:lastColumn="0" w:noHBand="0" w:noVBand="1"/>
      </w:tblPr>
      <w:tblGrid>
        <w:gridCol w:w="3662"/>
        <w:gridCol w:w="16347"/>
      </w:tblGrid>
      <w:tr w:rsidR="003B5392" w:rsidRPr="00E61DEB" w14:paraId="06BC594E" w14:textId="77777777" w:rsidTr="00A6699A">
        <w:trPr>
          <w:tblHeader/>
        </w:trPr>
        <w:tc>
          <w:tcPr>
            <w:tcW w:w="915" w:type="pct"/>
            <w:shd w:val="clear" w:color="auto" w:fill="00B0F0"/>
          </w:tcPr>
          <w:p w14:paraId="06BC594C" w14:textId="657432BA" w:rsidR="003B5392" w:rsidRPr="00E61DEB" w:rsidRDefault="003B5392" w:rsidP="006612F0">
            <w:pPr>
              <w:rPr>
                <w:b/>
                <w:color w:val="FFFFFF" w:themeColor="background1"/>
              </w:rPr>
            </w:pPr>
          </w:p>
        </w:tc>
        <w:tc>
          <w:tcPr>
            <w:tcW w:w="4085" w:type="pct"/>
            <w:shd w:val="clear" w:color="auto" w:fill="00B0F0"/>
          </w:tcPr>
          <w:p w14:paraId="06BC594D" w14:textId="070BA98D" w:rsidR="003B5392" w:rsidRPr="00E61DEB" w:rsidRDefault="003B5392" w:rsidP="006612F0">
            <w:pPr>
              <w:rPr>
                <w:b/>
                <w:color w:val="FFFFFF" w:themeColor="background1"/>
              </w:rPr>
            </w:pPr>
          </w:p>
        </w:tc>
      </w:tr>
      <w:tr w:rsidR="0008794B" w:rsidRPr="00E61DEB" w14:paraId="06BC595A" w14:textId="77777777" w:rsidTr="003D5F4F">
        <w:tc>
          <w:tcPr>
            <w:tcW w:w="915" w:type="pct"/>
          </w:tcPr>
          <w:p w14:paraId="06BC594F" w14:textId="48A78996" w:rsidR="0008794B" w:rsidRPr="00E61DEB" w:rsidRDefault="0008794B" w:rsidP="0008794B">
            <w:pPr>
              <w:rPr>
                <w:rFonts w:eastAsia="Malgun Gothic"/>
                <w:bCs/>
                <w:lang w:eastAsia="ko-KR"/>
              </w:rPr>
            </w:pPr>
          </w:p>
        </w:tc>
        <w:tc>
          <w:tcPr>
            <w:tcW w:w="4085" w:type="pct"/>
          </w:tcPr>
          <w:p w14:paraId="06BC5959" w14:textId="35CB05BA" w:rsidR="0008794B" w:rsidRPr="00E01387" w:rsidRDefault="0008794B" w:rsidP="002D6400">
            <w:pPr>
              <w:rPr>
                <w:color w:val="000000"/>
              </w:rPr>
            </w:pPr>
          </w:p>
        </w:tc>
      </w:tr>
      <w:tr w:rsidR="000621C9" w:rsidRPr="00E61DEB" w14:paraId="06BC596B" w14:textId="77777777" w:rsidTr="003D5F4F">
        <w:tc>
          <w:tcPr>
            <w:tcW w:w="915" w:type="pct"/>
          </w:tcPr>
          <w:p w14:paraId="06BC595B" w14:textId="47E8F8E2" w:rsidR="000621C9" w:rsidRPr="00E61DEB" w:rsidRDefault="000621C9" w:rsidP="00320741">
            <w:pPr>
              <w:rPr>
                <w:rFonts w:eastAsiaTheme="minorHAnsi"/>
                <w:bCs/>
              </w:rPr>
            </w:pPr>
          </w:p>
        </w:tc>
        <w:tc>
          <w:tcPr>
            <w:tcW w:w="4085" w:type="pct"/>
          </w:tcPr>
          <w:p w14:paraId="06BC596A" w14:textId="0BB207FC" w:rsidR="000621C9" w:rsidRPr="00E61DEB" w:rsidRDefault="000621C9" w:rsidP="00320741">
            <w:pPr>
              <w:jc w:val="left"/>
              <w:rPr>
                <w:lang w:val="x-none" w:eastAsia="x-none"/>
              </w:rPr>
            </w:pPr>
          </w:p>
        </w:tc>
      </w:tr>
      <w:tr w:rsidR="0004452E" w:rsidRPr="00E61DEB" w14:paraId="06BC596E" w14:textId="77777777" w:rsidTr="003D5F4F">
        <w:tc>
          <w:tcPr>
            <w:tcW w:w="915" w:type="pct"/>
          </w:tcPr>
          <w:p w14:paraId="06BC596C" w14:textId="65311AEC" w:rsidR="0004452E" w:rsidRPr="00E61DEB" w:rsidRDefault="0004452E" w:rsidP="0004452E">
            <w:pPr>
              <w:rPr>
                <w:rFonts w:eastAsiaTheme="minorHAnsi"/>
                <w:bCs/>
              </w:rPr>
            </w:pPr>
          </w:p>
        </w:tc>
        <w:tc>
          <w:tcPr>
            <w:tcW w:w="4085" w:type="pct"/>
          </w:tcPr>
          <w:p w14:paraId="06BC596D" w14:textId="4FA0C1A1" w:rsidR="0004452E" w:rsidRPr="00E61DEB" w:rsidRDefault="0004452E" w:rsidP="0004452E">
            <w:pPr>
              <w:pStyle w:val="Paragraphedeliste"/>
              <w:adjustRightInd w:val="0"/>
              <w:snapToGrid w:val="0"/>
              <w:spacing w:after="120"/>
              <w:ind w:left="0"/>
              <w:rPr>
                <w:rFonts w:eastAsiaTheme="minorHAnsi" w:cs="Times New Roman"/>
                <w:bCs/>
                <w:szCs w:val="22"/>
              </w:rPr>
            </w:pPr>
          </w:p>
        </w:tc>
      </w:tr>
      <w:tr w:rsidR="00C15A1A" w:rsidRPr="00E61DEB" w14:paraId="33F8EFDB" w14:textId="77777777" w:rsidTr="003D5F4F">
        <w:tc>
          <w:tcPr>
            <w:tcW w:w="915" w:type="pct"/>
          </w:tcPr>
          <w:p w14:paraId="02546C07" w14:textId="45BF5001" w:rsidR="00C15A1A" w:rsidRPr="00E61DEB" w:rsidRDefault="00C15A1A" w:rsidP="00EC56C9">
            <w:pPr>
              <w:rPr>
                <w:rFonts w:eastAsiaTheme="minorHAnsi"/>
                <w:bCs/>
              </w:rPr>
            </w:pPr>
          </w:p>
        </w:tc>
        <w:tc>
          <w:tcPr>
            <w:tcW w:w="4085" w:type="pct"/>
          </w:tcPr>
          <w:p w14:paraId="7BC0F160" w14:textId="7983862C" w:rsidR="00C15A1A" w:rsidRPr="00E61DEB" w:rsidRDefault="00C15A1A" w:rsidP="00EC56C9">
            <w:pPr>
              <w:pStyle w:val="Paragraphedeliste"/>
              <w:adjustRightInd w:val="0"/>
              <w:snapToGrid w:val="0"/>
              <w:spacing w:after="120"/>
              <w:ind w:left="0"/>
              <w:rPr>
                <w:rFonts w:eastAsia="Malgun Gothic" w:cs="Times New Roman"/>
                <w:bCs/>
                <w:szCs w:val="22"/>
                <w:lang w:eastAsia="ko-KR"/>
              </w:rPr>
            </w:pPr>
          </w:p>
        </w:tc>
      </w:tr>
      <w:tr w:rsidR="009B5259" w:rsidRPr="00E61DEB" w14:paraId="1F3652CF" w14:textId="77777777" w:rsidTr="003D5F4F">
        <w:tc>
          <w:tcPr>
            <w:tcW w:w="915" w:type="pct"/>
          </w:tcPr>
          <w:p w14:paraId="04609F81" w14:textId="576D0051" w:rsidR="009B5259" w:rsidRPr="00E61DEB" w:rsidRDefault="009B5259" w:rsidP="00EC56C9">
            <w:pPr>
              <w:rPr>
                <w:bCs/>
                <w:lang w:eastAsia="zh-CN"/>
              </w:rPr>
            </w:pPr>
          </w:p>
        </w:tc>
        <w:tc>
          <w:tcPr>
            <w:tcW w:w="4085" w:type="pct"/>
          </w:tcPr>
          <w:p w14:paraId="09D3D8F1" w14:textId="5279D2CB" w:rsidR="00B4792A" w:rsidRPr="00E61DEB" w:rsidRDefault="00B4792A" w:rsidP="00612CA9">
            <w:pPr>
              <w:jc w:val="left"/>
              <w:rPr>
                <w:color w:val="FF0000"/>
                <w:lang w:eastAsia="zh-CN"/>
              </w:rPr>
            </w:pPr>
          </w:p>
        </w:tc>
      </w:tr>
    </w:tbl>
    <w:p w14:paraId="28047B91" w14:textId="3F93FF9F" w:rsidR="00C15A1A" w:rsidRPr="00E61DEB" w:rsidRDefault="00C15A1A" w:rsidP="00C15A1A">
      <w:pPr>
        <w:pStyle w:val="Titre2"/>
        <w:rPr>
          <w:sz w:val="22"/>
        </w:rPr>
      </w:pPr>
      <w:bookmarkStart w:id="8" w:name="_Toc82188766"/>
      <w:r w:rsidRPr="00E61DEB">
        <w:rPr>
          <w:sz w:val="22"/>
        </w:rPr>
        <w:t>Updated list of RRC parameters based on company views (First round of email discussions)</w:t>
      </w:r>
      <w:r w:rsidR="001D0DEC" w:rsidRPr="00E61DEB">
        <w:rPr>
          <w:sz w:val="22"/>
        </w:rPr>
        <w:t>:</w:t>
      </w:r>
    </w:p>
    <w:tbl>
      <w:tblPr>
        <w:tblW w:w="5000" w:type="pct"/>
        <w:tblLook w:val="04A0" w:firstRow="1" w:lastRow="0" w:firstColumn="1" w:lastColumn="0" w:noHBand="0" w:noVBand="1"/>
      </w:tblPr>
      <w:tblGrid>
        <w:gridCol w:w="3211"/>
        <w:gridCol w:w="5203"/>
        <w:gridCol w:w="2263"/>
        <w:gridCol w:w="1063"/>
        <w:gridCol w:w="1333"/>
        <w:gridCol w:w="1410"/>
        <w:gridCol w:w="1461"/>
        <w:gridCol w:w="4174"/>
      </w:tblGrid>
      <w:tr w:rsidR="006360A0" w:rsidRPr="006360A0" w14:paraId="74827C72" w14:textId="77777777" w:rsidTr="00455BE7">
        <w:trPr>
          <w:trHeight w:val="900"/>
          <w:tblHeader/>
        </w:trPr>
        <w:tc>
          <w:tcPr>
            <w:tcW w:w="809"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162EDF04" w14:textId="77777777" w:rsidR="006360A0" w:rsidRPr="006360A0" w:rsidRDefault="006360A0" w:rsidP="006360A0">
            <w:pPr>
              <w:autoSpaceDE/>
              <w:autoSpaceDN/>
              <w:adjustRightInd/>
              <w:snapToGrid/>
              <w:spacing w:after="0"/>
              <w:jc w:val="left"/>
              <w:rPr>
                <w:rFonts w:ascii="Arial" w:eastAsia="Times New Roman" w:hAnsi="Arial" w:cs="Arial"/>
                <w:b/>
                <w:bCs/>
                <w:color w:val="FFFFFF"/>
                <w:sz w:val="20"/>
                <w:szCs w:val="20"/>
              </w:rPr>
            </w:pPr>
            <w:r w:rsidRPr="006360A0">
              <w:rPr>
                <w:rFonts w:ascii="Arial" w:eastAsia="Times New Roman" w:hAnsi="Arial" w:cs="Arial"/>
                <w:b/>
                <w:bCs/>
                <w:color w:val="FFFFFF"/>
                <w:sz w:val="20"/>
                <w:szCs w:val="20"/>
              </w:rPr>
              <w:t>Parameter name in the text</w:t>
            </w:r>
          </w:p>
        </w:tc>
        <w:tc>
          <w:tcPr>
            <w:tcW w:w="1304" w:type="pct"/>
            <w:tcBorders>
              <w:top w:val="single" w:sz="4" w:space="0" w:color="auto"/>
              <w:left w:val="nil"/>
              <w:bottom w:val="single" w:sz="4" w:space="0" w:color="auto"/>
              <w:right w:val="single" w:sz="4" w:space="0" w:color="auto"/>
            </w:tcBorders>
            <w:shd w:val="clear" w:color="000000" w:fill="00B0F0"/>
            <w:vAlign w:val="center"/>
            <w:hideMark/>
          </w:tcPr>
          <w:p w14:paraId="1F2E6882" w14:textId="77777777" w:rsidR="006360A0" w:rsidRPr="006360A0" w:rsidRDefault="006360A0" w:rsidP="006360A0">
            <w:pPr>
              <w:autoSpaceDE/>
              <w:autoSpaceDN/>
              <w:adjustRightInd/>
              <w:snapToGrid/>
              <w:spacing w:after="0"/>
              <w:jc w:val="left"/>
              <w:rPr>
                <w:rFonts w:ascii="Arial" w:eastAsia="Times New Roman" w:hAnsi="Arial" w:cs="Arial"/>
                <w:b/>
                <w:bCs/>
                <w:color w:val="FFFFFF"/>
                <w:sz w:val="20"/>
                <w:szCs w:val="20"/>
              </w:rPr>
            </w:pPr>
            <w:r w:rsidRPr="006360A0">
              <w:rPr>
                <w:rFonts w:ascii="Arial" w:eastAsia="Times New Roman" w:hAnsi="Arial" w:cs="Arial"/>
                <w:b/>
                <w:bCs/>
                <w:color w:val="FFFFFF"/>
                <w:sz w:val="20"/>
                <w:szCs w:val="20"/>
              </w:rPr>
              <w:t>Description</w:t>
            </w:r>
          </w:p>
        </w:tc>
        <w:tc>
          <w:tcPr>
            <w:tcW w:w="573" w:type="pct"/>
            <w:tcBorders>
              <w:top w:val="single" w:sz="4" w:space="0" w:color="auto"/>
              <w:left w:val="nil"/>
              <w:bottom w:val="single" w:sz="4" w:space="0" w:color="auto"/>
              <w:right w:val="single" w:sz="4" w:space="0" w:color="auto"/>
            </w:tcBorders>
            <w:shd w:val="clear" w:color="000000" w:fill="00B0F0"/>
            <w:vAlign w:val="center"/>
            <w:hideMark/>
          </w:tcPr>
          <w:p w14:paraId="526C04B7" w14:textId="77777777" w:rsidR="006360A0" w:rsidRPr="006360A0" w:rsidRDefault="006360A0" w:rsidP="006360A0">
            <w:pPr>
              <w:autoSpaceDE/>
              <w:autoSpaceDN/>
              <w:adjustRightInd/>
              <w:snapToGrid/>
              <w:spacing w:after="0"/>
              <w:jc w:val="left"/>
              <w:rPr>
                <w:rFonts w:ascii="Arial" w:eastAsia="Times New Roman" w:hAnsi="Arial" w:cs="Arial"/>
                <w:b/>
                <w:bCs/>
                <w:color w:val="FFFFFF"/>
                <w:sz w:val="20"/>
                <w:szCs w:val="20"/>
              </w:rPr>
            </w:pPr>
            <w:r w:rsidRPr="006360A0">
              <w:rPr>
                <w:rFonts w:ascii="Arial" w:eastAsia="Times New Roman" w:hAnsi="Arial" w:cs="Arial"/>
                <w:b/>
                <w:bCs/>
                <w:color w:val="FFFFFF"/>
                <w:sz w:val="20"/>
                <w:szCs w:val="20"/>
              </w:rPr>
              <w:t>Value range</w:t>
            </w:r>
          </w:p>
        </w:tc>
        <w:tc>
          <w:tcPr>
            <w:tcW w:w="275" w:type="pct"/>
            <w:tcBorders>
              <w:top w:val="single" w:sz="4" w:space="0" w:color="auto"/>
              <w:left w:val="nil"/>
              <w:bottom w:val="single" w:sz="4" w:space="0" w:color="auto"/>
              <w:right w:val="single" w:sz="4" w:space="0" w:color="auto"/>
            </w:tcBorders>
            <w:shd w:val="clear" w:color="000000" w:fill="00B0F0"/>
            <w:vAlign w:val="center"/>
            <w:hideMark/>
          </w:tcPr>
          <w:p w14:paraId="14FDB0E2" w14:textId="77777777" w:rsidR="006360A0" w:rsidRPr="006360A0" w:rsidRDefault="006360A0" w:rsidP="006360A0">
            <w:pPr>
              <w:autoSpaceDE/>
              <w:autoSpaceDN/>
              <w:adjustRightInd/>
              <w:snapToGrid/>
              <w:spacing w:after="0"/>
              <w:jc w:val="left"/>
              <w:rPr>
                <w:rFonts w:ascii="Arial" w:eastAsia="Times New Roman" w:hAnsi="Arial" w:cs="Arial"/>
                <w:b/>
                <w:bCs/>
                <w:color w:val="FFFFFF"/>
                <w:sz w:val="20"/>
                <w:szCs w:val="20"/>
              </w:rPr>
            </w:pPr>
            <w:r w:rsidRPr="006360A0">
              <w:rPr>
                <w:rFonts w:ascii="Arial" w:eastAsia="Times New Roman" w:hAnsi="Arial" w:cs="Arial"/>
                <w:b/>
                <w:bCs/>
                <w:color w:val="FFFFFF"/>
                <w:sz w:val="20"/>
                <w:szCs w:val="20"/>
              </w:rPr>
              <w:t>Default value aspect</w:t>
            </w:r>
          </w:p>
        </w:tc>
        <w:tc>
          <w:tcPr>
            <w:tcW w:w="342" w:type="pct"/>
            <w:tcBorders>
              <w:top w:val="single" w:sz="4" w:space="0" w:color="auto"/>
              <w:left w:val="nil"/>
              <w:bottom w:val="single" w:sz="4" w:space="0" w:color="auto"/>
              <w:right w:val="single" w:sz="4" w:space="0" w:color="auto"/>
            </w:tcBorders>
            <w:shd w:val="clear" w:color="000000" w:fill="00B0F0"/>
            <w:vAlign w:val="center"/>
            <w:hideMark/>
          </w:tcPr>
          <w:p w14:paraId="63777DC1" w14:textId="77777777" w:rsidR="006360A0" w:rsidRPr="006360A0" w:rsidRDefault="006360A0" w:rsidP="006360A0">
            <w:pPr>
              <w:autoSpaceDE/>
              <w:autoSpaceDN/>
              <w:adjustRightInd/>
              <w:snapToGrid/>
              <w:spacing w:after="0"/>
              <w:jc w:val="left"/>
              <w:rPr>
                <w:rFonts w:ascii="Arial" w:eastAsia="Times New Roman" w:hAnsi="Arial" w:cs="Arial"/>
                <w:b/>
                <w:bCs/>
                <w:color w:val="FFFFFF"/>
                <w:sz w:val="20"/>
                <w:szCs w:val="20"/>
              </w:rPr>
            </w:pPr>
            <w:r w:rsidRPr="006360A0">
              <w:rPr>
                <w:rFonts w:ascii="Arial" w:eastAsia="Times New Roman" w:hAnsi="Arial" w:cs="Arial"/>
                <w:b/>
                <w:bCs/>
                <w:color w:val="FFFFFF"/>
                <w:sz w:val="20"/>
                <w:szCs w:val="20"/>
              </w:rPr>
              <w:t>Per (UE, cell, TRP, …)</w:t>
            </w:r>
          </w:p>
        </w:tc>
        <w:tc>
          <w:tcPr>
            <w:tcW w:w="361" w:type="pct"/>
            <w:tcBorders>
              <w:top w:val="single" w:sz="4" w:space="0" w:color="auto"/>
              <w:left w:val="nil"/>
              <w:bottom w:val="single" w:sz="4" w:space="0" w:color="auto"/>
              <w:right w:val="single" w:sz="4" w:space="0" w:color="auto"/>
            </w:tcBorders>
            <w:shd w:val="clear" w:color="000000" w:fill="00B0F0"/>
            <w:vAlign w:val="center"/>
            <w:hideMark/>
          </w:tcPr>
          <w:p w14:paraId="7A204308" w14:textId="77777777" w:rsidR="006360A0" w:rsidRPr="006360A0" w:rsidRDefault="006360A0" w:rsidP="006360A0">
            <w:pPr>
              <w:autoSpaceDE/>
              <w:autoSpaceDN/>
              <w:adjustRightInd/>
              <w:snapToGrid/>
              <w:spacing w:after="0"/>
              <w:jc w:val="left"/>
              <w:rPr>
                <w:rFonts w:ascii="Arial" w:eastAsia="Times New Roman" w:hAnsi="Arial" w:cs="Arial"/>
                <w:b/>
                <w:bCs/>
                <w:color w:val="FFFFFF"/>
                <w:sz w:val="20"/>
                <w:szCs w:val="20"/>
              </w:rPr>
            </w:pPr>
            <w:r w:rsidRPr="006360A0">
              <w:rPr>
                <w:rFonts w:ascii="Arial" w:eastAsia="Times New Roman" w:hAnsi="Arial" w:cs="Arial"/>
                <w:b/>
                <w:bCs/>
                <w:color w:val="FFFFFF"/>
                <w:sz w:val="20"/>
                <w:szCs w:val="20"/>
              </w:rPr>
              <w:t>UE-specific or Cell-specific</w:t>
            </w:r>
          </w:p>
        </w:tc>
        <w:tc>
          <w:tcPr>
            <w:tcW w:w="287" w:type="pct"/>
            <w:tcBorders>
              <w:top w:val="single" w:sz="4" w:space="0" w:color="auto"/>
              <w:left w:val="nil"/>
              <w:bottom w:val="single" w:sz="4" w:space="0" w:color="auto"/>
              <w:right w:val="single" w:sz="4" w:space="0" w:color="auto"/>
            </w:tcBorders>
            <w:shd w:val="clear" w:color="000000" w:fill="00B0F0"/>
            <w:vAlign w:val="center"/>
            <w:hideMark/>
          </w:tcPr>
          <w:p w14:paraId="42B875A7" w14:textId="77777777" w:rsidR="006360A0" w:rsidRPr="006360A0" w:rsidRDefault="006360A0" w:rsidP="006360A0">
            <w:pPr>
              <w:autoSpaceDE/>
              <w:autoSpaceDN/>
              <w:adjustRightInd/>
              <w:snapToGrid/>
              <w:spacing w:after="0"/>
              <w:jc w:val="left"/>
              <w:rPr>
                <w:rFonts w:ascii="Arial" w:eastAsia="Times New Roman" w:hAnsi="Arial" w:cs="Arial"/>
                <w:b/>
                <w:bCs/>
                <w:color w:val="FFFFFF"/>
                <w:sz w:val="20"/>
                <w:szCs w:val="20"/>
              </w:rPr>
            </w:pPr>
            <w:r w:rsidRPr="006360A0">
              <w:rPr>
                <w:rFonts w:ascii="Arial" w:eastAsia="Times New Roman" w:hAnsi="Arial" w:cs="Arial"/>
                <w:b/>
                <w:bCs/>
                <w:color w:val="FFFFFF"/>
                <w:sz w:val="20"/>
                <w:szCs w:val="20"/>
              </w:rPr>
              <w:t>Specification</w:t>
            </w:r>
          </w:p>
        </w:tc>
        <w:tc>
          <w:tcPr>
            <w:tcW w:w="1048" w:type="pct"/>
            <w:tcBorders>
              <w:top w:val="single" w:sz="4" w:space="0" w:color="auto"/>
              <w:left w:val="nil"/>
              <w:bottom w:val="single" w:sz="4" w:space="0" w:color="auto"/>
              <w:right w:val="single" w:sz="4" w:space="0" w:color="auto"/>
            </w:tcBorders>
            <w:shd w:val="clear" w:color="000000" w:fill="00B0F0"/>
            <w:vAlign w:val="center"/>
            <w:hideMark/>
          </w:tcPr>
          <w:p w14:paraId="3986694D" w14:textId="77777777" w:rsidR="006360A0" w:rsidRPr="006360A0" w:rsidRDefault="006360A0" w:rsidP="006360A0">
            <w:pPr>
              <w:autoSpaceDE/>
              <w:autoSpaceDN/>
              <w:adjustRightInd/>
              <w:snapToGrid/>
              <w:spacing w:after="0"/>
              <w:jc w:val="left"/>
              <w:rPr>
                <w:rFonts w:ascii="Arial" w:eastAsia="Times New Roman" w:hAnsi="Arial" w:cs="Arial"/>
                <w:b/>
                <w:bCs/>
                <w:color w:val="FFFFFF"/>
                <w:sz w:val="20"/>
                <w:szCs w:val="20"/>
              </w:rPr>
            </w:pPr>
            <w:r w:rsidRPr="006360A0">
              <w:rPr>
                <w:rFonts w:ascii="Arial" w:eastAsia="Times New Roman" w:hAnsi="Arial" w:cs="Arial"/>
                <w:b/>
                <w:bCs/>
                <w:color w:val="FFFFFF"/>
                <w:sz w:val="20"/>
                <w:szCs w:val="20"/>
              </w:rPr>
              <w:t>Comment</w:t>
            </w:r>
          </w:p>
        </w:tc>
      </w:tr>
      <w:tr w:rsidR="006360A0" w:rsidRPr="006360A0" w14:paraId="1858AC4B" w14:textId="77777777" w:rsidTr="006360A0">
        <w:trPr>
          <w:trHeight w:val="1150"/>
        </w:trPr>
        <w:tc>
          <w:tcPr>
            <w:tcW w:w="809" w:type="pct"/>
            <w:tcBorders>
              <w:top w:val="nil"/>
              <w:left w:val="single" w:sz="4" w:space="0" w:color="auto"/>
              <w:bottom w:val="single" w:sz="4" w:space="0" w:color="auto"/>
              <w:right w:val="single" w:sz="4" w:space="0" w:color="auto"/>
            </w:tcBorders>
            <w:shd w:val="clear" w:color="auto" w:fill="auto"/>
            <w:noWrap/>
            <w:vAlign w:val="center"/>
            <w:hideMark/>
          </w:tcPr>
          <w:p w14:paraId="4CED1A93"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CellSpecific_Koffset</w:t>
            </w:r>
          </w:p>
        </w:tc>
        <w:tc>
          <w:tcPr>
            <w:tcW w:w="1304" w:type="pct"/>
            <w:tcBorders>
              <w:top w:val="nil"/>
              <w:left w:val="nil"/>
              <w:bottom w:val="single" w:sz="4" w:space="0" w:color="auto"/>
              <w:right w:val="single" w:sz="4" w:space="0" w:color="auto"/>
            </w:tcBorders>
            <w:shd w:val="clear" w:color="auto" w:fill="auto"/>
            <w:vAlign w:val="center"/>
            <w:hideMark/>
          </w:tcPr>
          <w:p w14:paraId="3F21484D"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 xml:space="preserve">The CellSpecific_K_offset is a scheduling offset used for the timing relationships that need to be modified for NTN [see TS 38.2xy]. </w:t>
            </w:r>
            <w:r w:rsidRPr="006360A0">
              <w:rPr>
                <w:rFonts w:ascii="Arial" w:eastAsia="Times New Roman" w:hAnsi="Arial" w:cs="Arial"/>
                <w:color w:val="000000"/>
                <w:sz w:val="18"/>
                <w:szCs w:val="18"/>
              </w:rPr>
              <w:br/>
              <w:t>The unit of K_offset is number of slots for a given subcarrier spacing of 15 kHz</w:t>
            </w:r>
          </w:p>
        </w:tc>
        <w:tc>
          <w:tcPr>
            <w:tcW w:w="573" w:type="pct"/>
            <w:tcBorders>
              <w:top w:val="nil"/>
              <w:left w:val="nil"/>
              <w:bottom w:val="single" w:sz="4" w:space="0" w:color="auto"/>
              <w:right w:val="single" w:sz="4" w:space="0" w:color="auto"/>
            </w:tcBorders>
            <w:shd w:val="clear" w:color="auto" w:fill="auto"/>
            <w:noWrap/>
            <w:vAlign w:val="center"/>
            <w:hideMark/>
          </w:tcPr>
          <w:p w14:paraId="7ADF9613"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0 ...1023 ms</w:t>
            </w:r>
          </w:p>
        </w:tc>
        <w:tc>
          <w:tcPr>
            <w:tcW w:w="275" w:type="pct"/>
            <w:tcBorders>
              <w:top w:val="nil"/>
              <w:left w:val="nil"/>
              <w:bottom w:val="single" w:sz="4" w:space="0" w:color="auto"/>
              <w:right w:val="single" w:sz="4" w:space="0" w:color="auto"/>
            </w:tcBorders>
            <w:shd w:val="clear" w:color="auto" w:fill="auto"/>
            <w:noWrap/>
            <w:vAlign w:val="center"/>
            <w:hideMark/>
          </w:tcPr>
          <w:p w14:paraId="6E8D4A84"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3D708E48"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cell</w:t>
            </w:r>
          </w:p>
        </w:tc>
        <w:tc>
          <w:tcPr>
            <w:tcW w:w="361" w:type="pct"/>
            <w:tcBorders>
              <w:top w:val="nil"/>
              <w:left w:val="nil"/>
              <w:bottom w:val="single" w:sz="4" w:space="0" w:color="auto"/>
              <w:right w:val="single" w:sz="4" w:space="0" w:color="auto"/>
            </w:tcBorders>
            <w:shd w:val="clear" w:color="auto" w:fill="auto"/>
            <w:noWrap/>
            <w:vAlign w:val="center"/>
            <w:hideMark/>
          </w:tcPr>
          <w:p w14:paraId="220F4264"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Cell-specific</w:t>
            </w:r>
          </w:p>
        </w:tc>
        <w:tc>
          <w:tcPr>
            <w:tcW w:w="287" w:type="pct"/>
            <w:tcBorders>
              <w:top w:val="nil"/>
              <w:left w:val="nil"/>
              <w:bottom w:val="single" w:sz="4" w:space="0" w:color="auto"/>
              <w:right w:val="single" w:sz="4" w:space="0" w:color="auto"/>
            </w:tcBorders>
            <w:shd w:val="clear" w:color="auto" w:fill="auto"/>
            <w:noWrap/>
            <w:vAlign w:val="center"/>
            <w:hideMark/>
          </w:tcPr>
          <w:p w14:paraId="3E72AED3"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38.331</w:t>
            </w:r>
          </w:p>
        </w:tc>
        <w:tc>
          <w:tcPr>
            <w:tcW w:w="1048" w:type="pct"/>
            <w:tcBorders>
              <w:top w:val="nil"/>
              <w:left w:val="nil"/>
              <w:bottom w:val="single" w:sz="4" w:space="0" w:color="auto"/>
              <w:right w:val="single" w:sz="4" w:space="0" w:color="auto"/>
            </w:tcBorders>
            <w:shd w:val="clear" w:color="auto" w:fill="auto"/>
            <w:vAlign w:val="center"/>
            <w:hideMark/>
          </w:tcPr>
          <w:p w14:paraId="50A9ACD8" w14:textId="77777777" w:rsidR="006360A0" w:rsidRPr="006360A0" w:rsidRDefault="006360A0" w:rsidP="006360A0">
            <w:pPr>
              <w:autoSpaceDE/>
              <w:autoSpaceDN/>
              <w:adjustRightInd/>
              <w:snapToGrid/>
              <w:spacing w:after="240"/>
              <w:jc w:val="left"/>
              <w:rPr>
                <w:rFonts w:ascii="Arial" w:eastAsia="Times New Roman" w:hAnsi="Arial" w:cs="Arial"/>
                <w:color w:val="000000"/>
                <w:sz w:val="18"/>
                <w:szCs w:val="18"/>
              </w:rPr>
            </w:pPr>
            <w:r w:rsidRPr="006360A0">
              <w:rPr>
                <w:rFonts w:ascii="Arial" w:eastAsia="Times New Roman" w:hAnsi="Arial" w:cs="Arial"/>
                <w:color w:val="000000"/>
                <w:sz w:val="18"/>
                <w:szCs w:val="18"/>
              </w:rPr>
              <w:t>For the reference subcarrier spacing value for the unit of K_offset in FR1, a value of 15 kHz is used.</w:t>
            </w:r>
            <w:r w:rsidRPr="006360A0">
              <w:rPr>
                <w:rFonts w:ascii="Arial" w:eastAsia="Times New Roman" w:hAnsi="Arial" w:cs="Arial"/>
                <w:color w:val="000000"/>
                <w:sz w:val="18"/>
                <w:szCs w:val="18"/>
              </w:rPr>
              <w:br/>
              <w:t>• FFS: FR2</w:t>
            </w:r>
          </w:p>
        </w:tc>
      </w:tr>
      <w:tr w:rsidR="006360A0" w:rsidRPr="006360A0" w14:paraId="19AA134A" w14:textId="77777777" w:rsidTr="006360A0">
        <w:trPr>
          <w:trHeight w:val="3220"/>
        </w:trPr>
        <w:tc>
          <w:tcPr>
            <w:tcW w:w="809" w:type="pct"/>
            <w:tcBorders>
              <w:top w:val="nil"/>
              <w:left w:val="single" w:sz="4" w:space="0" w:color="auto"/>
              <w:bottom w:val="single" w:sz="4" w:space="0" w:color="auto"/>
              <w:right w:val="single" w:sz="4" w:space="0" w:color="auto"/>
            </w:tcBorders>
            <w:shd w:val="clear" w:color="auto" w:fill="auto"/>
            <w:noWrap/>
            <w:vAlign w:val="center"/>
            <w:hideMark/>
          </w:tcPr>
          <w:p w14:paraId="1CD67A36"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lastRenderedPageBreak/>
              <w:t>K_mac</w:t>
            </w:r>
          </w:p>
        </w:tc>
        <w:tc>
          <w:tcPr>
            <w:tcW w:w="1304" w:type="pct"/>
            <w:tcBorders>
              <w:top w:val="nil"/>
              <w:left w:val="nil"/>
              <w:bottom w:val="single" w:sz="4" w:space="0" w:color="auto"/>
              <w:right w:val="single" w:sz="4" w:space="0" w:color="auto"/>
            </w:tcBorders>
            <w:shd w:val="clear" w:color="auto" w:fill="auto"/>
            <w:vAlign w:val="center"/>
            <w:hideMark/>
          </w:tcPr>
          <w:p w14:paraId="6B1B2F99"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K_mac is a scheduling offset provided by network if downlink and uplink frame timing are not aligned at gNB. It is needed for UE action and assumption on downlink configuration indicated by a MAC-CE command in PDSCH [see TS 38.2xy].</w:t>
            </w:r>
            <w:r w:rsidRPr="006360A0">
              <w:rPr>
                <w:rFonts w:ascii="Arial" w:eastAsia="Times New Roman" w:hAnsi="Arial" w:cs="Arial"/>
                <w:color w:val="000000"/>
                <w:sz w:val="18"/>
                <w:szCs w:val="18"/>
              </w:rPr>
              <w:br/>
              <w:t>When UE is not provided by network with a K_mac value, UE assumes K_mac = 0.</w:t>
            </w:r>
            <w:r w:rsidRPr="006360A0">
              <w:rPr>
                <w:rFonts w:ascii="Arial" w:eastAsia="Times New Roman" w:hAnsi="Arial" w:cs="Arial"/>
                <w:color w:val="000000"/>
                <w:sz w:val="18"/>
                <w:szCs w:val="18"/>
              </w:rPr>
              <w:br/>
              <w:t>For the reference subcarrier spacing value for the unit of K_mac in FR1, a value of 15 kHz is used.</w:t>
            </w:r>
            <w:r w:rsidRPr="006360A0">
              <w:rPr>
                <w:rFonts w:ascii="Arial" w:eastAsia="Times New Roman" w:hAnsi="Arial" w:cs="Arial"/>
                <w:color w:val="000000"/>
                <w:sz w:val="18"/>
                <w:szCs w:val="18"/>
              </w:rPr>
              <w:br/>
              <w:t>The unit of K_mac is number of slots for a given subcarrier spacing.</w:t>
            </w:r>
          </w:p>
        </w:tc>
        <w:tc>
          <w:tcPr>
            <w:tcW w:w="573" w:type="pct"/>
            <w:tcBorders>
              <w:top w:val="nil"/>
              <w:left w:val="nil"/>
              <w:bottom w:val="single" w:sz="4" w:space="0" w:color="auto"/>
              <w:right w:val="single" w:sz="4" w:space="0" w:color="auto"/>
            </w:tcBorders>
            <w:shd w:val="clear" w:color="auto" w:fill="auto"/>
            <w:noWrap/>
            <w:vAlign w:val="center"/>
            <w:hideMark/>
          </w:tcPr>
          <w:p w14:paraId="0CFDF373"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1 ...512 ms</w:t>
            </w:r>
          </w:p>
        </w:tc>
        <w:tc>
          <w:tcPr>
            <w:tcW w:w="275" w:type="pct"/>
            <w:tcBorders>
              <w:top w:val="nil"/>
              <w:left w:val="nil"/>
              <w:bottom w:val="single" w:sz="4" w:space="0" w:color="auto"/>
              <w:right w:val="single" w:sz="4" w:space="0" w:color="auto"/>
            </w:tcBorders>
            <w:shd w:val="clear" w:color="auto" w:fill="auto"/>
            <w:noWrap/>
            <w:vAlign w:val="center"/>
            <w:hideMark/>
          </w:tcPr>
          <w:p w14:paraId="057147CA"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65DBCF05"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cell</w:t>
            </w:r>
          </w:p>
        </w:tc>
        <w:tc>
          <w:tcPr>
            <w:tcW w:w="361" w:type="pct"/>
            <w:tcBorders>
              <w:top w:val="nil"/>
              <w:left w:val="nil"/>
              <w:bottom w:val="single" w:sz="4" w:space="0" w:color="auto"/>
              <w:right w:val="single" w:sz="4" w:space="0" w:color="auto"/>
            </w:tcBorders>
            <w:shd w:val="clear" w:color="auto" w:fill="auto"/>
            <w:noWrap/>
            <w:vAlign w:val="center"/>
            <w:hideMark/>
          </w:tcPr>
          <w:p w14:paraId="3CA1ED53"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Cell-specific</w:t>
            </w:r>
          </w:p>
        </w:tc>
        <w:tc>
          <w:tcPr>
            <w:tcW w:w="287" w:type="pct"/>
            <w:tcBorders>
              <w:top w:val="nil"/>
              <w:left w:val="nil"/>
              <w:bottom w:val="single" w:sz="4" w:space="0" w:color="auto"/>
              <w:right w:val="single" w:sz="4" w:space="0" w:color="auto"/>
            </w:tcBorders>
            <w:shd w:val="clear" w:color="auto" w:fill="auto"/>
            <w:noWrap/>
            <w:vAlign w:val="center"/>
            <w:hideMark/>
          </w:tcPr>
          <w:p w14:paraId="2B1A6252"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38.331</w:t>
            </w:r>
          </w:p>
        </w:tc>
        <w:tc>
          <w:tcPr>
            <w:tcW w:w="1048" w:type="pct"/>
            <w:tcBorders>
              <w:top w:val="nil"/>
              <w:left w:val="nil"/>
              <w:bottom w:val="single" w:sz="4" w:space="0" w:color="auto"/>
              <w:right w:val="single" w:sz="4" w:space="0" w:color="auto"/>
            </w:tcBorders>
            <w:shd w:val="clear" w:color="auto" w:fill="auto"/>
            <w:vAlign w:val="center"/>
            <w:hideMark/>
          </w:tcPr>
          <w:p w14:paraId="2E3A9D1C"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The clarifications on the usage of the parameters by “It is needed … “ would be captured in [see TS 38.2xy]</w:t>
            </w:r>
            <w:r w:rsidRPr="006360A0">
              <w:rPr>
                <w:rFonts w:ascii="Arial" w:eastAsia="Times New Roman" w:hAnsi="Arial" w:cs="Arial"/>
                <w:color w:val="000000"/>
                <w:sz w:val="18"/>
                <w:szCs w:val="18"/>
              </w:rPr>
              <w:br/>
            </w:r>
            <w:r w:rsidRPr="006360A0">
              <w:rPr>
                <w:rFonts w:ascii="Arial" w:eastAsia="Times New Roman" w:hAnsi="Arial" w:cs="Arial"/>
                <w:color w:val="000000"/>
                <w:sz w:val="18"/>
                <w:szCs w:val="18"/>
              </w:rPr>
              <w:br/>
              <w:t>If a UE is provided with a K_mac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n+</w:t>
            </w:r>
            <w:r w:rsidRPr="006360A0">
              <w:rPr>
                <w:rFonts w:ascii="Cambria Math" w:eastAsia="Cambria Math" w:hAnsi="Cambria Math" w:cs="Cambria Math"/>
                <w:color w:val="000000"/>
                <w:sz w:val="18"/>
                <w:szCs w:val="18"/>
              </w:rPr>
              <w:t>〖</w:t>
            </w:r>
            <w:r w:rsidRPr="006360A0">
              <w:rPr>
                <w:rFonts w:ascii="Arial" w:eastAsia="Times New Roman" w:hAnsi="Arial" w:cs="Arial"/>
                <w:color w:val="000000"/>
                <w:sz w:val="18"/>
                <w:szCs w:val="18"/>
              </w:rPr>
              <w:t>3N</w:t>
            </w:r>
            <w:r w:rsidRPr="006360A0">
              <w:rPr>
                <w:rFonts w:ascii="Cambria Math" w:eastAsia="Cambria Math" w:hAnsi="Cambria Math" w:cs="Cambria Math"/>
                <w:color w:val="000000"/>
                <w:sz w:val="18"/>
                <w:szCs w:val="18"/>
              </w:rPr>
              <w:t>〗</w:t>
            </w:r>
            <w:r w:rsidRPr="006360A0">
              <w:rPr>
                <w:rFonts w:ascii="Arial" w:eastAsia="Times New Roman" w:hAnsi="Arial" w:cs="Arial"/>
                <w:color w:val="000000"/>
                <w:sz w:val="18"/>
                <w:szCs w:val="18"/>
              </w:rPr>
              <w:t xml:space="preserve">_slot^(subframe,µ)+K_mac, where µ is the SCS configuration for the PUCCH.       </w:t>
            </w:r>
            <w:r w:rsidRPr="006360A0">
              <w:rPr>
                <w:rFonts w:ascii="Arial" w:eastAsia="Times New Roman" w:hAnsi="Arial" w:cs="Arial"/>
                <w:color w:val="000000"/>
                <w:sz w:val="18"/>
                <w:szCs w:val="18"/>
              </w:rPr>
              <w:br/>
              <w:t>For the reference subcarrier spacing value for the unit of K_mac in FR1, a value of 15 kHz is used.</w:t>
            </w:r>
            <w:r w:rsidRPr="006360A0">
              <w:rPr>
                <w:rFonts w:ascii="Arial" w:eastAsia="Times New Roman" w:hAnsi="Arial" w:cs="Arial"/>
                <w:color w:val="000000"/>
                <w:sz w:val="18"/>
                <w:szCs w:val="18"/>
              </w:rPr>
              <w:br/>
              <w:t>• FFS: FR2</w:t>
            </w:r>
          </w:p>
        </w:tc>
      </w:tr>
      <w:tr w:rsidR="006360A0" w:rsidRPr="006360A0" w14:paraId="4E460035" w14:textId="77777777" w:rsidTr="006360A0">
        <w:trPr>
          <w:trHeight w:val="290"/>
        </w:trPr>
        <w:tc>
          <w:tcPr>
            <w:tcW w:w="809" w:type="pct"/>
            <w:tcBorders>
              <w:top w:val="nil"/>
              <w:left w:val="single" w:sz="4" w:space="0" w:color="auto"/>
              <w:bottom w:val="single" w:sz="4" w:space="0" w:color="auto"/>
              <w:right w:val="single" w:sz="4" w:space="0" w:color="auto"/>
            </w:tcBorders>
            <w:shd w:val="clear" w:color="auto" w:fill="auto"/>
            <w:noWrap/>
            <w:vAlign w:val="center"/>
            <w:hideMark/>
          </w:tcPr>
          <w:p w14:paraId="2CB2C8BD"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dl-DataToUL-ACK-r17</w:t>
            </w:r>
          </w:p>
        </w:tc>
        <w:tc>
          <w:tcPr>
            <w:tcW w:w="1304" w:type="pct"/>
            <w:tcBorders>
              <w:top w:val="nil"/>
              <w:left w:val="nil"/>
              <w:bottom w:val="single" w:sz="4" w:space="0" w:color="auto"/>
              <w:right w:val="single" w:sz="4" w:space="0" w:color="auto"/>
            </w:tcBorders>
            <w:shd w:val="clear" w:color="auto" w:fill="auto"/>
            <w:vAlign w:val="center"/>
            <w:hideMark/>
          </w:tcPr>
          <w:p w14:paraId="61CBBFBE"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 xml:space="preserve">For unpaired spectrum, extend the value range of K1 from (0..15) to (0..31) </w:t>
            </w:r>
          </w:p>
        </w:tc>
        <w:tc>
          <w:tcPr>
            <w:tcW w:w="573" w:type="pct"/>
            <w:tcBorders>
              <w:top w:val="nil"/>
              <w:left w:val="nil"/>
              <w:bottom w:val="single" w:sz="4" w:space="0" w:color="auto"/>
              <w:right w:val="single" w:sz="4" w:space="0" w:color="auto"/>
            </w:tcBorders>
            <w:shd w:val="clear" w:color="auto" w:fill="auto"/>
            <w:noWrap/>
            <w:vAlign w:val="center"/>
            <w:hideMark/>
          </w:tcPr>
          <w:p w14:paraId="6087C7FE"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(0..31)</w:t>
            </w:r>
          </w:p>
        </w:tc>
        <w:tc>
          <w:tcPr>
            <w:tcW w:w="275" w:type="pct"/>
            <w:tcBorders>
              <w:top w:val="nil"/>
              <w:left w:val="nil"/>
              <w:bottom w:val="single" w:sz="4" w:space="0" w:color="auto"/>
              <w:right w:val="single" w:sz="4" w:space="0" w:color="auto"/>
            </w:tcBorders>
            <w:shd w:val="clear" w:color="auto" w:fill="auto"/>
            <w:noWrap/>
            <w:vAlign w:val="center"/>
            <w:hideMark/>
          </w:tcPr>
          <w:p w14:paraId="541051A9"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111999F0"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Per BWP</w:t>
            </w:r>
          </w:p>
        </w:tc>
        <w:tc>
          <w:tcPr>
            <w:tcW w:w="361" w:type="pct"/>
            <w:tcBorders>
              <w:top w:val="nil"/>
              <w:left w:val="nil"/>
              <w:bottom w:val="single" w:sz="4" w:space="0" w:color="auto"/>
              <w:right w:val="single" w:sz="4" w:space="0" w:color="auto"/>
            </w:tcBorders>
            <w:shd w:val="clear" w:color="auto" w:fill="auto"/>
            <w:noWrap/>
            <w:vAlign w:val="center"/>
            <w:hideMark/>
          </w:tcPr>
          <w:p w14:paraId="1E3341FD"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UE specific</w:t>
            </w:r>
          </w:p>
        </w:tc>
        <w:tc>
          <w:tcPr>
            <w:tcW w:w="287" w:type="pct"/>
            <w:tcBorders>
              <w:top w:val="nil"/>
              <w:left w:val="nil"/>
              <w:bottom w:val="single" w:sz="4" w:space="0" w:color="auto"/>
              <w:right w:val="single" w:sz="4" w:space="0" w:color="auto"/>
            </w:tcBorders>
            <w:shd w:val="clear" w:color="auto" w:fill="auto"/>
            <w:noWrap/>
            <w:vAlign w:val="center"/>
            <w:hideMark/>
          </w:tcPr>
          <w:p w14:paraId="2F774A6C"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 </w:t>
            </w:r>
          </w:p>
        </w:tc>
        <w:tc>
          <w:tcPr>
            <w:tcW w:w="1048" w:type="pct"/>
            <w:tcBorders>
              <w:top w:val="nil"/>
              <w:left w:val="nil"/>
              <w:bottom w:val="single" w:sz="4" w:space="0" w:color="auto"/>
              <w:right w:val="single" w:sz="4" w:space="0" w:color="auto"/>
            </w:tcBorders>
            <w:shd w:val="clear" w:color="auto" w:fill="auto"/>
            <w:vAlign w:val="center"/>
            <w:hideMark/>
          </w:tcPr>
          <w:p w14:paraId="0E6EDDF7" w14:textId="77777777" w:rsidR="006360A0" w:rsidRPr="006360A0" w:rsidRDefault="006360A0" w:rsidP="006360A0">
            <w:pPr>
              <w:autoSpaceDE/>
              <w:autoSpaceDN/>
              <w:adjustRightInd/>
              <w:snapToGrid/>
              <w:spacing w:after="0"/>
              <w:jc w:val="left"/>
              <w:rPr>
                <w:rFonts w:ascii="Arial" w:eastAsia="Times New Roman" w:hAnsi="Arial" w:cs="Arial"/>
                <w:color w:val="000000"/>
                <w:sz w:val="18"/>
                <w:szCs w:val="18"/>
              </w:rPr>
            </w:pPr>
            <w:r w:rsidRPr="006360A0">
              <w:rPr>
                <w:rFonts w:ascii="Arial" w:eastAsia="Times New Roman" w:hAnsi="Arial" w:cs="Arial"/>
                <w:color w:val="000000"/>
                <w:sz w:val="18"/>
                <w:szCs w:val="18"/>
              </w:rPr>
              <w:t> </w:t>
            </w:r>
          </w:p>
        </w:tc>
      </w:tr>
    </w:tbl>
    <w:p w14:paraId="4FD3A2BD" w14:textId="77777777" w:rsidR="008450C5" w:rsidRPr="00E61DEB" w:rsidRDefault="008450C5" w:rsidP="00396B18">
      <w:pPr>
        <w:rPr>
          <w:b/>
        </w:rPr>
      </w:pPr>
    </w:p>
    <w:bookmarkEnd w:id="8"/>
    <w:p w14:paraId="6611CE60" w14:textId="77777777" w:rsidR="004B4B8E" w:rsidRPr="004B4B8E" w:rsidRDefault="004B4B8E" w:rsidP="004B4B8E"/>
    <w:p w14:paraId="06BC5970" w14:textId="77777777" w:rsidR="00E302D0" w:rsidRPr="00E61DEB" w:rsidRDefault="00E302D0" w:rsidP="00E302D0">
      <w:pPr>
        <w:pStyle w:val="Titre1"/>
        <w:rPr>
          <w:sz w:val="22"/>
          <w:szCs w:val="22"/>
        </w:rPr>
      </w:pPr>
      <w:bookmarkStart w:id="9" w:name="_Toc79484738"/>
      <w:bookmarkStart w:id="10" w:name="_Toc82188767"/>
      <w:r w:rsidRPr="00E61DEB">
        <w:rPr>
          <w:sz w:val="22"/>
          <w:szCs w:val="22"/>
        </w:rPr>
        <w:t>Enhancements on UL time and frequency synchronization</w:t>
      </w:r>
      <w:bookmarkEnd w:id="9"/>
      <w:bookmarkEnd w:id="10"/>
    </w:p>
    <w:p w14:paraId="06BC5971" w14:textId="77777777" w:rsidR="003B5392" w:rsidRPr="00E61DEB" w:rsidRDefault="003B5392" w:rsidP="003B5392">
      <w:pPr>
        <w:pStyle w:val="Titre2"/>
        <w:rPr>
          <w:sz w:val="22"/>
        </w:rPr>
      </w:pPr>
      <w:bookmarkStart w:id="11" w:name="_Toc82188768"/>
      <w:r w:rsidRPr="00E61DEB">
        <w:rPr>
          <w:sz w:val="22"/>
        </w:rPr>
        <w:t>Related RRC parameters</w:t>
      </w:r>
      <w:bookmarkEnd w:id="11"/>
    </w:p>
    <w:p w14:paraId="06BC5972" w14:textId="331BD69E" w:rsidR="003B5392" w:rsidRPr="00E61DEB" w:rsidRDefault="00304663" w:rsidP="003B5392">
      <w:r w:rsidRPr="00E61DEB">
        <w:t>Based on the agreements to date (up to RAN1#106</w:t>
      </w:r>
      <w:r w:rsidR="00095571">
        <w:t>-bis</w:t>
      </w:r>
      <w:r w:rsidRPr="00E61DEB">
        <w:t>-e) and the companies propo</w:t>
      </w:r>
      <w:r w:rsidR="00095571">
        <w:t xml:space="preserve">sals submitted to RAN1#107-e, an updated </w:t>
      </w:r>
      <w:r w:rsidR="003826AC" w:rsidRPr="00E61DEB">
        <w:t xml:space="preserve">list of RRC parameters pertinent to NR NTN </w:t>
      </w:r>
      <w:r w:rsidR="00C30F9D" w:rsidRPr="00E61DEB">
        <w:t>and related the e</w:t>
      </w:r>
      <w:r w:rsidR="003826AC" w:rsidRPr="00E61DEB">
        <w:t>nhancements on UL time and frequency synchronization is given within the following table:</w:t>
      </w:r>
    </w:p>
    <w:p w14:paraId="62FF6518" w14:textId="7AD64679" w:rsidR="00587F8D" w:rsidRPr="00E61DEB" w:rsidRDefault="00587F8D" w:rsidP="003B5392"/>
    <w:tbl>
      <w:tblPr>
        <w:tblW w:w="5000" w:type="pct"/>
        <w:tblLayout w:type="fixed"/>
        <w:tblCellMar>
          <w:left w:w="70" w:type="dxa"/>
          <w:right w:w="70" w:type="dxa"/>
        </w:tblCellMar>
        <w:tblLook w:val="04A0" w:firstRow="1" w:lastRow="0" w:firstColumn="1" w:lastColumn="0" w:noHBand="0" w:noVBand="1"/>
      </w:tblPr>
      <w:tblGrid>
        <w:gridCol w:w="1826"/>
        <w:gridCol w:w="1830"/>
        <w:gridCol w:w="2860"/>
        <w:gridCol w:w="3545"/>
        <w:gridCol w:w="1698"/>
        <w:gridCol w:w="1135"/>
        <w:gridCol w:w="994"/>
        <w:gridCol w:w="1135"/>
        <w:gridCol w:w="1453"/>
        <w:gridCol w:w="2515"/>
        <w:gridCol w:w="1127"/>
      </w:tblGrid>
      <w:tr w:rsidR="002D6400" w:rsidRPr="00BF5057" w14:paraId="66D69744" w14:textId="77777777" w:rsidTr="002D6400">
        <w:trPr>
          <w:trHeight w:val="520"/>
          <w:tblHeader/>
        </w:trPr>
        <w:tc>
          <w:tcPr>
            <w:tcW w:w="454"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510CC0CC" w14:textId="77777777" w:rsidR="002D6400" w:rsidRPr="00BF5057" w:rsidRDefault="002D6400" w:rsidP="002D6400">
            <w:pPr>
              <w:autoSpaceDE/>
              <w:autoSpaceDN/>
              <w:adjustRightInd/>
              <w:snapToGrid/>
              <w:spacing w:after="0"/>
              <w:jc w:val="left"/>
              <w:rPr>
                <w:rFonts w:eastAsia="Times New Roman"/>
                <w:b/>
                <w:bCs/>
                <w:color w:val="FFFFFF"/>
                <w:lang w:eastAsia="fr-FR"/>
              </w:rPr>
            </w:pPr>
            <w:r w:rsidRPr="00BF5057">
              <w:rPr>
                <w:rFonts w:eastAsia="Times New Roman"/>
                <w:b/>
                <w:bCs/>
                <w:color w:val="FFFFFF"/>
                <w:lang w:eastAsia="fr-FR"/>
              </w:rPr>
              <w:lastRenderedPageBreak/>
              <w:t>Parameter name in the spec</w:t>
            </w:r>
          </w:p>
        </w:tc>
        <w:tc>
          <w:tcPr>
            <w:tcW w:w="455" w:type="pct"/>
            <w:tcBorders>
              <w:top w:val="single" w:sz="4" w:space="0" w:color="auto"/>
              <w:left w:val="nil"/>
              <w:bottom w:val="single" w:sz="4" w:space="0" w:color="auto"/>
              <w:right w:val="single" w:sz="4" w:space="0" w:color="auto"/>
            </w:tcBorders>
            <w:shd w:val="clear" w:color="000000" w:fill="00B0F0"/>
            <w:vAlign w:val="center"/>
            <w:hideMark/>
          </w:tcPr>
          <w:p w14:paraId="714D408D" w14:textId="77777777" w:rsidR="002D6400" w:rsidRPr="00BF5057" w:rsidRDefault="002D6400" w:rsidP="002D6400">
            <w:pPr>
              <w:autoSpaceDE/>
              <w:autoSpaceDN/>
              <w:adjustRightInd/>
              <w:snapToGrid/>
              <w:spacing w:after="0"/>
              <w:jc w:val="left"/>
              <w:rPr>
                <w:rFonts w:eastAsia="Times New Roman"/>
                <w:b/>
                <w:bCs/>
                <w:color w:val="FFFFFF"/>
                <w:lang w:val="fr-FR" w:eastAsia="fr-FR"/>
              </w:rPr>
            </w:pPr>
            <w:r w:rsidRPr="00BF5057">
              <w:rPr>
                <w:rFonts w:eastAsia="Times New Roman"/>
                <w:b/>
                <w:bCs/>
                <w:color w:val="FFFFFF"/>
                <w:lang w:val="fr-FR" w:eastAsia="fr-FR"/>
              </w:rPr>
              <w:t>New or existing?</w:t>
            </w:r>
          </w:p>
        </w:tc>
        <w:tc>
          <w:tcPr>
            <w:tcW w:w="711" w:type="pct"/>
            <w:tcBorders>
              <w:top w:val="single" w:sz="4" w:space="0" w:color="auto"/>
              <w:left w:val="nil"/>
              <w:bottom w:val="single" w:sz="4" w:space="0" w:color="auto"/>
              <w:right w:val="single" w:sz="4" w:space="0" w:color="auto"/>
            </w:tcBorders>
            <w:shd w:val="clear" w:color="000000" w:fill="00B0F0"/>
            <w:vAlign w:val="center"/>
            <w:hideMark/>
          </w:tcPr>
          <w:p w14:paraId="3BB25763" w14:textId="77777777" w:rsidR="002D6400" w:rsidRPr="00BF5057" w:rsidRDefault="002D6400" w:rsidP="002D6400">
            <w:pPr>
              <w:autoSpaceDE/>
              <w:autoSpaceDN/>
              <w:adjustRightInd/>
              <w:snapToGrid/>
              <w:spacing w:after="0"/>
              <w:jc w:val="left"/>
              <w:rPr>
                <w:rFonts w:eastAsia="Times New Roman"/>
                <w:b/>
                <w:bCs/>
                <w:color w:val="FFFFFF"/>
                <w:lang w:eastAsia="fr-FR"/>
              </w:rPr>
            </w:pPr>
            <w:r w:rsidRPr="00BF5057">
              <w:rPr>
                <w:rFonts w:eastAsia="Times New Roman"/>
                <w:b/>
                <w:bCs/>
                <w:color w:val="FFFFFF"/>
                <w:lang w:eastAsia="fr-FR"/>
              </w:rPr>
              <w:t>Parameter name in the text</w:t>
            </w:r>
          </w:p>
        </w:tc>
        <w:tc>
          <w:tcPr>
            <w:tcW w:w="881" w:type="pct"/>
            <w:tcBorders>
              <w:top w:val="single" w:sz="4" w:space="0" w:color="auto"/>
              <w:left w:val="nil"/>
              <w:bottom w:val="single" w:sz="4" w:space="0" w:color="auto"/>
              <w:right w:val="single" w:sz="4" w:space="0" w:color="auto"/>
            </w:tcBorders>
            <w:shd w:val="clear" w:color="000000" w:fill="00B0F0"/>
            <w:vAlign w:val="center"/>
            <w:hideMark/>
          </w:tcPr>
          <w:p w14:paraId="43CF35AD" w14:textId="77777777" w:rsidR="002D6400" w:rsidRPr="00BF5057" w:rsidRDefault="002D6400" w:rsidP="002D6400">
            <w:pPr>
              <w:autoSpaceDE/>
              <w:autoSpaceDN/>
              <w:adjustRightInd/>
              <w:snapToGrid/>
              <w:spacing w:after="0"/>
              <w:jc w:val="left"/>
              <w:rPr>
                <w:rFonts w:eastAsia="Times New Roman"/>
                <w:b/>
                <w:bCs/>
                <w:color w:val="FFFFFF"/>
                <w:lang w:val="fr-FR" w:eastAsia="fr-FR"/>
              </w:rPr>
            </w:pPr>
            <w:r w:rsidRPr="00BF5057">
              <w:rPr>
                <w:rFonts w:eastAsia="Times New Roman"/>
                <w:b/>
                <w:bCs/>
                <w:color w:val="FFFFFF"/>
                <w:lang w:val="fr-FR" w:eastAsia="fr-FR"/>
              </w:rPr>
              <w:t>Description</w:t>
            </w:r>
          </w:p>
        </w:tc>
        <w:tc>
          <w:tcPr>
            <w:tcW w:w="422" w:type="pct"/>
            <w:tcBorders>
              <w:top w:val="single" w:sz="4" w:space="0" w:color="auto"/>
              <w:left w:val="nil"/>
              <w:bottom w:val="single" w:sz="4" w:space="0" w:color="auto"/>
              <w:right w:val="single" w:sz="4" w:space="0" w:color="auto"/>
            </w:tcBorders>
            <w:shd w:val="clear" w:color="000000" w:fill="00B0F0"/>
            <w:vAlign w:val="center"/>
            <w:hideMark/>
          </w:tcPr>
          <w:p w14:paraId="7F4AF6F9" w14:textId="77777777" w:rsidR="002D6400" w:rsidRPr="00BF5057" w:rsidRDefault="002D6400" w:rsidP="002D6400">
            <w:pPr>
              <w:autoSpaceDE/>
              <w:autoSpaceDN/>
              <w:adjustRightInd/>
              <w:snapToGrid/>
              <w:spacing w:after="0"/>
              <w:jc w:val="left"/>
              <w:rPr>
                <w:rFonts w:eastAsia="Times New Roman"/>
                <w:b/>
                <w:bCs/>
                <w:color w:val="FFFFFF"/>
                <w:lang w:val="fr-FR" w:eastAsia="fr-FR"/>
              </w:rPr>
            </w:pPr>
            <w:r w:rsidRPr="00BF5057">
              <w:rPr>
                <w:rFonts w:eastAsia="Times New Roman"/>
                <w:b/>
                <w:bCs/>
                <w:color w:val="FFFFFF"/>
                <w:lang w:val="fr-FR" w:eastAsia="fr-FR"/>
              </w:rPr>
              <w:t>Value range</w:t>
            </w:r>
          </w:p>
        </w:tc>
        <w:tc>
          <w:tcPr>
            <w:tcW w:w="282" w:type="pct"/>
            <w:tcBorders>
              <w:top w:val="single" w:sz="4" w:space="0" w:color="auto"/>
              <w:left w:val="nil"/>
              <w:bottom w:val="single" w:sz="4" w:space="0" w:color="auto"/>
              <w:right w:val="single" w:sz="4" w:space="0" w:color="auto"/>
            </w:tcBorders>
            <w:shd w:val="clear" w:color="000000" w:fill="00B0F0"/>
            <w:vAlign w:val="center"/>
            <w:hideMark/>
          </w:tcPr>
          <w:p w14:paraId="79F1B972" w14:textId="77777777" w:rsidR="002D6400" w:rsidRPr="00BF5057" w:rsidRDefault="002D6400" w:rsidP="002D6400">
            <w:pPr>
              <w:autoSpaceDE/>
              <w:autoSpaceDN/>
              <w:adjustRightInd/>
              <w:snapToGrid/>
              <w:spacing w:after="0"/>
              <w:jc w:val="left"/>
              <w:rPr>
                <w:rFonts w:eastAsia="Times New Roman"/>
                <w:b/>
                <w:bCs/>
                <w:color w:val="FFFFFF"/>
                <w:lang w:val="fr-FR" w:eastAsia="fr-FR"/>
              </w:rPr>
            </w:pPr>
            <w:r w:rsidRPr="00BF5057">
              <w:rPr>
                <w:rFonts w:eastAsia="Times New Roman"/>
                <w:b/>
                <w:bCs/>
                <w:color w:val="FFFFFF"/>
                <w:lang w:val="fr-FR" w:eastAsia="fr-FR"/>
              </w:rPr>
              <w:t>Default value aspect</w:t>
            </w:r>
          </w:p>
        </w:tc>
        <w:tc>
          <w:tcPr>
            <w:tcW w:w="247" w:type="pct"/>
            <w:tcBorders>
              <w:top w:val="single" w:sz="4" w:space="0" w:color="auto"/>
              <w:left w:val="nil"/>
              <w:bottom w:val="single" w:sz="4" w:space="0" w:color="auto"/>
              <w:right w:val="single" w:sz="4" w:space="0" w:color="auto"/>
            </w:tcBorders>
            <w:shd w:val="clear" w:color="000000" w:fill="00B0F0"/>
            <w:vAlign w:val="center"/>
            <w:hideMark/>
          </w:tcPr>
          <w:p w14:paraId="49644885" w14:textId="77777777" w:rsidR="002D6400" w:rsidRPr="00BF5057" w:rsidRDefault="002D6400" w:rsidP="002D6400">
            <w:pPr>
              <w:autoSpaceDE/>
              <w:autoSpaceDN/>
              <w:adjustRightInd/>
              <w:snapToGrid/>
              <w:spacing w:after="0"/>
              <w:jc w:val="left"/>
              <w:rPr>
                <w:rFonts w:eastAsia="Times New Roman"/>
                <w:b/>
                <w:bCs/>
                <w:color w:val="FFFFFF"/>
                <w:lang w:val="fr-FR" w:eastAsia="fr-FR"/>
              </w:rPr>
            </w:pPr>
            <w:r w:rsidRPr="00BF5057">
              <w:rPr>
                <w:rFonts w:eastAsia="Times New Roman"/>
                <w:b/>
                <w:bCs/>
                <w:color w:val="FFFFFF"/>
                <w:lang w:val="fr-FR" w:eastAsia="fr-FR"/>
              </w:rPr>
              <w:t>Per (UE, cell, TRP, …)</w:t>
            </w:r>
          </w:p>
        </w:tc>
        <w:tc>
          <w:tcPr>
            <w:tcW w:w="282" w:type="pct"/>
            <w:tcBorders>
              <w:top w:val="single" w:sz="4" w:space="0" w:color="auto"/>
              <w:left w:val="nil"/>
              <w:bottom w:val="single" w:sz="4" w:space="0" w:color="auto"/>
              <w:right w:val="single" w:sz="4" w:space="0" w:color="auto"/>
            </w:tcBorders>
            <w:shd w:val="clear" w:color="000000" w:fill="00B0F0"/>
            <w:vAlign w:val="center"/>
            <w:hideMark/>
          </w:tcPr>
          <w:p w14:paraId="273EE4C5" w14:textId="77777777" w:rsidR="002D6400" w:rsidRPr="00BF5057" w:rsidRDefault="002D6400" w:rsidP="002D6400">
            <w:pPr>
              <w:autoSpaceDE/>
              <w:autoSpaceDN/>
              <w:adjustRightInd/>
              <w:snapToGrid/>
              <w:spacing w:after="0"/>
              <w:jc w:val="left"/>
              <w:rPr>
                <w:rFonts w:eastAsia="Times New Roman"/>
                <w:b/>
                <w:bCs/>
                <w:color w:val="FFFFFF"/>
                <w:lang w:eastAsia="fr-FR"/>
              </w:rPr>
            </w:pPr>
            <w:r w:rsidRPr="00BF5057">
              <w:rPr>
                <w:rFonts w:eastAsia="Times New Roman"/>
                <w:b/>
                <w:bCs/>
                <w:color w:val="FFFFFF"/>
                <w:lang w:eastAsia="fr-FR"/>
              </w:rPr>
              <w:t>UE-specific or Cell-specific</w:t>
            </w:r>
          </w:p>
        </w:tc>
        <w:tc>
          <w:tcPr>
            <w:tcW w:w="361" w:type="pct"/>
            <w:tcBorders>
              <w:top w:val="single" w:sz="4" w:space="0" w:color="auto"/>
              <w:left w:val="nil"/>
              <w:bottom w:val="single" w:sz="4" w:space="0" w:color="auto"/>
              <w:right w:val="single" w:sz="4" w:space="0" w:color="auto"/>
            </w:tcBorders>
            <w:shd w:val="clear" w:color="000000" w:fill="00B0F0"/>
            <w:vAlign w:val="center"/>
            <w:hideMark/>
          </w:tcPr>
          <w:p w14:paraId="32DB13DD" w14:textId="77777777" w:rsidR="002D6400" w:rsidRPr="00BF5057" w:rsidRDefault="002D6400" w:rsidP="002D6400">
            <w:pPr>
              <w:autoSpaceDE/>
              <w:autoSpaceDN/>
              <w:adjustRightInd/>
              <w:snapToGrid/>
              <w:spacing w:after="0"/>
              <w:jc w:val="left"/>
              <w:rPr>
                <w:rFonts w:eastAsia="Times New Roman"/>
                <w:b/>
                <w:bCs/>
                <w:color w:val="FFFFFF"/>
                <w:lang w:val="fr-FR" w:eastAsia="fr-FR"/>
              </w:rPr>
            </w:pPr>
            <w:r w:rsidRPr="00BF5057">
              <w:rPr>
                <w:rFonts w:eastAsia="Times New Roman"/>
                <w:b/>
                <w:bCs/>
                <w:color w:val="FFFFFF"/>
                <w:lang w:val="fr-FR" w:eastAsia="fr-FR"/>
              </w:rPr>
              <w:t>Specification</w:t>
            </w:r>
          </w:p>
        </w:tc>
        <w:tc>
          <w:tcPr>
            <w:tcW w:w="625" w:type="pct"/>
            <w:tcBorders>
              <w:top w:val="single" w:sz="4" w:space="0" w:color="auto"/>
              <w:left w:val="nil"/>
              <w:bottom w:val="single" w:sz="4" w:space="0" w:color="auto"/>
              <w:right w:val="single" w:sz="4" w:space="0" w:color="auto"/>
            </w:tcBorders>
            <w:shd w:val="clear" w:color="000000" w:fill="00B0F0"/>
            <w:vAlign w:val="center"/>
            <w:hideMark/>
          </w:tcPr>
          <w:p w14:paraId="1995C4E7" w14:textId="77777777" w:rsidR="002D6400" w:rsidRPr="00BF5057" w:rsidRDefault="002D6400" w:rsidP="002D6400">
            <w:pPr>
              <w:autoSpaceDE/>
              <w:autoSpaceDN/>
              <w:adjustRightInd/>
              <w:snapToGrid/>
              <w:spacing w:after="0"/>
              <w:jc w:val="left"/>
              <w:rPr>
                <w:rFonts w:eastAsia="Times New Roman"/>
                <w:b/>
                <w:bCs/>
                <w:color w:val="FFFFFF"/>
                <w:lang w:val="fr-FR" w:eastAsia="fr-FR"/>
              </w:rPr>
            </w:pPr>
            <w:r w:rsidRPr="00BF5057">
              <w:rPr>
                <w:rFonts w:eastAsia="Times New Roman"/>
                <w:b/>
                <w:bCs/>
                <w:color w:val="FFFFFF"/>
                <w:lang w:val="fr-FR" w:eastAsia="fr-FR"/>
              </w:rPr>
              <w:t>Comment</w:t>
            </w:r>
          </w:p>
        </w:tc>
        <w:tc>
          <w:tcPr>
            <w:tcW w:w="280" w:type="pct"/>
            <w:tcBorders>
              <w:top w:val="single" w:sz="4" w:space="0" w:color="auto"/>
              <w:left w:val="nil"/>
              <w:bottom w:val="single" w:sz="4" w:space="0" w:color="auto"/>
              <w:right w:val="single" w:sz="4" w:space="0" w:color="auto"/>
            </w:tcBorders>
            <w:shd w:val="clear" w:color="000000" w:fill="00B0F0"/>
            <w:vAlign w:val="center"/>
            <w:hideMark/>
          </w:tcPr>
          <w:p w14:paraId="21AF8D90" w14:textId="77777777" w:rsidR="002D6400" w:rsidRPr="00BF5057" w:rsidRDefault="002D6400" w:rsidP="002D6400">
            <w:pPr>
              <w:autoSpaceDE/>
              <w:autoSpaceDN/>
              <w:adjustRightInd/>
              <w:snapToGrid/>
              <w:spacing w:after="0"/>
              <w:jc w:val="left"/>
              <w:rPr>
                <w:rFonts w:eastAsia="Times New Roman"/>
                <w:b/>
                <w:bCs/>
                <w:color w:val="FFFFFF"/>
                <w:lang w:val="fr-FR" w:eastAsia="fr-FR"/>
              </w:rPr>
            </w:pPr>
            <w:r w:rsidRPr="00BF5057">
              <w:rPr>
                <w:rFonts w:eastAsia="Times New Roman"/>
                <w:b/>
                <w:bCs/>
                <w:color w:val="FFFFFF"/>
                <w:lang w:val="fr-FR" w:eastAsia="fr-FR"/>
              </w:rPr>
              <w:t>Status</w:t>
            </w:r>
          </w:p>
        </w:tc>
      </w:tr>
      <w:tr w:rsidR="002D6400" w:rsidRPr="00BF5057" w14:paraId="039FCDD0" w14:textId="77777777" w:rsidTr="002D6400">
        <w:trPr>
          <w:trHeight w:val="161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5175F042" w14:textId="77777777" w:rsidR="002D6400" w:rsidRPr="00BF5057" w:rsidRDefault="002D6400" w:rsidP="002D6400">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xml:space="preserve">TACommon </w:t>
            </w:r>
          </w:p>
        </w:tc>
        <w:tc>
          <w:tcPr>
            <w:tcW w:w="455" w:type="pct"/>
            <w:tcBorders>
              <w:top w:val="nil"/>
              <w:left w:val="nil"/>
              <w:bottom w:val="single" w:sz="4" w:space="0" w:color="auto"/>
              <w:right w:val="single" w:sz="4" w:space="0" w:color="auto"/>
            </w:tcBorders>
            <w:shd w:val="clear" w:color="auto" w:fill="auto"/>
            <w:noWrap/>
            <w:vAlign w:val="center"/>
            <w:hideMark/>
          </w:tcPr>
          <w:p w14:paraId="348EE4AD" w14:textId="77777777" w:rsidR="002D6400" w:rsidRPr="00BF5057" w:rsidRDefault="002D6400" w:rsidP="002D6400">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68E78C60" w14:textId="77777777" w:rsidR="002D6400" w:rsidRPr="00BF5057" w:rsidRDefault="002D6400" w:rsidP="002D6400">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xml:space="preserve">TACommon </w:t>
            </w:r>
          </w:p>
        </w:tc>
        <w:tc>
          <w:tcPr>
            <w:tcW w:w="881" w:type="pct"/>
            <w:tcBorders>
              <w:top w:val="nil"/>
              <w:left w:val="nil"/>
              <w:bottom w:val="single" w:sz="4" w:space="0" w:color="auto"/>
              <w:right w:val="single" w:sz="4" w:space="0" w:color="auto"/>
            </w:tcBorders>
            <w:shd w:val="clear" w:color="auto" w:fill="auto"/>
            <w:vAlign w:val="center"/>
            <w:hideMark/>
          </w:tcPr>
          <w:p w14:paraId="68E9A816" w14:textId="62995DB0" w:rsidR="000C6279" w:rsidRDefault="002D6400" w:rsidP="002D6400">
            <w:pPr>
              <w:autoSpaceDE/>
              <w:autoSpaceDN/>
              <w:adjustRightInd/>
              <w:snapToGrid/>
              <w:spacing w:after="0"/>
              <w:jc w:val="left"/>
              <w:rPr>
                <w:rFonts w:eastAsia="Times New Roman"/>
                <w:color w:val="000000"/>
                <w:lang w:eastAsia="fr-FR"/>
              </w:rPr>
            </w:pPr>
            <w:r w:rsidRPr="00BF5057">
              <w:rPr>
                <w:rFonts w:eastAsia="Times New Roman"/>
                <w:color w:val="000000"/>
                <w:lang w:eastAsia="fr-FR"/>
              </w:rPr>
              <w:t>TACommon is a network-controlled common TA, and may include any timing offset considered necessary by the network.</w:t>
            </w:r>
          </w:p>
          <w:p w14:paraId="30AC2326" w14:textId="77777777" w:rsidR="000C6279" w:rsidRDefault="000C6279" w:rsidP="002D6400">
            <w:pPr>
              <w:autoSpaceDE/>
              <w:autoSpaceDN/>
              <w:adjustRightInd/>
              <w:snapToGrid/>
              <w:spacing w:after="0"/>
              <w:jc w:val="left"/>
              <w:rPr>
                <w:rFonts w:eastAsia="Times New Roman"/>
                <w:color w:val="000000"/>
                <w:lang w:eastAsia="fr-FR"/>
              </w:rPr>
            </w:pPr>
          </w:p>
          <w:p w14:paraId="53A7ACB4" w14:textId="3330BA27" w:rsidR="000C6279" w:rsidRPr="000C6279" w:rsidRDefault="000C6279" w:rsidP="000C6279">
            <w:pPr>
              <w:autoSpaceDE/>
              <w:autoSpaceDN/>
              <w:adjustRightInd/>
              <w:snapToGrid/>
              <w:spacing w:after="0"/>
              <w:jc w:val="left"/>
              <w:rPr>
                <w:rFonts w:eastAsia="Times New Roman"/>
                <w:color w:val="FF0000"/>
                <w:lang w:eastAsia="fr-FR"/>
              </w:rPr>
            </w:pPr>
            <w:r>
              <w:rPr>
                <w:rFonts w:eastAsia="Times New Roman"/>
                <w:color w:val="FF0000"/>
                <w:lang w:eastAsia="fr-FR"/>
              </w:rPr>
              <w:t xml:space="preserve">The unit of </w:t>
            </w:r>
            <w:r w:rsidRPr="000C6279">
              <w:rPr>
                <w:rFonts w:eastAsia="Times New Roman"/>
                <w:color w:val="FF0000"/>
                <w:lang w:eastAsia="fr-FR"/>
              </w:rPr>
              <w:t xml:space="preserve">TACommon is </w:t>
            </w:r>
            <m:oMath>
              <m:r>
                <m:rPr>
                  <m:sty m:val="bi"/>
                </m:rPr>
                <w:rPr>
                  <w:rFonts w:ascii="Cambria Math" w:eastAsia="Times New Roman" w:hAnsi="Cambria Math"/>
                  <w:color w:val="FF0000"/>
                </w:rPr>
                <m:t xml:space="preserve"> </m:t>
              </m:r>
              <m:r>
                <m:rPr>
                  <m:sty m:val="b"/>
                </m:rPr>
                <w:rPr>
                  <w:rFonts w:ascii="Cambria Math" w:eastAsia="Times New Roman" w:hAnsi="Cambria Math"/>
                  <w:color w:val="FF0000"/>
                </w:rPr>
                <m:t>μs</m:t>
              </m:r>
            </m:oMath>
            <w:r w:rsidR="00BE5096">
              <w:rPr>
                <w:rFonts w:eastAsia="Times New Roman"/>
                <w:b/>
                <w:color w:val="FF0000"/>
              </w:rPr>
              <w:t xml:space="preserve"> and it is given in step size of</w:t>
            </w:r>
            <m:oMath>
              <m:r>
                <m:rPr>
                  <m:sty m:val="p"/>
                </m:rPr>
                <w:rPr>
                  <w:rFonts w:ascii="Cambria Math" w:eastAsia="Times New Roman" w:hAnsi="Cambria Math"/>
                  <w:color w:val="FF0000"/>
                </w:rPr>
                <w:br/>
              </m:r>
            </m:oMath>
            <m:oMathPara>
              <m:oMath>
                <m:r>
                  <m:rPr>
                    <m:sty m:val="b"/>
                  </m:rPr>
                  <w:rPr>
                    <w:rFonts w:ascii="Cambria Math" w:eastAsia="Times New Roman" w:hAnsi="Cambria Math"/>
                    <w:color w:val="FF0000"/>
                  </w:rPr>
                  <m:t>4.07×</m:t>
                </m:r>
                <m:sSup>
                  <m:sSupPr>
                    <m:ctrlPr>
                      <w:rPr>
                        <w:rFonts w:ascii="Cambria Math" w:eastAsia="Times New Roman" w:hAnsi="Cambria Math"/>
                        <w:b/>
                        <w:bCs/>
                        <w:color w:val="FF0000"/>
                      </w:rPr>
                    </m:ctrlPr>
                  </m:sSupPr>
                  <m:e>
                    <m:r>
                      <m:rPr>
                        <m:sty m:val="b"/>
                      </m:rPr>
                      <w:rPr>
                        <w:rFonts w:ascii="Cambria Math" w:eastAsia="Times New Roman" w:hAnsi="Cambria Math"/>
                        <w:color w:val="FF0000"/>
                      </w:rPr>
                      <m:t>10</m:t>
                    </m:r>
                  </m:e>
                  <m:sup>
                    <m:r>
                      <m:rPr>
                        <m:sty m:val="b"/>
                      </m:rPr>
                      <w:rPr>
                        <w:rFonts w:ascii="Cambria Math" w:eastAsia="Times New Roman" w:hAnsi="Cambria Math"/>
                        <w:color w:val="FF0000"/>
                      </w:rPr>
                      <m:t>-3</m:t>
                    </m:r>
                  </m:sup>
                </m:sSup>
                <m:r>
                  <m:rPr>
                    <m:sty m:val="bi"/>
                  </m:rPr>
                  <w:rPr>
                    <w:rFonts w:ascii="Cambria Math" w:eastAsia="Times New Roman" w:hAnsi="Cambria Math"/>
                    <w:color w:val="FF0000"/>
                  </w:rPr>
                  <m:t xml:space="preserve"> </m:t>
                </m:r>
                <m:r>
                  <m:rPr>
                    <m:sty m:val="b"/>
                  </m:rPr>
                  <w:rPr>
                    <w:rFonts w:ascii="Cambria Math" w:eastAsia="Times New Roman" w:hAnsi="Cambria Math"/>
                    <w:color w:val="FF0000"/>
                  </w:rPr>
                  <m:t>μs</m:t>
                </m:r>
              </m:oMath>
            </m:oMathPara>
          </w:p>
          <w:p w14:paraId="16011C50" w14:textId="4AEBD06C" w:rsidR="002D6400" w:rsidRPr="000C6279" w:rsidRDefault="002D6400" w:rsidP="000C6279">
            <w:pPr>
              <w:autoSpaceDE/>
              <w:autoSpaceDN/>
              <w:adjustRightInd/>
              <w:snapToGrid/>
              <w:spacing w:after="0"/>
              <w:jc w:val="left"/>
              <w:rPr>
                <w:rFonts w:eastAsia="Times New Roman"/>
                <w:color w:val="000000"/>
                <w:lang w:eastAsia="fr-FR"/>
              </w:rPr>
            </w:pPr>
            <w:r w:rsidRPr="00BF5057">
              <w:rPr>
                <w:rFonts w:eastAsia="Times New Roman"/>
                <w:color w:val="000000"/>
                <w:lang w:eastAsia="fr-FR"/>
              </w:rPr>
              <w:br/>
            </w:r>
            <w:r w:rsidRPr="000C6279">
              <w:rPr>
                <w:rFonts w:eastAsia="Times New Roman"/>
                <w:color w:val="000000"/>
                <w:lang w:eastAsia="fr-FR"/>
              </w:rPr>
              <w:t xml:space="preserve">TACommon  with value of 0 is supported. </w:t>
            </w:r>
          </w:p>
        </w:tc>
        <w:tc>
          <w:tcPr>
            <w:tcW w:w="422" w:type="pct"/>
            <w:tcBorders>
              <w:top w:val="nil"/>
              <w:left w:val="nil"/>
              <w:bottom w:val="single" w:sz="4" w:space="0" w:color="auto"/>
              <w:right w:val="single" w:sz="4" w:space="0" w:color="auto"/>
            </w:tcBorders>
            <w:shd w:val="clear" w:color="auto" w:fill="auto"/>
            <w:noWrap/>
            <w:vAlign w:val="center"/>
            <w:hideMark/>
          </w:tcPr>
          <w:p w14:paraId="4D3B5C48" w14:textId="07C38DC0" w:rsidR="002D6400" w:rsidRDefault="000C6279" w:rsidP="002D6400">
            <w:pPr>
              <w:autoSpaceDE/>
              <w:autoSpaceDN/>
              <w:adjustRightInd/>
              <w:snapToGrid/>
              <w:spacing w:after="0"/>
              <w:jc w:val="left"/>
              <w:rPr>
                <w:rFonts w:eastAsia="Times New Roman"/>
                <w:color w:val="FF0000"/>
                <w:lang w:val="fr-FR" w:eastAsia="fr-FR"/>
              </w:rPr>
            </w:pPr>
            <w:r w:rsidRPr="000C6279">
              <w:rPr>
                <w:rFonts w:eastAsia="Times New Roman"/>
                <w:color w:val="FF0000"/>
                <w:lang w:val="fr-FR" w:eastAsia="fr-FR"/>
              </w:rPr>
              <w:t>[0 ...66485757</w:t>
            </w:r>
          </w:p>
          <w:p w14:paraId="43A7EFF2" w14:textId="7421A3C3" w:rsidR="000C6279" w:rsidRPr="00BF5057" w:rsidRDefault="000C6279" w:rsidP="002D6400">
            <w:pPr>
              <w:autoSpaceDE/>
              <w:autoSpaceDN/>
              <w:adjustRightInd/>
              <w:snapToGrid/>
              <w:spacing w:after="0"/>
              <w:jc w:val="left"/>
              <w:rPr>
                <w:rFonts w:eastAsia="Times New Roman"/>
                <w:color w:val="000000"/>
                <w:lang w:val="fr-FR" w:eastAsia="fr-FR"/>
              </w:rPr>
            </w:pPr>
            <w:r w:rsidRPr="000C6279">
              <w:rPr>
                <w:color w:val="FF0000"/>
                <w:szCs w:val="20"/>
              </w:rPr>
              <w:t>(i.e: 0… 270.73 ms)]</w:t>
            </w:r>
          </w:p>
        </w:tc>
        <w:tc>
          <w:tcPr>
            <w:tcW w:w="282" w:type="pct"/>
            <w:tcBorders>
              <w:top w:val="nil"/>
              <w:left w:val="nil"/>
              <w:bottom w:val="single" w:sz="4" w:space="0" w:color="auto"/>
              <w:right w:val="single" w:sz="4" w:space="0" w:color="auto"/>
            </w:tcBorders>
            <w:shd w:val="clear" w:color="auto" w:fill="auto"/>
            <w:noWrap/>
            <w:vAlign w:val="center"/>
            <w:hideMark/>
          </w:tcPr>
          <w:p w14:paraId="1CACEA50" w14:textId="0B3DAAB2" w:rsidR="002D6400" w:rsidRPr="00BF5057" w:rsidRDefault="002D6400" w:rsidP="002D6400">
            <w:pPr>
              <w:autoSpaceDE/>
              <w:autoSpaceDN/>
              <w:adjustRightInd/>
              <w:snapToGrid/>
              <w:spacing w:after="0"/>
              <w:jc w:val="left"/>
              <w:rPr>
                <w:rFonts w:eastAsia="Times New Roman"/>
                <w:color w:val="000000"/>
                <w:lang w:val="fr-FR" w:eastAsia="fr-FR"/>
              </w:rPr>
            </w:pPr>
            <w:r w:rsidRPr="000C6279">
              <w:rPr>
                <w:rFonts w:eastAsia="Times New Roman"/>
                <w:color w:val="FF0000"/>
                <w:lang w:val="fr-FR" w:eastAsia="fr-FR"/>
              </w:rPr>
              <w:t> </w:t>
            </w:r>
            <w:r w:rsidR="000C6279" w:rsidRPr="000C6279">
              <w:rPr>
                <w:rFonts w:eastAsia="Times New Roman"/>
                <w:color w:val="FF0000"/>
                <w:lang w:val="fr-FR" w:eastAsia="fr-FR"/>
              </w:rPr>
              <w:t>0</w:t>
            </w:r>
          </w:p>
        </w:tc>
        <w:tc>
          <w:tcPr>
            <w:tcW w:w="247" w:type="pct"/>
            <w:tcBorders>
              <w:top w:val="nil"/>
              <w:left w:val="nil"/>
              <w:bottom w:val="single" w:sz="4" w:space="0" w:color="auto"/>
              <w:right w:val="single" w:sz="4" w:space="0" w:color="auto"/>
            </w:tcBorders>
            <w:shd w:val="clear" w:color="auto" w:fill="auto"/>
            <w:noWrap/>
            <w:vAlign w:val="center"/>
            <w:hideMark/>
          </w:tcPr>
          <w:p w14:paraId="30A5B8E9" w14:textId="77777777" w:rsidR="002D6400" w:rsidRPr="00BF5057" w:rsidRDefault="002D6400" w:rsidP="002D6400">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60B37ECF" w14:textId="77777777" w:rsidR="002D6400" w:rsidRPr="00BF5057" w:rsidRDefault="002D6400" w:rsidP="002D6400">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6114C5EE" w14:textId="77777777" w:rsidR="002D6400" w:rsidRPr="00BF5057" w:rsidRDefault="002D6400" w:rsidP="002D6400">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vAlign w:val="center"/>
            <w:hideMark/>
          </w:tcPr>
          <w:p w14:paraId="74FA2987" w14:textId="77777777" w:rsidR="002D6400" w:rsidRPr="00BF5057" w:rsidRDefault="002D6400" w:rsidP="002D6400">
            <w:pPr>
              <w:autoSpaceDE/>
              <w:autoSpaceDN/>
              <w:adjustRightInd/>
              <w:snapToGrid/>
              <w:spacing w:after="0"/>
              <w:jc w:val="left"/>
              <w:rPr>
                <w:rFonts w:eastAsia="Times New Roman"/>
                <w:color w:val="000000"/>
                <w:lang w:val="fr-FR" w:eastAsia="fr-FR"/>
              </w:rPr>
            </w:pPr>
            <w:r w:rsidRPr="00BF5057">
              <w:rPr>
                <w:rFonts w:eastAsia="Times New Roman"/>
                <w:color w:val="000000"/>
                <w:lang w:eastAsia="fr-FR"/>
              </w:rPr>
              <w:t>In NTN, the Network may optionally indicate one or more of the following parameters:</w:t>
            </w:r>
            <w:r w:rsidRPr="00BF5057">
              <w:rPr>
                <w:rFonts w:eastAsia="Times New Roman"/>
                <w:color w:val="000000"/>
                <w:lang w:eastAsia="fr-FR"/>
              </w:rPr>
              <w:br/>
              <w:t>• Common TA , Common TA drift rate and Common TA drift rate variation.</w:t>
            </w:r>
            <w:r w:rsidRPr="00BF5057">
              <w:rPr>
                <w:rFonts w:eastAsia="Times New Roman"/>
                <w:color w:val="000000"/>
                <w:lang w:eastAsia="fr-FR"/>
              </w:rPr>
              <w:br/>
            </w:r>
            <w:r w:rsidRPr="00BF5057">
              <w:rPr>
                <w:rFonts w:eastAsia="Times New Roman"/>
                <w:color w:val="000000"/>
                <w:lang w:eastAsia="fr-FR"/>
              </w:rPr>
              <w:br/>
            </w:r>
            <w:r w:rsidRPr="00BF5057">
              <w:rPr>
                <w:rFonts w:eastAsia="Times New Roman"/>
                <w:color w:val="000000"/>
                <w:lang w:val="fr-FR" w:eastAsia="fr-FR"/>
              </w:rPr>
              <w:t>• FFS: Details of combination of Common TA parameters</w:t>
            </w:r>
          </w:p>
        </w:tc>
        <w:tc>
          <w:tcPr>
            <w:tcW w:w="280" w:type="pct"/>
            <w:tcBorders>
              <w:top w:val="nil"/>
              <w:left w:val="nil"/>
              <w:bottom w:val="single" w:sz="4" w:space="0" w:color="auto"/>
              <w:right w:val="single" w:sz="4" w:space="0" w:color="auto"/>
            </w:tcBorders>
            <w:shd w:val="clear" w:color="auto" w:fill="auto"/>
            <w:noWrap/>
            <w:vAlign w:val="bottom"/>
            <w:hideMark/>
          </w:tcPr>
          <w:p w14:paraId="3C1819BA" w14:textId="01000E69" w:rsidR="002D6400" w:rsidRPr="00BF5057" w:rsidRDefault="000C6279" w:rsidP="002D6400">
            <w:pPr>
              <w:autoSpaceDE/>
              <w:autoSpaceDN/>
              <w:adjustRightInd/>
              <w:snapToGrid/>
              <w:spacing w:after="0"/>
              <w:jc w:val="left"/>
              <w:rPr>
                <w:rFonts w:eastAsia="Times New Roman"/>
                <w:color w:val="ED7D31"/>
                <w:lang w:val="fr-FR" w:eastAsia="fr-FR"/>
              </w:rPr>
            </w:pPr>
            <w:r w:rsidRPr="00BE5096">
              <w:rPr>
                <w:rFonts w:eastAsia="Times New Roman"/>
                <w:color w:val="00B050"/>
                <w:lang w:val="fr-FR" w:eastAsia="fr-FR"/>
              </w:rPr>
              <w:t>New-</w:t>
            </w:r>
            <w:r w:rsidR="002D6400" w:rsidRPr="00BE5096">
              <w:rPr>
                <w:rFonts w:eastAsia="Times New Roman"/>
                <w:color w:val="00B050"/>
                <w:lang w:val="fr-FR" w:eastAsia="fr-FR"/>
              </w:rPr>
              <w:t>stable</w:t>
            </w:r>
          </w:p>
        </w:tc>
      </w:tr>
      <w:tr w:rsidR="00BE5096" w:rsidRPr="00BF5057" w14:paraId="7CA6BC0C" w14:textId="77777777" w:rsidTr="006360A0">
        <w:trPr>
          <w:trHeight w:val="161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24A764DA"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TACommonDrift</w:t>
            </w:r>
          </w:p>
        </w:tc>
        <w:tc>
          <w:tcPr>
            <w:tcW w:w="455" w:type="pct"/>
            <w:tcBorders>
              <w:top w:val="nil"/>
              <w:left w:val="nil"/>
              <w:bottom w:val="single" w:sz="4" w:space="0" w:color="auto"/>
              <w:right w:val="single" w:sz="4" w:space="0" w:color="auto"/>
            </w:tcBorders>
            <w:shd w:val="clear" w:color="auto" w:fill="auto"/>
            <w:noWrap/>
            <w:vAlign w:val="center"/>
            <w:hideMark/>
          </w:tcPr>
          <w:p w14:paraId="44D4D331"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33B6CA08"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TACommonDrift</w:t>
            </w:r>
          </w:p>
        </w:tc>
        <w:tc>
          <w:tcPr>
            <w:tcW w:w="881" w:type="pct"/>
            <w:tcBorders>
              <w:top w:val="nil"/>
              <w:left w:val="nil"/>
              <w:bottom w:val="single" w:sz="4" w:space="0" w:color="auto"/>
              <w:right w:val="single" w:sz="4" w:space="0" w:color="auto"/>
            </w:tcBorders>
            <w:shd w:val="clear" w:color="auto" w:fill="auto"/>
            <w:vAlign w:val="center"/>
            <w:hideMark/>
          </w:tcPr>
          <w:p w14:paraId="06715679" w14:textId="3DF3EFCE" w:rsidR="00BE5096" w:rsidRPr="00BE5096" w:rsidRDefault="00BE5096" w:rsidP="00BE5096">
            <w:pPr>
              <w:autoSpaceDE/>
              <w:autoSpaceDN/>
              <w:adjustRightInd/>
              <w:snapToGrid/>
              <w:spacing w:after="240"/>
              <w:jc w:val="left"/>
              <w:rPr>
                <w:rFonts w:eastAsia="Times New Roman"/>
                <w:b/>
                <w:color w:val="FF0000"/>
              </w:rPr>
            </w:pPr>
            <w:r w:rsidRPr="00BF5057">
              <w:rPr>
                <w:rFonts w:eastAsia="Times New Roman"/>
                <w:color w:val="000000"/>
                <w:lang w:eastAsia="fr-FR"/>
              </w:rPr>
              <w:t>Indicate drift rate of the common TA</w:t>
            </w:r>
            <w:r w:rsidRPr="00BF5057">
              <w:rPr>
                <w:rFonts w:eastAsia="Times New Roman"/>
                <w:color w:val="000000"/>
                <w:lang w:eastAsia="fr-FR"/>
              </w:rPr>
              <w:br/>
            </w:r>
            <w:r w:rsidRPr="00BE5096">
              <w:rPr>
                <w:rFonts w:eastAsia="Times New Roman"/>
                <w:color w:val="FF0000"/>
                <w:lang w:eastAsia="fr-FR"/>
              </w:rPr>
              <w:t xml:space="preserve">The unit of TACommonDrift is </w:t>
            </w:r>
            <m:oMath>
              <m:f>
                <m:fPr>
                  <m:type m:val="lin"/>
                  <m:ctrlPr>
                    <w:rPr>
                      <w:rFonts w:ascii="Cambria Math" w:eastAsia="Times New Roman" w:hAnsi="Cambria Math"/>
                      <w:b/>
                      <w:bCs/>
                      <w:color w:val="FF0000"/>
                    </w:rPr>
                  </m:ctrlPr>
                </m:fPr>
                <m:num>
                  <m:r>
                    <m:rPr>
                      <m:sty m:val="b"/>
                    </m:rPr>
                    <w:rPr>
                      <w:rFonts w:ascii="Cambria Math" w:eastAsia="Times New Roman" w:hAnsi="Cambria Math"/>
                      <w:color w:val="FF0000"/>
                    </w:rPr>
                    <m:t>μs</m:t>
                  </m:r>
                </m:num>
                <m:den>
                  <m:r>
                    <m:rPr>
                      <m:sty m:val="b"/>
                    </m:rPr>
                    <w:rPr>
                      <w:rFonts w:ascii="Cambria Math" w:eastAsia="Times New Roman" w:hAnsi="Cambria Math"/>
                      <w:color w:val="FF0000"/>
                    </w:rPr>
                    <m:t>s</m:t>
                  </m:r>
                </m:den>
              </m:f>
              <m:r>
                <m:rPr>
                  <m:sty m:val="p"/>
                </m:rPr>
                <w:rPr>
                  <w:rFonts w:ascii="Cambria Math" w:eastAsia="Times New Roman" w:hAnsi="Cambria Math"/>
                  <w:color w:val="FF0000"/>
                </w:rPr>
                <w:br/>
              </m:r>
            </m:oMath>
            <w:r>
              <w:rPr>
                <w:rFonts w:eastAsia="Times New Roman"/>
                <w:b/>
                <w:color w:val="FF0000"/>
              </w:rPr>
              <w:t xml:space="preserve">and it given in step size of </w:t>
            </w:r>
            <m:oMath>
              <m:r>
                <m:rPr>
                  <m:sty m:val="b"/>
                </m:rPr>
                <w:rPr>
                  <w:rFonts w:ascii="Cambria Math" w:eastAsia="Times New Roman" w:hAnsi="Cambria Math"/>
                  <w:color w:val="FF0000"/>
                </w:rPr>
                <m:t>0.2×</m:t>
              </m:r>
              <m:sSup>
                <m:sSupPr>
                  <m:ctrlPr>
                    <w:rPr>
                      <w:rFonts w:ascii="Cambria Math" w:eastAsia="Times New Roman" w:hAnsi="Cambria Math"/>
                      <w:b/>
                      <w:bCs/>
                      <w:color w:val="FF0000"/>
                    </w:rPr>
                  </m:ctrlPr>
                </m:sSupPr>
                <m:e>
                  <m:r>
                    <m:rPr>
                      <m:sty m:val="b"/>
                    </m:rPr>
                    <w:rPr>
                      <w:rFonts w:ascii="Cambria Math" w:eastAsia="Times New Roman" w:hAnsi="Cambria Math"/>
                      <w:color w:val="FF0000"/>
                    </w:rPr>
                    <m:t>10</m:t>
                  </m:r>
                </m:e>
                <m:sup>
                  <m:r>
                    <m:rPr>
                      <m:sty m:val="b"/>
                    </m:rPr>
                    <w:rPr>
                      <w:rFonts w:ascii="Cambria Math" w:eastAsia="Times New Roman" w:hAnsi="Cambria Math"/>
                      <w:color w:val="FF0000"/>
                    </w:rPr>
                    <m:t>-3</m:t>
                  </m:r>
                </m:sup>
              </m:sSup>
              <m:f>
                <m:fPr>
                  <m:type m:val="lin"/>
                  <m:ctrlPr>
                    <w:rPr>
                      <w:rFonts w:ascii="Cambria Math" w:eastAsia="Times New Roman" w:hAnsi="Cambria Math"/>
                      <w:b/>
                      <w:bCs/>
                      <w:color w:val="FF0000"/>
                    </w:rPr>
                  </m:ctrlPr>
                </m:fPr>
                <m:num>
                  <m:r>
                    <m:rPr>
                      <m:sty m:val="b"/>
                    </m:rPr>
                    <w:rPr>
                      <w:rFonts w:ascii="Cambria Math" w:eastAsia="Times New Roman" w:hAnsi="Cambria Math"/>
                      <w:color w:val="FF0000"/>
                    </w:rPr>
                    <m:t>μs</m:t>
                  </m:r>
                </m:num>
                <m:den>
                  <m:r>
                    <m:rPr>
                      <m:sty m:val="b"/>
                    </m:rPr>
                    <w:rPr>
                      <w:rFonts w:ascii="Cambria Math" w:eastAsia="Times New Roman" w:hAnsi="Cambria Math"/>
                      <w:color w:val="FF0000"/>
                    </w:rPr>
                    <m:t>s</m:t>
                  </m:r>
                </m:den>
              </m:f>
            </m:oMath>
          </w:p>
        </w:tc>
        <w:tc>
          <w:tcPr>
            <w:tcW w:w="422" w:type="pct"/>
            <w:tcBorders>
              <w:top w:val="nil"/>
              <w:left w:val="nil"/>
              <w:bottom w:val="single" w:sz="4" w:space="0" w:color="auto"/>
              <w:right w:val="single" w:sz="4" w:space="0" w:color="auto"/>
            </w:tcBorders>
            <w:shd w:val="clear" w:color="auto" w:fill="auto"/>
            <w:noWrap/>
            <w:vAlign w:val="center"/>
            <w:hideMark/>
          </w:tcPr>
          <w:p w14:paraId="7ED52C04" w14:textId="77777777" w:rsidR="00BE5096" w:rsidRPr="000C6279" w:rsidRDefault="00BE5096" w:rsidP="00BE5096">
            <w:pPr>
              <w:autoSpaceDE/>
              <w:autoSpaceDN/>
              <w:adjustRightInd/>
              <w:snapToGrid/>
              <w:spacing w:after="0"/>
              <w:jc w:val="left"/>
              <w:rPr>
                <w:color w:val="FF0000"/>
                <w:szCs w:val="20"/>
              </w:rPr>
            </w:pPr>
            <w:r w:rsidRPr="000C6279">
              <w:rPr>
                <w:rFonts w:eastAsia="Times New Roman"/>
                <w:color w:val="FF0000"/>
                <w:lang w:val="fr-FR" w:eastAsia="fr-FR"/>
              </w:rPr>
              <w:t>[</w:t>
            </w:r>
            <w:r w:rsidRPr="000C6279">
              <w:rPr>
                <w:color w:val="FF0000"/>
                <w:szCs w:val="20"/>
              </w:rPr>
              <w:t>- 261935… + 261935</w:t>
            </w:r>
          </w:p>
          <w:p w14:paraId="0FAF4371" w14:textId="56FBD544" w:rsidR="00BE5096" w:rsidRPr="000C6279" w:rsidRDefault="00BE5096" w:rsidP="00BE5096">
            <w:pPr>
              <w:spacing w:after="0"/>
              <w:rPr>
                <w:b/>
                <w:color w:val="FF0000"/>
              </w:rPr>
            </w:pPr>
            <w:r w:rsidRPr="000C6279">
              <w:rPr>
                <w:color w:val="FF0000"/>
                <w:szCs w:val="20"/>
              </w:rPr>
              <w:t>(</w:t>
            </w:r>
            <w:r w:rsidRPr="000C6279">
              <w:rPr>
                <w:b/>
                <w:color w:val="FF0000"/>
              </w:rPr>
              <w:t>i.e: --</w:t>
            </w:r>
            <w:r w:rsidRPr="000C6279">
              <w:rPr>
                <w:rFonts w:eastAsia="SimSun"/>
                <w:b/>
                <w:color w:val="FF0000"/>
              </w:rPr>
              <w:t xml:space="preserve">53.33 </w:t>
            </w:r>
            <w:r w:rsidRPr="000C6279">
              <w:rPr>
                <w:b/>
                <w:color w:val="FF0000"/>
              </w:rPr>
              <w:t xml:space="preserve">  </w:t>
            </w:r>
            <m:oMath>
              <m:f>
                <m:fPr>
                  <m:type m:val="lin"/>
                  <m:ctrlPr>
                    <w:rPr>
                      <w:rFonts w:ascii="Cambria Math" w:eastAsia="Times New Roman" w:hAnsi="Cambria Math"/>
                      <w:b/>
                      <w:bCs/>
                      <w:color w:val="FF0000"/>
                    </w:rPr>
                  </m:ctrlPr>
                </m:fPr>
                <m:num>
                  <m:r>
                    <m:rPr>
                      <m:sty m:val="b"/>
                    </m:rPr>
                    <w:rPr>
                      <w:rFonts w:ascii="Cambria Math" w:eastAsia="Times New Roman" w:hAnsi="Cambria Math"/>
                      <w:color w:val="FF0000"/>
                    </w:rPr>
                    <m:t>μs</m:t>
                  </m:r>
                </m:num>
                <m:den>
                  <m:r>
                    <m:rPr>
                      <m:sty m:val="b"/>
                    </m:rPr>
                    <w:rPr>
                      <w:rFonts w:ascii="Cambria Math" w:eastAsia="Times New Roman" w:hAnsi="Cambria Math"/>
                      <w:color w:val="FF0000"/>
                    </w:rPr>
                    <m:t>s</m:t>
                  </m:r>
                </m:den>
              </m:f>
            </m:oMath>
            <w:r w:rsidRPr="000C6279">
              <w:rPr>
                <w:b/>
                <w:color w:val="FF0000"/>
              </w:rPr>
              <w:t>… +-</w:t>
            </w:r>
            <w:r w:rsidRPr="000C6279">
              <w:rPr>
                <w:rFonts w:eastAsia="SimSun"/>
                <w:b/>
                <w:color w:val="FF0000"/>
              </w:rPr>
              <w:t xml:space="preserve">53.33 </w:t>
            </w:r>
            <m:oMath>
              <m:f>
                <m:fPr>
                  <m:type m:val="lin"/>
                  <m:ctrlPr>
                    <w:rPr>
                      <w:rFonts w:ascii="Cambria Math" w:eastAsia="Times New Roman" w:hAnsi="Cambria Math"/>
                      <w:b/>
                      <w:bCs/>
                      <w:color w:val="FF0000"/>
                    </w:rPr>
                  </m:ctrlPr>
                </m:fPr>
                <m:num>
                  <m:r>
                    <m:rPr>
                      <m:sty m:val="b"/>
                    </m:rPr>
                    <w:rPr>
                      <w:rFonts w:ascii="Cambria Math" w:eastAsia="Times New Roman" w:hAnsi="Cambria Math"/>
                      <w:color w:val="FF0000"/>
                    </w:rPr>
                    <m:t>μs</m:t>
                  </m:r>
                </m:num>
                <m:den>
                  <m:r>
                    <m:rPr>
                      <m:sty m:val="b"/>
                    </m:rPr>
                    <w:rPr>
                      <w:rFonts w:ascii="Cambria Math" w:eastAsia="Times New Roman" w:hAnsi="Cambria Math"/>
                      <w:color w:val="FF0000"/>
                    </w:rPr>
                    <m:t>s</m:t>
                  </m:r>
                </m:den>
              </m:f>
            </m:oMath>
            <w:r w:rsidRPr="000C6279">
              <w:rPr>
                <w:b/>
                <w:color w:val="FF0000"/>
              </w:rPr>
              <w:t>) ]</w:t>
            </w:r>
          </w:p>
          <w:p w14:paraId="450F10F6" w14:textId="530699ED" w:rsidR="00BE5096" w:rsidRPr="000C6279" w:rsidRDefault="00BE5096" w:rsidP="00BE5096">
            <w:pPr>
              <w:autoSpaceDE/>
              <w:autoSpaceDN/>
              <w:adjustRightInd/>
              <w:snapToGrid/>
              <w:spacing w:after="0"/>
              <w:jc w:val="left"/>
              <w:rPr>
                <w:rFonts w:eastAsia="Times New Roman"/>
                <w:color w:val="FF0000"/>
                <w:lang w:val="fr-FR" w:eastAsia="fr-FR"/>
              </w:rPr>
            </w:pPr>
          </w:p>
        </w:tc>
        <w:tc>
          <w:tcPr>
            <w:tcW w:w="282" w:type="pct"/>
            <w:tcBorders>
              <w:top w:val="nil"/>
              <w:left w:val="nil"/>
              <w:bottom w:val="single" w:sz="4" w:space="0" w:color="auto"/>
              <w:right w:val="single" w:sz="4" w:space="0" w:color="auto"/>
            </w:tcBorders>
            <w:shd w:val="clear" w:color="auto" w:fill="auto"/>
            <w:noWrap/>
            <w:vAlign w:val="center"/>
            <w:hideMark/>
          </w:tcPr>
          <w:p w14:paraId="6E0A7F43" w14:textId="440885A1" w:rsidR="00BE5096" w:rsidRPr="00BE5096" w:rsidRDefault="00BE5096" w:rsidP="00BE5096">
            <w:pPr>
              <w:autoSpaceDE/>
              <w:autoSpaceDN/>
              <w:adjustRightInd/>
              <w:snapToGrid/>
              <w:spacing w:after="0"/>
              <w:jc w:val="left"/>
              <w:rPr>
                <w:rFonts w:eastAsia="Times New Roman"/>
                <w:color w:val="FF0000"/>
                <w:lang w:val="fr-FR" w:eastAsia="fr-FR"/>
              </w:rPr>
            </w:pPr>
            <w:r w:rsidRPr="00BE5096">
              <w:rPr>
                <w:rFonts w:eastAsia="Times New Roman"/>
                <w:color w:val="FF0000"/>
                <w:lang w:val="fr-FR" w:eastAsia="fr-FR"/>
              </w:rPr>
              <w:t> 0</w:t>
            </w:r>
          </w:p>
        </w:tc>
        <w:tc>
          <w:tcPr>
            <w:tcW w:w="247" w:type="pct"/>
            <w:tcBorders>
              <w:top w:val="nil"/>
              <w:left w:val="nil"/>
              <w:bottom w:val="single" w:sz="4" w:space="0" w:color="auto"/>
              <w:right w:val="single" w:sz="4" w:space="0" w:color="auto"/>
            </w:tcBorders>
            <w:shd w:val="clear" w:color="auto" w:fill="auto"/>
            <w:noWrap/>
            <w:vAlign w:val="center"/>
            <w:hideMark/>
          </w:tcPr>
          <w:p w14:paraId="23C11BA3"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424DFE14"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45191224"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vAlign w:val="center"/>
            <w:hideMark/>
          </w:tcPr>
          <w:p w14:paraId="6DD9D6DA"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eastAsia="fr-FR"/>
              </w:rPr>
              <w:t>In NTN, the Network may optionally indicate one or more of the following parameters:</w:t>
            </w:r>
            <w:r w:rsidRPr="00BF5057">
              <w:rPr>
                <w:rFonts w:eastAsia="Times New Roman"/>
                <w:color w:val="000000"/>
                <w:lang w:eastAsia="fr-FR"/>
              </w:rPr>
              <w:br/>
              <w:t>• Common TA , Common TA drift rate and Common TA drift rate variation.</w:t>
            </w:r>
            <w:r w:rsidRPr="00BF5057">
              <w:rPr>
                <w:rFonts w:eastAsia="Times New Roman"/>
                <w:color w:val="000000"/>
                <w:lang w:eastAsia="fr-FR"/>
              </w:rPr>
              <w:br/>
            </w:r>
            <w:r w:rsidRPr="00BF5057">
              <w:rPr>
                <w:rFonts w:eastAsia="Times New Roman"/>
                <w:color w:val="000000"/>
                <w:lang w:eastAsia="fr-FR"/>
              </w:rPr>
              <w:br/>
            </w:r>
            <w:r w:rsidRPr="00BF5057">
              <w:rPr>
                <w:rFonts w:eastAsia="Times New Roman"/>
                <w:color w:val="000000"/>
                <w:lang w:val="fr-FR" w:eastAsia="fr-FR"/>
              </w:rPr>
              <w:t>• FFS: Details of combination of Common TA parameters</w:t>
            </w:r>
          </w:p>
        </w:tc>
        <w:tc>
          <w:tcPr>
            <w:tcW w:w="280" w:type="pct"/>
            <w:tcBorders>
              <w:top w:val="nil"/>
              <w:left w:val="nil"/>
              <w:bottom w:val="single" w:sz="4" w:space="0" w:color="auto"/>
              <w:right w:val="single" w:sz="4" w:space="0" w:color="auto"/>
            </w:tcBorders>
            <w:shd w:val="clear" w:color="auto" w:fill="auto"/>
            <w:noWrap/>
            <w:hideMark/>
          </w:tcPr>
          <w:p w14:paraId="591458FD" w14:textId="5F187962" w:rsidR="00BE5096" w:rsidRPr="00BF5057" w:rsidRDefault="00BE5096" w:rsidP="00BE5096">
            <w:pPr>
              <w:autoSpaceDE/>
              <w:autoSpaceDN/>
              <w:adjustRightInd/>
              <w:snapToGrid/>
              <w:spacing w:after="0"/>
              <w:jc w:val="left"/>
              <w:rPr>
                <w:rFonts w:eastAsia="Times New Roman"/>
                <w:color w:val="ED7D31"/>
                <w:lang w:val="fr-FR" w:eastAsia="fr-FR"/>
              </w:rPr>
            </w:pPr>
            <w:r w:rsidRPr="0081631B">
              <w:rPr>
                <w:rFonts w:eastAsia="Times New Roman"/>
                <w:color w:val="00B050"/>
                <w:lang w:val="fr-FR" w:eastAsia="fr-FR"/>
              </w:rPr>
              <w:t>New-stable</w:t>
            </w:r>
          </w:p>
        </w:tc>
      </w:tr>
      <w:tr w:rsidR="00BE5096" w:rsidRPr="00BF5057" w14:paraId="2C996A2D" w14:textId="77777777" w:rsidTr="006360A0">
        <w:trPr>
          <w:trHeight w:val="161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238905E8"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TACommonDriftVariation</w:t>
            </w:r>
          </w:p>
        </w:tc>
        <w:tc>
          <w:tcPr>
            <w:tcW w:w="455" w:type="pct"/>
            <w:tcBorders>
              <w:top w:val="nil"/>
              <w:left w:val="nil"/>
              <w:bottom w:val="single" w:sz="4" w:space="0" w:color="auto"/>
              <w:right w:val="single" w:sz="4" w:space="0" w:color="auto"/>
            </w:tcBorders>
            <w:shd w:val="clear" w:color="auto" w:fill="auto"/>
            <w:noWrap/>
            <w:vAlign w:val="center"/>
            <w:hideMark/>
          </w:tcPr>
          <w:p w14:paraId="5AB45E56"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5493E6E7"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TACommonDriftVariation</w:t>
            </w:r>
          </w:p>
        </w:tc>
        <w:tc>
          <w:tcPr>
            <w:tcW w:w="881" w:type="pct"/>
            <w:tcBorders>
              <w:top w:val="nil"/>
              <w:left w:val="nil"/>
              <w:bottom w:val="single" w:sz="4" w:space="0" w:color="auto"/>
              <w:right w:val="single" w:sz="4" w:space="0" w:color="auto"/>
            </w:tcBorders>
            <w:shd w:val="clear" w:color="auto" w:fill="auto"/>
            <w:vAlign w:val="center"/>
            <w:hideMark/>
          </w:tcPr>
          <w:p w14:paraId="490E07B4" w14:textId="77777777" w:rsidR="00BE5096" w:rsidRPr="00BF5057" w:rsidRDefault="00BE5096" w:rsidP="00BE5096">
            <w:pPr>
              <w:autoSpaceDE/>
              <w:autoSpaceDN/>
              <w:adjustRightInd/>
              <w:snapToGrid/>
              <w:spacing w:after="0"/>
              <w:jc w:val="left"/>
              <w:rPr>
                <w:rFonts w:eastAsia="Times New Roman"/>
                <w:color w:val="000000"/>
                <w:lang w:eastAsia="fr-FR"/>
              </w:rPr>
            </w:pPr>
            <w:r w:rsidRPr="00BF5057">
              <w:rPr>
                <w:rFonts w:eastAsia="Times New Roman"/>
                <w:color w:val="000000"/>
                <w:lang w:eastAsia="fr-FR"/>
              </w:rPr>
              <w:t>Indicate drift rate variation of the common TA</w:t>
            </w:r>
            <w:r w:rsidRPr="00BF5057">
              <w:rPr>
                <w:rFonts w:eastAsia="Times New Roman"/>
                <w:color w:val="000000"/>
                <w:lang w:eastAsia="fr-FR"/>
              </w:rPr>
              <w:br/>
              <w:t>The unit of TACommonDriftVariation is TBD</w:t>
            </w:r>
          </w:p>
        </w:tc>
        <w:tc>
          <w:tcPr>
            <w:tcW w:w="422" w:type="pct"/>
            <w:tcBorders>
              <w:top w:val="nil"/>
              <w:left w:val="nil"/>
              <w:bottom w:val="single" w:sz="4" w:space="0" w:color="auto"/>
              <w:right w:val="single" w:sz="4" w:space="0" w:color="auto"/>
            </w:tcBorders>
            <w:shd w:val="clear" w:color="auto" w:fill="auto"/>
            <w:noWrap/>
            <w:vAlign w:val="center"/>
            <w:hideMark/>
          </w:tcPr>
          <w:p w14:paraId="072C20E1" w14:textId="71FCA6F6" w:rsidR="00BE5096" w:rsidRPr="00BE5096" w:rsidRDefault="00BE5096" w:rsidP="00BE5096">
            <w:pPr>
              <w:pStyle w:val="Prop1"/>
              <w:rPr>
                <w:color w:val="FF0000"/>
                <w:szCs w:val="20"/>
              </w:rPr>
            </w:pPr>
            <w:r>
              <w:rPr>
                <w:color w:val="FF0000"/>
                <w:szCs w:val="20"/>
              </w:rPr>
              <w:t>[</w:t>
            </w:r>
            <w:r w:rsidRPr="00BE5096">
              <w:rPr>
                <w:color w:val="FF0000"/>
                <w:szCs w:val="20"/>
              </w:rPr>
              <w:t>0…29470</w:t>
            </w:r>
          </w:p>
          <w:p w14:paraId="42F5FD21" w14:textId="049E329E" w:rsidR="00BE5096" w:rsidRPr="00BE5096" w:rsidRDefault="00BE5096" w:rsidP="00BE5096">
            <w:pPr>
              <w:spacing w:after="0"/>
              <w:rPr>
                <w:rFonts w:eastAsia="Times New Roman"/>
                <w:b/>
                <w:color w:val="FF0000"/>
                <w:lang w:eastAsia="fr-FR"/>
              </w:rPr>
            </w:pPr>
            <w:r w:rsidRPr="00BE5096">
              <w:rPr>
                <w:b/>
                <w:color w:val="FF0000"/>
              </w:rPr>
              <w:t xml:space="preserve">(0…0.60 </w:t>
            </w:r>
            <m:oMath>
              <m:f>
                <m:fPr>
                  <m:type m:val="lin"/>
                  <m:ctrlPr>
                    <w:rPr>
                      <w:rFonts w:ascii="Cambria Math" w:eastAsia="Times New Roman" w:hAnsi="Cambria Math"/>
                      <w:b/>
                      <w:bCs/>
                      <w:color w:val="FF0000"/>
                    </w:rPr>
                  </m:ctrlPr>
                </m:fPr>
                <m:num>
                  <m:r>
                    <m:rPr>
                      <m:sty m:val="b"/>
                    </m:rPr>
                    <w:rPr>
                      <w:rFonts w:ascii="Cambria Math" w:eastAsia="Times New Roman" w:hAnsi="Cambria Math"/>
                      <w:color w:val="FF0000"/>
                    </w:rPr>
                    <m:t>μs</m:t>
                  </m:r>
                </m:num>
                <m:den>
                  <m:sSup>
                    <m:sSupPr>
                      <m:ctrlPr>
                        <w:rPr>
                          <w:rFonts w:ascii="Cambria Math" w:eastAsia="Times New Roman" w:hAnsi="Cambria Math"/>
                          <w:b/>
                          <w:bCs/>
                          <w:color w:val="FF0000"/>
                        </w:rPr>
                      </m:ctrlPr>
                    </m:sSupPr>
                    <m:e>
                      <m:r>
                        <m:rPr>
                          <m:sty m:val="b"/>
                        </m:rPr>
                        <w:rPr>
                          <w:rFonts w:ascii="Cambria Math" w:eastAsia="Times New Roman" w:hAnsi="Cambria Math"/>
                          <w:color w:val="FF0000"/>
                        </w:rPr>
                        <m:t>s</m:t>
                      </m:r>
                    </m:e>
                    <m:sup>
                      <m:r>
                        <m:rPr>
                          <m:sty m:val="b"/>
                        </m:rPr>
                        <w:rPr>
                          <w:rFonts w:ascii="Cambria Math" w:eastAsia="Times New Roman" w:hAnsi="Cambria Math"/>
                          <w:color w:val="FF0000"/>
                        </w:rPr>
                        <m:t>2</m:t>
                      </m:r>
                    </m:sup>
                  </m:sSup>
                </m:den>
              </m:f>
            </m:oMath>
            <w:r w:rsidRPr="00BE5096">
              <w:rPr>
                <w:b/>
                <w:bCs/>
                <w:color w:val="FF0000"/>
              </w:rPr>
              <w:t>)</w:t>
            </w:r>
            <w:r>
              <w:rPr>
                <w:b/>
                <w:bCs/>
                <w:color w:val="FF0000"/>
              </w:rPr>
              <w:t>]</w:t>
            </w:r>
          </w:p>
          <w:p w14:paraId="3A4A71C9" w14:textId="7A3966DD" w:rsidR="00BE5096" w:rsidRPr="00BF5057" w:rsidRDefault="00BE5096" w:rsidP="00BE5096">
            <w:pPr>
              <w:autoSpaceDE/>
              <w:autoSpaceDN/>
              <w:adjustRightInd/>
              <w:snapToGrid/>
              <w:spacing w:after="0"/>
              <w:jc w:val="left"/>
              <w:rPr>
                <w:rFonts w:eastAsia="Times New Roman"/>
                <w:color w:val="000000"/>
                <w:lang w:val="fr-FR" w:eastAsia="fr-FR"/>
              </w:rPr>
            </w:pPr>
          </w:p>
        </w:tc>
        <w:tc>
          <w:tcPr>
            <w:tcW w:w="282" w:type="pct"/>
            <w:tcBorders>
              <w:top w:val="nil"/>
              <w:left w:val="nil"/>
              <w:bottom w:val="single" w:sz="4" w:space="0" w:color="auto"/>
              <w:right w:val="single" w:sz="4" w:space="0" w:color="auto"/>
            </w:tcBorders>
            <w:shd w:val="clear" w:color="auto" w:fill="auto"/>
            <w:noWrap/>
            <w:vAlign w:val="center"/>
            <w:hideMark/>
          </w:tcPr>
          <w:p w14:paraId="54FC0D5A" w14:textId="15FB4E1A" w:rsidR="00BE5096" w:rsidRPr="00BE5096" w:rsidRDefault="00BE5096" w:rsidP="00BE5096">
            <w:pPr>
              <w:autoSpaceDE/>
              <w:autoSpaceDN/>
              <w:adjustRightInd/>
              <w:snapToGrid/>
              <w:spacing w:after="0"/>
              <w:jc w:val="left"/>
              <w:rPr>
                <w:rFonts w:eastAsia="Times New Roman"/>
                <w:color w:val="FF0000"/>
                <w:lang w:val="fr-FR" w:eastAsia="fr-FR"/>
              </w:rPr>
            </w:pPr>
            <w:r w:rsidRPr="00BE5096">
              <w:rPr>
                <w:rFonts w:eastAsia="Times New Roman"/>
                <w:color w:val="FF0000"/>
                <w:lang w:val="fr-FR" w:eastAsia="fr-FR"/>
              </w:rPr>
              <w:t> 0</w:t>
            </w:r>
          </w:p>
        </w:tc>
        <w:tc>
          <w:tcPr>
            <w:tcW w:w="247" w:type="pct"/>
            <w:tcBorders>
              <w:top w:val="nil"/>
              <w:left w:val="nil"/>
              <w:bottom w:val="single" w:sz="4" w:space="0" w:color="auto"/>
              <w:right w:val="single" w:sz="4" w:space="0" w:color="auto"/>
            </w:tcBorders>
            <w:shd w:val="clear" w:color="auto" w:fill="auto"/>
            <w:noWrap/>
            <w:vAlign w:val="center"/>
            <w:hideMark/>
          </w:tcPr>
          <w:p w14:paraId="64990DA9"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5EADEFAC"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51D08D2C"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vAlign w:val="center"/>
            <w:hideMark/>
          </w:tcPr>
          <w:p w14:paraId="48C4BC35"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eastAsia="fr-FR"/>
              </w:rPr>
              <w:t>In NTN, the Network may optionally indicate one or more of the following parameters:</w:t>
            </w:r>
            <w:r w:rsidRPr="00BF5057">
              <w:rPr>
                <w:rFonts w:eastAsia="Times New Roman"/>
                <w:color w:val="000000"/>
                <w:lang w:eastAsia="fr-FR"/>
              </w:rPr>
              <w:br/>
              <w:t>• Common TA , Common TA drift rate and Common TA drift rate variation.</w:t>
            </w:r>
            <w:r w:rsidRPr="00BF5057">
              <w:rPr>
                <w:rFonts w:eastAsia="Times New Roman"/>
                <w:color w:val="000000"/>
                <w:lang w:eastAsia="fr-FR"/>
              </w:rPr>
              <w:br/>
            </w:r>
            <w:r w:rsidRPr="00BF5057">
              <w:rPr>
                <w:rFonts w:eastAsia="Times New Roman"/>
                <w:color w:val="000000"/>
                <w:lang w:eastAsia="fr-FR"/>
              </w:rPr>
              <w:br/>
            </w:r>
            <w:r w:rsidRPr="00BF5057">
              <w:rPr>
                <w:rFonts w:eastAsia="Times New Roman"/>
                <w:color w:val="000000"/>
                <w:lang w:val="fr-FR" w:eastAsia="fr-FR"/>
              </w:rPr>
              <w:t xml:space="preserve">• FFS: Details of </w:t>
            </w:r>
            <w:r w:rsidRPr="00BF5057">
              <w:rPr>
                <w:rFonts w:eastAsia="Times New Roman"/>
                <w:color w:val="000000"/>
                <w:lang w:val="fr-FR" w:eastAsia="fr-FR"/>
              </w:rPr>
              <w:lastRenderedPageBreak/>
              <w:t>combination of Common TA parameters</w:t>
            </w:r>
          </w:p>
        </w:tc>
        <w:tc>
          <w:tcPr>
            <w:tcW w:w="280" w:type="pct"/>
            <w:tcBorders>
              <w:top w:val="nil"/>
              <w:left w:val="nil"/>
              <w:bottom w:val="single" w:sz="4" w:space="0" w:color="auto"/>
              <w:right w:val="single" w:sz="4" w:space="0" w:color="auto"/>
            </w:tcBorders>
            <w:shd w:val="clear" w:color="auto" w:fill="auto"/>
            <w:noWrap/>
            <w:hideMark/>
          </w:tcPr>
          <w:p w14:paraId="3E751452" w14:textId="10AF5C4F" w:rsidR="00BE5096" w:rsidRPr="00BF5057" w:rsidRDefault="00BE5096" w:rsidP="00BE5096">
            <w:pPr>
              <w:autoSpaceDE/>
              <w:autoSpaceDN/>
              <w:adjustRightInd/>
              <w:snapToGrid/>
              <w:spacing w:after="0"/>
              <w:jc w:val="left"/>
              <w:rPr>
                <w:rFonts w:eastAsia="Times New Roman"/>
                <w:color w:val="ED7D31"/>
                <w:lang w:val="fr-FR" w:eastAsia="fr-FR"/>
              </w:rPr>
            </w:pPr>
            <w:r w:rsidRPr="0081631B">
              <w:rPr>
                <w:rFonts w:eastAsia="Times New Roman"/>
                <w:color w:val="00B050"/>
                <w:lang w:val="fr-FR" w:eastAsia="fr-FR"/>
              </w:rPr>
              <w:lastRenderedPageBreak/>
              <w:t>New-stable</w:t>
            </w:r>
          </w:p>
        </w:tc>
      </w:tr>
      <w:tr w:rsidR="00BE5096" w:rsidRPr="00BF5057" w14:paraId="21943E39" w14:textId="77777777" w:rsidTr="006360A0">
        <w:trPr>
          <w:trHeight w:val="5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148B18C4"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ServingSatelliteEphemerisStateVectorX</w:t>
            </w:r>
          </w:p>
        </w:tc>
        <w:tc>
          <w:tcPr>
            <w:tcW w:w="455" w:type="pct"/>
            <w:tcBorders>
              <w:top w:val="nil"/>
              <w:left w:val="nil"/>
              <w:bottom w:val="single" w:sz="4" w:space="0" w:color="auto"/>
              <w:right w:val="single" w:sz="4" w:space="0" w:color="auto"/>
            </w:tcBorders>
            <w:shd w:val="clear" w:color="auto" w:fill="auto"/>
            <w:noWrap/>
            <w:vAlign w:val="center"/>
            <w:hideMark/>
          </w:tcPr>
          <w:p w14:paraId="3741D791"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73F7B0A3"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ServingSatelliteEphemerisStateVectorX</w:t>
            </w:r>
          </w:p>
        </w:tc>
        <w:tc>
          <w:tcPr>
            <w:tcW w:w="881" w:type="pct"/>
            <w:tcBorders>
              <w:top w:val="nil"/>
              <w:left w:val="nil"/>
              <w:bottom w:val="single" w:sz="4" w:space="0" w:color="auto"/>
              <w:right w:val="single" w:sz="4" w:space="0" w:color="auto"/>
            </w:tcBorders>
            <w:shd w:val="clear" w:color="auto" w:fill="auto"/>
            <w:vAlign w:val="center"/>
            <w:hideMark/>
          </w:tcPr>
          <w:p w14:paraId="00404AB0" w14:textId="77777777" w:rsidR="00BE5096" w:rsidRPr="00BF5057" w:rsidRDefault="00BE5096" w:rsidP="00BE5096">
            <w:pPr>
              <w:autoSpaceDE/>
              <w:autoSpaceDN/>
              <w:adjustRightInd/>
              <w:snapToGrid/>
              <w:spacing w:after="0"/>
              <w:jc w:val="left"/>
              <w:rPr>
                <w:rFonts w:eastAsia="Times New Roman"/>
                <w:color w:val="000000"/>
                <w:lang w:eastAsia="fr-FR"/>
              </w:rPr>
            </w:pPr>
            <w:r w:rsidRPr="00BF5057">
              <w:rPr>
                <w:rFonts w:eastAsia="Times New Roman"/>
                <w:color w:val="000000"/>
                <w:lang w:eastAsia="fr-FR"/>
              </w:rPr>
              <w:t xml:space="preserve">Indicate  the x-coordinate of serving  Satellite position state vector in ECEF (m) </w:t>
            </w:r>
          </w:p>
        </w:tc>
        <w:tc>
          <w:tcPr>
            <w:tcW w:w="422" w:type="pct"/>
            <w:tcBorders>
              <w:top w:val="nil"/>
              <w:left w:val="nil"/>
              <w:bottom w:val="single" w:sz="4" w:space="0" w:color="auto"/>
              <w:right w:val="single" w:sz="4" w:space="0" w:color="auto"/>
            </w:tcBorders>
            <w:shd w:val="clear" w:color="auto" w:fill="auto"/>
            <w:noWrap/>
            <w:vAlign w:val="center"/>
            <w:hideMark/>
          </w:tcPr>
          <w:p w14:paraId="3D7E03F3" w14:textId="77777777" w:rsidR="00BE5096" w:rsidRPr="002F39CB" w:rsidRDefault="00BE5096" w:rsidP="00BE5096">
            <w:pPr>
              <w:autoSpaceDE/>
              <w:autoSpaceDN/>
              <w:adjustRightInd/>
              <w:snapToGrid/>
              <w:spacing w:after="0"/>
              <w:jc w:val="left"/>
              <w:rPr>
                <w:rFonts w:eastAsia="Times New Roman"/>
                <w:color w:val="FF0000"/>
                <w:lang w:val="fr-FR" w:eastAsia="fr-FR"/>
              </w:rPr>
            </w:pPr>
            <w:r w:rsidRPr="002F39CB">
              <w:rPr>
                <w:rFonts w:eastAsia="Times New Roman"/>
                <w:color w:val="FF0000"/>
                <w:lang w:val="fr-FR" w:eastAsia="fr-FR"/>
              </w:rPr>
              <w:t>[+/- 42 200 000]</w:t>
            </w:r>
          </w:p>
        </w:tc>
        <w:tc>
          <w:tcPr>
            <w:tcW w:w="282" w:type="pct"/>
            <w:tcBorders>
              <w:top w:val="nil"/>
              <w:left w:val="nil"/>
              <w:bottom w:val="single" w:sz="4" w:space="0" w:color="auto"/>
              <w:right w:val="single" w:sz="4" w:space="0" w:color="auto"/>
            </w:tcBorders>
            <w:shd w:val="clear" w:color="auto" w:fill="auto"/>
            <w:noWrap/>
            <w:vAlign w:val="center"/>
            <w:hideMark/>
          </w:tcPr>
          <w:p w14:paraId="266A5C18"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595BCC46"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31B8852E"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0ED9F0D5"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59F8DAEB"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hideMark/>
          </w:tcPr>
          <w:p w14:paraId="3AF34469" w14:textId="15BD410C" w:rsidR="00BE5096" w:rsidRPr="00BF5057" w:rsidRDefault="00BE5096" w:rsidP="00BE5096">
            <w:pPr>
              <w:autoSpaceDE/>
              <w:autoSpaceDN/>
              <w:adjustRightInd/>
              <w:snapToGrid/>
              <w:spacing w:after="0"/>
              <w:jc w:val="left"/>
              <w:rPr>
                <w:rFonts w:eastAsia="Times New Roman"/>
                <w:color w:val="ED7D31"/>
                <w:lang w:val="fr-FR" w:eastAsia="fr-FR"/>
              </w:rPr>
            </w:pPr>
            <w:r w:rsidRPr="00D315AD">
              <w:rPr>
                <w:rFonts w:eastAsia="Times New Roman"/>
                <w:color w:val="00B050"/>
                <w:lang w:val="fr-FR" w:eastAsia="fr-FR"/>
              </w:rPr>
              <w:t>New-stable</w:t>
            </w:r>
          </w:p>
        </w:tc>
      </w:tr>
      <w:tr w:rsidR="00BE5096" w:rsidRPr="00BF5057" w14:paraId="2EBBE165" w14:textId="77777777" w:rsidTr="006360A0">
        <w:trPr>
          <w:trHeight w:val="5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4F23CE86"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ServingSatelliteEphemerisStateVectorY</w:t>
            </w:r>
          </w:p>
        </w:tc>
        <w:tc>
          <w:tcPr>
            <w:tcW w:w="455" w:type="pct"/>
            <w:tcBorders>
              <w:top w:val="nil"/>
              <w:left w:val="nil"/>
              <w:bottom w:val="single" w:sz="4" w:space="0" w:color="auto"/>
              <w:right w:val="single" w:sz="4" w:space="0" w:color="auto"/>
            </w:tcBorders>
            <w:shd w:val="clear" w:color="auto" w:fill="auto"/>
            <w:noWrap/>
            <w:vAlign w:val="center"/>
            <w:hideMark/>
          </w:tcPr>
          <w:p w14:paraId="2BB6BEE7"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1CC65DB1"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ServingSatelliteEphemerisStateVectorY</w:t>
            </w:r>
          </w:p>
        </w:tc>
        <w:tc>
          <w:tcPr>
            <w:tcW w:w="881" w:type="pct"/>
            <w:tcBorders>
              <w:top w:val="nil"/>
              <w:left w:val="nil"/>
              <w:bottom w:val="single" w:sz="4" w:space="0" w:color="auto"/>
              <w:right w:val="single" w:sz="4" w:space="0" w:color="auto"/>
            </w:tcBorders>
            <w:shd w:val="clear" w:color="auto" w:fill="auto"/>
            <w:vAlign w:val="center"/>
            <w:hideMark/>
          </w:tcPr>
          <w:p w14:paraId="01050481" w14:textId="77777777" w:rsidR="00BE5096" w:rsidRPr="00BF5057" w:rsidRDefault="00BE5096" w:rsidP="00BE5096">
            <w:pPr>
              <w:autoSpaceDE/>
              <w:autoSpaceDN/>
              <w:adjustRightInd/>
              <w:snapToGrid/>
              <w:spacing w:after="0"/>
              <w:jc w:val="left"/>
              <w:rPr>
                <w:rFonts w:eastAsia="Times New Roman"/>
                <w:color w:val="000000"/>
                <w:lang w:eastAsia="fr-FR"/>
              </w:rPr>
            </w:pPr>
            <w:r w:rsidRPr="00BF5057">
              <w:rPr>
                <w:rFonts w:eastAsia="Times New Roman"/>
                <w:color w:val="000000"/>
                <w:lang w:eastAsia="fr-FR"/>
              </w:rPr>
              <w:t xml:space="preserve">Indicate  the y-coordinate of serving  Satellite position state vector in ECEF (m) </w:t>
            </w:r>
          </w:p>
        </w:tc>
        <w:tc>
          <w:tcPr>
            <w:tcW w:w="422" w:type="pct"/>
            <w:tcBorders>
              <w:top w:val="nil"/>
              <w:left w:val="nil"/>
              <w:bottom w:val="single" w:sz="4" w:space="0" w:color="auto"/>
              <w:right w:val="single" w:sz="4" w:space="0" w:color="auto"/>
            </w:tcBorders>
            <w:shd w:val="clear" w:color="auto" w:fill="auto"/>
            <w:noWrap/>
            <w:vAlign w:val="center"/>
            <w:hideMark/>
          </w:tcPr>
          <w:p w14:paraId="388A7AFE" w14:textId="77777777" w:rsidR="00BE5096" w:rsidRPr="002F39CB" w:rsidRDefault="00BE5096" w:rsidP="00BE5096">
            <w:pPr>
              <w:autoSpaceDE/>
              <w:autoSpaceDN/>
              <w:adjustRightInd/>
              <w:snapToGrid/>
              <w:spacing w:after="0"/>
              <w:jc w:val="left"/>
              <w:rPr>
                <w:rFonts w:eastAsia="Times New Roman"/>
                <w:color w:val="FF0000"/>
                <w:lang w:val="fr-FR" w:eastAsia="fr-FR"/>
              </w:rPr>
            </w:pPr>
            <w:r w:rsidRPr="002F39CB">
              <w:rPr>
                <w:rFonts w:eastAsia="Times New Roman"/>
                <w:color w:val="FF0000"/>
                <w:lang w:val="fr-FR" w:eastAsia="fr-FR"/>
              </w:rPr>
              <w:t>[+/- 42 200 000]</w:t>
            </w:r>
          </w:p>
        </w:tc>
        <w:tc>
          <w:tcPr>
            <w:tcW w:w="282" w:type="pct"/>
            <w:tcBorders>
              <w:top w:val="nil"/>
              <w:left w:val="nil"/>
              <w:bottom w:val="single" w:sz="4" w:space="0" w:color="auto"/>
              <w:right w:val="single" w:sz="4" w:space="0" w:color="auto"/>
            </w:tcBorders>
            <w:shd w:val="clear" w:color="auto" w:fill="auto"/>
            <w:noWrap/>
            <w:vAlign w:val="center"/>
            <w:hideMark/>
          </w:tcPr>
          <w:p w14:paraId="339D299C"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2F52019E"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7814C9DC"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5090F75B"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646E3067"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hideMark/>
          </w:tcPr>
          <w:p w14:paraId="7243D128" w14:textId="62C88DEB" w:rsidR="00BE5096" w:rsidRPr="00BF5057" w:rsidRDefault="00BE5096" w:rsidP="00BE5096">
            <w:pPr>
              <w:autoSpaceDE/>
              <w:autoSpaceDN/>
              <w:adjustRightInd/>
              <w:snapToGrid/>
              <w:spacing w:after="0"/>
              <w:jc w:val="left"/>
              <w:rPr>
                <w:rFonts w:eastAsia="Times New Roman"/>
                <w:color w:val="ED7D31"/>
                <w:lang w:val="fr-FR" w:eastAsia="fr-FR"/>
              </w:rPr>
            </w:pPr>
            <w:r w:rsidRPr="00D315AD">
              <w:rPr>
                <w:rFonts w:eastAsia="Times New Roman"/>
                <w:color w:val="00B050"/>
                <w:lang w:val="fr-FR" w:eastAsia="fr-FR"/>
              </w:rPr>
              <w:t>New-stable</w:t>
            </w:r>
          </w:p>
        </w:tc>
      </w:tr>
      <w:tr w:rsidR="00BE5096" w:rsidRPr="00BF5057" w14:paraId="6975A0F4" w14:textId="77777777" w:rsidTr="006360A0">
        <w:trPr>
          <w:trHeight w:val="5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78C2AEE3"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ServingSatelliteEphemerisStateVectorZ</w:t>
            </w:r>
          </w:p>
        </w:tc>
        <w:tc>
          <w:tcPr>
            <w:tcW w:w="455" w:type="pct"/>
            <w:tcBorders>
              <w:top w:val="nil"/>
              <w:left w:val="nil"/>
              <w:bottom w:val="single" w:sz="4" w:space="0" w:color="auto"/>
              <w:right w:val="single" w:sz="4" w:space="0" w:color="auto"/>
            </w:tcBorders>
            <w:shd w:val="clear" w:color="auto" w:fill="auto"/>
            <w:noWrap/>
            <w:vAlign w:val="center"/>
            <w:hideMark/>
          </w:tcPr>
          <w:p w14:paraId="5FBC3A71"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531AE42E"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ServingSatelliteEphemerisStateVectorZ</w:t>
            </w:r>
          </w:p>
        </w:tc>
        <w:tc>
          <w:tcPr>
            <w:tcW w:w="881" w:type="pct"/>
            <w:tcBorders>
              <w:top w:val="nil"/>
              <w:left w:val="nil"/>
              <w:bottom w:val="single" w:sz="4" w:space="0" w:color="auto"/>
              <w:right w:val="single" w:sz="4" w:space="0" w:color="auto"/>
            </w:tcBorders>
            <w:shd w:val="clear" w:color="auto" w:fill="auto"/>
            <w:vAlign w:val="center"/>
            <w:hideMark/>
          </w:tcPr>
          <w:p w14:paraId="49B09E77" w14:textId="77777777" w:rsidR="00BE5096" w:rsidRPr="00BF5057" w:rsidRDefault="00BE5096" w:rsidP="00BE5096">
            <w:pPr>
              <w:autoSpaceDE/>
              <w:autoSpaceDN/>
              <w:adjustRightInd/>
              <w:snapToGrid/>
              <w:spacing w:after="0"/>
              <w:jc w:val="left"/>
              <w:rPr>
                <w:rFonts w:eastAsia="Times New Roman"/>
                <w:color w:val="000000"/>
                <w:lang w:eastAsia="fr-FR"/>
              </w:rPr>
            </w:pPr>
            <w:r w:rsidRPr="00BF5057">
              <w:rPr>
                <w:rFonts w:eastAsia="Times New Roman"/>
                <w:color w:val="000000"/>
                <w:lang w:eastAsia="fr-FR"/>
              </w:rPr>
              <w:t xml:space="preserve">Indicate  the z-coordinate of serving  Satellite position state vector in ECEF (m) </w:t>
            </w:r>
          </w:p>
        </w:tc>
        <w:tc>
          <w:tcPr>
            <w:tcW w:w="422" w:type="pct"/>
            <w:tcBorders>
              <w:top w:val="nil"/>
              <w:left w:val="nil"/>
              <w:bottom w:val="single" w:sz="4" w:space="0" w:color="auto"/>
              <w:right w:val="single" w:sz="4" w:space="0" w:color="auto"/>
            </w:tcBorders>
            <w:shd w:val="clear" w:color="auto" w:fill="auto"/>
            <w:noWrap/>
            <w:vAlign w:val="center"/>
            <w:hideMark/>
          </w:tcPr>
          <w:p w14:paraId="17BC0856" w14:textId="77777777" w:rsidR="00BE5096" w:rsidRPr="002F39CB" w:rsidRDefault="00BE5096" w:rsidP="00BE5096">
            <w:pPr>
              <w:autoSpaceDE/>
              <w:autoSpaceDN/>
              <w:adjustRightInd/>
              <w:snapToGrid/>
              <w:spacing w:after="0"/>
              <w:jc w:val="left"/>
              <w:rPr>
                <w:rFonts w:eastAsia="Times New Roman"/>
                <w:color w:val="FF0000"/>
                <w:lang w:val="fr-FR" w:eastAsia="fr-FR"/>
              </w:rPr>
            </w:pPr>
            <w:r w:rsidRPr="002F39CB">
              <w:rPr>
                <w:rFonts w:eastAsia="Times New Roman"/>
                <w:color w:val="FF0000"/>
                <w:lang w:val="fr-FR" w:eastAsia="fr-FR"/>
              </w:rPr>
              <w:t>[+/- 42 200 000]</w:t>
            </w:r>
          </w:p>
        </w:tc>
        <w:tc>
          <w:tcPr>
            <w:tcW w:w="282" w:type="pct"/>
            <w:tcBorders>
              <w:top w:val="nil"/>
              <w:left w:val="nil"/>
              <w:bottom w:val="single" w:sz="4" w:space="0" w:color="auto"/>
              <w:right w:val="single" w:sz="4" w:space="0" w:color="auto"/>
            </w:tcBorders>
            <w:shd w:val="clear" w:color="auto" w:fill="auto"/>
            <w:noWrap/>
            <w:vAlign w:val="center"/>
            <w:hideMark/>
          </w:tcPr>
          <w:p w14:paraId="23987B33"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2BBB1098"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4278727B"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21CCBBAB"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46484093"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hideMark/>
          </w:tcPr>
          <w:p w14:paraId="5CE21CBF" w14:textId="7195204B" w:rsidR="00BE5096" w:rsidRPr="00BF5057" w:rsidRDefault="00BE5096" w:rsidP="00BE5096">
            <w:pPr>
              <w:autoSpaceDE/>
              <w:autoSpaceDN/>
              <w:adjustRightInd/>
              <w:snapToGrid/>
              <w:spacing w:after="0"/>
              <w:jc w:val="left"/>
              <w:rPr>
                <w:rFonts w:eastAsia="Times New Roman"/>
                <w:color w:val="ED7D31"/>
                <w:lang w:val="fr-FR" w:eastAsia="fr-FR"/>
              </w:rPr>
            </w:pPr>
            <w:r w:rsidRPr="00D315AD">
              <w:rPr>
                <w:rFonts w:eastAsia="Times New Roman"/>
                <w:color w:val="00B050"/>
                <w:lang w:val="fr-FR" w:eastAsia="fr-FR"/>
              </w:rPr>
              <w:t>New-stable</w:t>
            </w:r>
          </w:p>
        </w:tc>
      </w:tr>
      <w:tr w:rsidR="00BE5096" w:rsidRPr="00BF5057" w14:paraId="67D3A668" w14:textId="77777777" w:rsidTr="006360A0">
        <w:trPr>
          <w:trHeight w:val="4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60AC9B1D"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ServingSatelliteEphemerisStateVectorVx</w:t>
            </w:r>
          </w:p>
        </w:tc>
        <w:tc>
          <w:tcPr>
            <w:tcW w:w="455" w:type="pct"/>
            <w:tcBorders>
              <w:top w:val="nil"/>
              <w:left w:val="nil"/>
              <w:bottom w:val="single" w:sz="4" w:space="0" w:color="auto"/>
              <w:right w:val="single" w:sz="4" w:space="0" w:color="auto"/>
            </w:tcBorders>
            <w:shd w:val="clear" w:color="auto" w:fill="auto"/>
            <w:noWrap/>
            <w:hideMark/>
          </w:tcPr>
          <w:p w14:paraId="58C785A5" w14:textId="570C9B28" w:rsidR="00BE5096" w:rsidRPr="00BF5057" w:rsidRDefault="00BE5096" w:rsidP="00BE5096">
            <w:pPr>
              <w:autoSpaceDE/>
              <w:autoSpaceDN/>
              <w:adjustRightInd/>
              <w:snapToGrid/>
              <w:spacing w:after="0"/>
              <w:jc w:val="left"/>
              <w:rPr>
                <w:rFonts w:eastAsia="Times New Roman"/>
                <w:color w:val="000000"/>
                <w:lang w:val="fr-FR" w:eastAsia="fr-FR"/>
              </w:rPr>
            </w:pPr>
            <w:r w:rsidRPr="008D618C">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795EEA2C"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ServingSatelliteEphemerisStateVectorVx</w:t>
            </w:r>
          </w:p>
        </w:tc>
        <w:tc>
          <w:tcPr>
            <w:tcW w:w="881" w:type="pct"/>
            <w:tcBorders>
              <w:top w:val="nil"/>
              <w:left w:val="nil"/>
              <w:bottom w:val="single" w:sz="4" w:space="0" w:color="auto"/>
              <w:right w:val="single" w:sz="4" w:space="0" w:color="auto"/>
            </w:tcBorders>
            <w:shd w:val="clear" w:color="auto" w:fill="auto"/>
            <w:vAlign w:val="center"/>
            <w:hideMark/>
          </w:tcPr>
          <w:p w14:paraId="494A9504" w14:textId="77777777" w:rsidR="00BE5096" w:rsidRPr="00BF5057" w:rsidRDefault="00BE5096" w:rsidP="00BE5096">
            <w:pPr>
              <w:autoSpaceDE/>
              <w:autoSpaceDN/>
              <w:adjustRightInd/>
              <w:snapToGrid/>
              <w:spacing w:after="0"/>
              <w:jc w:val="left"/>
              <w:rPr>
                <w:rFonts w:eastAsia="Times New Roman"/>
                <w:color w:val="000000"/>
                <w:lang w:eastAsia="fr-FR"/>
              </w:rPr>
            </w:pPr>
            <w:r w:rsidRPr="00BF5057">
              <w:rPr>
                <w:rFonts w:eastAsia="Times New Roman"/>
                <w:color w:val="000000"/>
                <w:lang w:eastAsia="fr-FR"/>
              </w:rPr>
              <w:t>Indicate the x-coordinate of serving  Satellite velocity state vector in ECEF (m/s)</w:t>
            </w:r>
          </w:p>
        </w:tc>
        <w:tc>
          <w:tcPr>
            <w:tcW w:w="422" w:type="pct"/>
            <w:tcBorders>
              <w:top w:val="nil"/>
              <w:left w:val="nil"/>
              <w:bottom w:val="single" w:sz="4" w:space="0" w:color="auto"/>
              <w:right w:val="single" w:sz="4" w:space="0" w:color="auto"/>
            </w:tcBorders>
            <w:shd w:val="clear" w:color="auto" w:fill="auto"/>
            <w:noWrap/>
            <w:vAlign w:val="center"/>
            <w:hideMark/>
          </w:tcPr>
          <w:p w14:paraId="4D439E2F" w14:textId="77777777" w:rsidR="00BE5096" w:rsidRPr="002F39CB" w:rsidRDefault="00BE5096" w:rsidP="00BE5096">
            <w:pPr>
              <w:autoSpaceDE/>
              <w:autoSpaceDN/>
              <w:adjustRightInd/>
              <w:snapToGrid/>
              <w:spacing w:after="0"/>
              <w:jc w:val="left"/>
              <w:rPr>
                <w:rFonts w:eastAsia="Times New Roman"/>
                <w:color w:val="FF0000"/>
                <w:lang w:val="fr-FR" w:eastAsia="fr-FR"/>
              </w:rPr>
            </w:pPr>
            <w:r w:rsidRPr="002F39CB">
              <w:rPr>
                <w:rFonts w:eastAsia="Times New Roman"/>
                <w:color w:val="FF0000"/>
                <w:lang w:val="fr-FR" w:eastAsia="fr-FR"/>
              </w:rPr>
              <w:t>[+/- 8000]</w:t>
            </w:r>
          </w:p>
        </w:tc>
        <w:tc>
          <w:tcPr>
            <w:tcW w:w="282" w:type="pct"/>
            <w:tcBorders>
              <w:top w:val="nil"/>
              <w:left w:val="nil"/>
              <w:bottom w:val="single" w:sz="4" w:space="0" w:color="auto"/>
              <w:right w:val="single" w:sz="4" w:space="0" w:color="auto"/>
            </w:tcBorders>
            <w:shd w:val="clear" w:color="auto" w:fill="auto"/>
            <w:noWrap/>
            <w:vAlign w:val="center"/>
            <w:hideMark/>
          </w:tcPr>
          <w:p w14:paraId="361841D9"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5BA2F454"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158413D5"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06F999A4"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3087D217"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hideMark/>
          </w:tcPr>
          <w:p w14:paraId="659387F5" w14:textId="31DE800B" w:rsidR="00BE5096" w:rsidRPr="00BF5057" w:rsidRDefault="00BE5096" w:rsidP="00BE5096">
            <w:pPr>
              <w:autoSpaceDE/>
              <w:autoSpaceDN/>
              <w:adjustRightInd/>
              <w:snapToGrid/>
              <w:spacing w:after="0"/>
              <w:jc w:val="left"/>
              <w:rPr>
                <w:rFonts w:eastAsia="Times New Roman"/>
                <w:color w:val="ED7D31"/>
                <w:lang w:val="fr-FR" w:eastAsia="fr-FR"/>
              </w:rPr>
            </w:pPr>
            <w:r w:rsidRPr="00D315AD">
              <w:rPr>
                <w:rFonts w:eastAsia="Times New Roman"/>
                <w:color w:val="00B050"/>
                <w:lang w:val="fr-FR" w:eastAsia="fr-FR"/>
              </w:rPr>
              <w:t>New-stable</w:t>
            </w:r>
          </w:p>
        </w:tc>
      </w:tr>
      <w:tr w:rsidR="00BE5096" w:rsidRPr="00BF5057" w14:paraId="0681A4CD" w14:textId="77777777" w:rsidTr="006360A0">
        <w:trPr>
          <w:trHeight w:val="4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3DA3CCE8"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ServingSatelliteEphemerisStateVectorVy</w:t>
            </w:r>
          </w:p>
        </w:tc>
        <w:tc>
          <w:tcPr>
            <w:tcW w:w="455" w:type="pct"/>
            <w:tcBorders>
              <w:top w:val="nil"/>
              <w:left w:val="nil"/>
              <w:bottom w:val="single" w:sz="4" w:space="0" w:color="auto"/>
              <w:right w:val="single" w:sz="4" w:space="0" w:color="auto"/>
            </w:tcBorders>
            <w:shd w:val="clear" w:color="auto" w:fill="auto"/>
            <w:noWrap/>
            <w:hideMark/>
          </w:tcPr>
          <w:p w14:paraId="4FF8B40D" w14:textId="0B15C524" w:rsidR="00BE5096" w:rsidRPr="00BF5057" w:rsidRDefault="00BE5096" w:rsidP="00BE5096">
            <w:pPr>
              <w:autoSpaceDE/>
              <w:autoSpaceDN/>
              <w:adjustRightInd/>
              <w:snapToGrid/>
              <w:spacing w:after="0"/>
              <w:jc w:val="left"/>
              <w:rPr>
                <w:rFonts w:eastAsia="Times New Roman"/>
                <w:color w:val="000000"/>
                <w:lang w:val="fr-FR" w:eastAsia="fr-FR"/>
              </w:rPr>
            </w:pPr>
            <w:r w:rsidRPr="008D618C">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13203369"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ServingSatelliteEphemerisStateVectorVy</w:t>
            </w:r>
          </w:p>
        </w:tc>
        <w:tc>
          <w:tcPr>
            <w:tcW w:w="881" w:type="pct"/>
            <w:tcBorders>
              <w:top w:val="nil"/>
              <w:left w:val="nil"/>
              <w:bottom w:val="single" w:sz="4" w:space="0" w:color="auto"/>
              <w:right w:val="single" w:sz="4" w:space="0" w:color="auto"/>
            </w:tcBorders>
            <w:shd w:val="clear" w:color="auto" w:fill="auto"/>
            <w:vAlign w:val="center"/>
            <w:hideMark/>
          </w:tcPr>
          <w:p w14:paraId="55611112" w14:textId="77777777" w:rsidR="00BE5096" w:rsidRPr="00BF5057" w:rsidRDefault="00BE5096" w:rsidP="00BE5096">
            <w:pPr>
              <w:autoSpaceDE/>
              <w:autoSpaceDN/>
              <w:adjustRightInd/>
              <w:snapToGrid/>
              <w:spacing w:after="0"/>
              <w:jc w:val="left"/>
              <w:rPr>
                <w:rFonts w:eastAsia="Times New Roman"/>
                <w:color w:val="000000"/>
                <w:lang w:eastAsia="fr-FR"/>
              </w:rPr>
            </w:pPr>
            <w:r w:rsidRPr="00BF5057">
              <w:rPr>
                <w:rFonts w:eastAsia="Times New Roman"/>
                <w:color w:val="000000"/>
                <w:lang w:eastAsia="fr-FR"/>
              </w:rPr>
              <w:t>Indicate the y-coordinate of serving  Satellite velocity state vector in ECEF (m/s)</w:t>
            </w:r>
          </w:p>
        </w:tc>
        <w:tc>
          <w:tcPr>
            <w:tcW w:w="422" w:type="pct"/>
            <w:tcBorders>
              <w:top w:val="nil"/>
              <w:left w:val="nil"/>
              <w:bottom w:val="single" w:sz="4" w:space="0" w:color="auto"/>
              <w:right w:val="single" w:sz="4" w:space="0" w:color="auto"/>
            </w:tcBorders>
            <w:shd w:val="clear" w:color="auto" w:fill="auto"/>
            <w:noWrap/>
            <w:vAlign w:val="center"/>
            <w:hideMark/>
          </w:tcPr>
          <w:p w14:paraId="07D8B5C9" w14:textId="77777777" w:rsidR="00BE5096" w:rsidRPr="002F39CB" w:rsidRDefault="00BE5096" w:rsidP="00BE5096">
            <w:pPr>
              <w:autoSpaceDE/>
              <w:autoSpaceDN/>
              <w:adjustRightInd/>
              <w:snapToGrid/>
              <w:spacing w:after="0"/>
              <w:jc w:val="left"/>
              <w:rPr>
                <w:rFonts w:eastAsia="Times New Roman"/>
                <w:color w:val="FF0000"/>
                <w:lang w:val="fr-FR" w:eastAsia="fr-FR"/>
              </w:rPr>
            </w:pPr>
            <w:r w:rsidRPr="002F39CB">
              <w:rPr>
                <w:rFonts w:eastAsia="Times New Roman"/>
                <w:color w:val="FF0000"/>
                <w:lang w:val="fr-FR" w:eastAsia="fr-FR"/>
              </w:rPr>
              <w:t>[+/- 8000]</w:t>
            </w:r>
          </w:p>
        </w:tc>
        <w:tc>
          <w:tcPr>
            <w:tcW w:w="282" w:type="pct"/>
            <w:tcBorders>
              <w:top w:val="nil"/>
              <w:left w:val="nil"/>
              <w:bottom w:val="single" w:sz="4" w:space="0" w:color="auto"/>
              <w:right w:val="single" w:sz="4" w:space="0" w:color="auto"/>
            </w:tcBorders>
            <w:shd w:val="clear" w:color="auto" w:fill="auto"/>
            <w:noWrap/>
            <w:vAlign w:val="center"/>
            <w:hideMark/>
          </w:tcPr>
          <w:p w14:paraId="1FC2961F"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0705DC49"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06E098C4"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71514C2D"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56E4444C"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hideMark/>
          </w:tcPr>
          <w:p w14:paraId="0E1CEB75" w14:textId="7DDA6753" w:rsidR="00BE5096" w:rsidRPr="00BF5057" w:rsidRDefault="00BE5096" w:rsidP="00BE5096">
            <w:pPr>
              <w:autoSpaceDE/>
              <w:autoSpaceDN/>
              <w:adjustRightInd/>
              <w:snapToGrid/>
              <w:spacing w:after="0"/>
              <w:jc w:val="left"/>
              <w:rPr>
                <w:rFonts w:eastAsia="Times New Roman"/>
                <w:color w:val="ED7D31"/>
                <w:lang w:val="fr-FR" w:eastAsia="fr-FR"/>
              </w:rPr>
            </w:pPr>
            <w:r w:rsidRPr="00D315AD">
              <w:rPr>
                <w:rFonts w:eastAsia="Times New Roman"/>
                <w:color w:val="00B050"/>
                <w:lang w:val="fr-FR" w:eastAsia="fr-FR"/>
              </w:rPr>
              <w:t>New-stable</w:t>
            </w:r>
          </w:p>
        </w:tc>
      </w:tr>
      <w:tr w:rsidR="00BE5096" w:rsidRPr="00BF5057" w14:paraId="666390B9" w14:textId="77777777" w:rsidTr="006360A0">
        <w:trPr>
          <w:trHeight w:val="4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369BEFEA"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ServingSatelliteEphemerisStateVectorVz</w:t>
            </w:r>
          </w:p>
        </w:tc>
        <w:tc>
          <w:tcPr>
            <w:tcW w:w="455" w:type="pct"/>
            <w:tcBorders>
              <w:top w:val="nil"/>
              <w:left w:val="nil"/>
              <w:bottom w:val="single" w:sz="4" w:space="0" w:color="auto"/>
              <w:right w:val="single" w:sz="4" w:space="0" w:color="auto"/>
            </w:tcBorders>
            <w:shd w:val="clear" w:color="auto" w:fill="auto"/>
            <w:noWrap/>
            <w:hideMark/>
          </w:tcPr>
          <w:p w14:paraId="174FBAA1" w14:textId="63BEC7E2" w:rsidR="00BE5096" w:rsidRPr="00BF5057" w:rsidRDefault="00BE5096" w:rsidP="00BE5096">
            <w:pPr>
              <w:autoSpaceDE/>
              <w:autoSpaceDN/>
              <w:adjustRightInd/>
              <w:snapToGrid/>
              <w:spacing w:after="0"/>
              <w:jc w:val="left"/>
              <w:rPr>
                <w:rFonts w:eastAsia="Times New Roman"/>
                <w:color w:val="000000"/>
                <w:lang w:val="fr-FR" w:eastAsia="fr-FR"/>
              </w:rPr>
            </w:pPr>
            <w:r w:rsidRPr="008D618C">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bottom"/>
            <w:hideMark/>
          </w:tcPr>
          <w:p w14:paraId="68B76510"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ServingSatelliteEphemerisStateVectorVz</w:t>
            </w:r>
          </w:p>
        </w:tc>
        <w:tc>
          <w:tcPr>
            <w:tcW w:w="881" w:type="pct"/>
            <w:tcBorders>
              <w:top w:val="nil"/>
              <w:left w:val="nil"/>
              <w:bottom w:val="single" w:sz="4" w:space="0" w:color="auto"/>
              <w:right w:val="single" w:sz="4" w:space="0" w:color="auto"/>
            </w:tcBorders>
            <w:shd w:val="clear" w:color="auto" w:fill="auto"/>
            <w:vAlign w:val="center"/>
            <w:hideMark/>
          </w:tcPr>
          <w:p w14:paraId="5EAD07F4" w14:textId="77777777" w:rsidR="00BE5096" w:rsidRPr="00BF5057" w:rsidRDefault="00BE5096" w:rsidP="00BE5096">
            <w:pPr>
              <w:autoSpaceDE/>
              <w:autoSpaceDN/>
              <w:adjustRightInd/>
              <w:snapToGrid/>
              <w:spacing w:after="0"/>
              <w:jc w:val="left"/>
              <w:rPr>
                <w:rFonts w:eastAsia="Times New Roman"/>
                <w:color w:val="000000"/>
                <w:lang w:eastAsia="fr-FR"/>
              </w:rPr>
            </w:pPr>
            <w:r w:rsidRPr="00BF5057">
              <w:rPr>
                <w:rFonts w:eastAsia="Times New Roman"/>
                <w:color w:val="000000"/>
                <w:lang w:eastAsia="fr-FR"/>
              </w:rPr>
              <w:t>Indicate the z-coordinate of serving  Satellite velocity state vector in ECEF (m/s)</w:t>
            </w:r>
          </w:p>
        </w:tc>
        <w:tc>
          <w:tcPr>
            <w:tcW w:w="422" w:type="pct"/>
            <w:tcBorders>
              <w:top w:val="nil"/>
              <w:left w:val="nil"/>
              <w:bottom w:val="single" w:sz="4" w:space="0" w:color="auto"/>
              <w:right w:val="single" w:sz="4" w:space="0" w:color="auto"/>
            </w:tcBorders>
            <w:shd w:val="clear" w:color="auto" w:fill="auto"/>
            <w:noWrap/>
            <w:vAlign w:val="center"/>
            <w:hideMark/>
          </w:tcPr>
          <w:p w14:paraId="2F17001F" w14:textId="77777777" w:rsidR="00BE5096" w:rsidRPr="002F39CB" w:rsidRDefault="00BE5096" w:rsidP="00BE5096">
            <w:pPr>
              <w:autoSpaceDE/>
              <w:autoSpaceDN/>
              <w:adjustRightInd/>
              <w:snapToGrid/>
              <w:spacing w:after="0"/>
              <w:jc w:val="left"/>
              <w:rPr>
                <w:rFonts w:eastAsia="Times New Roman"/>
                <w:color w:val="FF0000"/>
                <w:lang w:val="fr-FR" w:eastAsia="fr-FR"/>
              </w:rPr>
            </w:pPr>
            <w:r w:rsidRPr="002F39CB">
              <w:rPr>
                <w:rFonts w:eastAsia="Times New Roman"/>
                <w:color w:val="FF0000"/>
                <w:lang w:val="fr-FR" w:eastAsia="fr-FR"/>
              </w:rPr>
              <w:t>[+/- 8000]</w:t>
            </w:r>
          </w:p>
        </w:tc>
        <w:tc>
          <w:tcPr>
            <w:tcW w:w="282" w:type="pct"/>
            <w:tcBorders>
              <w:top w:val="nil"/>
              <w:left w:val="nil"/>
              <w:bottom w:val="single" w:sz="4" w:space="0" w:color="auto"/>
              <w:right w:val="single" w:sz="4" w:space="0" w:color="auto"/>
            </w:tcBorders>
            <w:shd w:val="clear" w:color="auto" w:fill="auto"/>
            <w:noWrap/>
            <w:vAlign w:val="center"/>
            <w:hideMark/>
          </w:tcPr>
          <w:p w14:paraId="206C6EFE"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7AEAD5EB"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1E1D9BCC"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70EEABA9"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0F3C6856"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hideMark/>
          </w:tcPr>
          <w:p w14:paraId="1B7B5B20" w14:textId="1FF9F531" w:rsidR="00BE5096" w:rsidRPr="00BF5057" w:rsidRDefault="00BE5096" w:rsidP="00BE5096">
            <w:pPr>
              <w:autoSpaceDE/>
              <w:autoSpaceDN/>
              <w:adjustRightInd/>
              <w:snapToGrid/>
              <w:spacing w:after="0"/>
              <w:jc w:val="left"/>
              <w:rPr>
                <w:rFonts w:eastAsia="Times New Roman"/>
                <w:color w:val="ED7D31"/>
                <w:lang w:val="fr-FR" w:eastAsia="fr-FR"/>
              </w:rPr>
            </w:pPr>
            <w:r w:rsidRPr="00D315AD">
              <w:rPr>
                <w:rFonts w:eastAsia="Times New Roman"/>
                <w:color w:val="00B050"/>
                <w:lang w:val="fr-FR" w:eastAsia="fr-FR"/>
              </w:rPr>
              <w:t>New-stable</w:t>
            </w:r>
          </w:p>
        </w:tc>
      </w:tr>
      <w:tr w:rsidR="00BE5096" w:rsidRPr="00BF5057" w14:paraId="15E8D9EC" w14:textId="77777777" w:rsidTr="006360A0">
        <w:trPr>
          <w:trHeight w:val="141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14B3E898"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ServingSatelliteEphemerisSemiMajorAxis</w:t>
            </w:r>
          </w:p>
        </w:tc>
        <w:tc>
          <w:tcPr>
            <w:tcW w:w="455" w:type="pct"/>
            <w:tcBorders>
              <w:top w:val="nil"/>
              <w:left w:val="nil"/>
              <w:bottom w:val="single" w:sz="4" w:space="0" w:color="auto"/>
              <w:right w:val="single" w:sz="4" w:space="0" w:color="auto"/>
            </w:tcBorders>
            <w:shd w:val="clear" w:color="auto" w:fill="auto"/>
            <w:noWrap/>
            <w:hideMark/>
          </w:tcPr>
          <w:p w14:paraId="54EECB76" w14:textId="0F5BAE75" w:rsidR="00BE5096" w:rsidRPr="00BF5057" w:rsidRDefault="00BE5096" w:rsidP="00BE5096">
            <w:pPr>
              <w:autoSpaceDE/>
              <w:autoSpaceDN/>
              <w:adjustRightInd/>
              <w:snapToGrid/>
              <w:spacing w:after="0"/>
              <w:jc w:val="left"/>
              <w:rPr>
                <w:rFonts w:eastAsia="Times New Roman"/>
                <w:color w:val="000000"/>
                <w:lang w:val="fr-FR" w:eastAsia="fr-FR"/>
              </w:rPr>
            </w:pPr>
            <w:r w:rsidRPr="008D618C">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68004934"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ServingSatelliteEphemerisSemiMajorAxis</w:t>
            </w:r>
          </w:p>
        </w:tc>
        <w:tc>
          <w:tcPr>
            <w:tcW w:w="881" w:type="pct"/>
            <w:tcBorders>
              <w:top w:val="nil"/>
              <w:left w:val="nil"/>
              <w:bottom w:val="single" w:sz="4" w:space="0" w:color="auto"/>
              <w:right w:val="single" w:sz="4" w:space="0" w:color="auto"/>
            </w:tcBorders>
            <w:shd w:val="clear" w:color="auto" w:fill="auto"/>
            <w:vAlign w:val="bottom"/>
            <w:hideMark/>
          </w:tcPr>
          <w:p w14:paraId="6E0539D6" w14:textId="42255396" w:rsidR="00BE5096" w:rsidRPr="00BF5057" w:rsidRDefault="00BE5096" w:rsidP="00BE5096">
            <w:pPr>
              <w:autoSpaceDE/>
              <w:autoSpaceDN/>
              <w:adjustRightInd/>
              <w:snapToGrid/>
              <w:spacing w:after="240"/>
              <w:jc w:val="left"/>
              <w:rPr>
                <w:rFonts w:eastAsia="Times New Roman"/>
                <w:color w:val="000000"/>
                <w:lang w:eastAsia="fr-FR"/>
              </w:rPr>
            </w:pPr>
            <w:r w:rsidRPr="00BF5057">
              <w:rPr>
                <w:rFonts w:eastAsia="Times New Roman"/>
                <w:color w:val="000000"/>
                <w:lang w:eastAsia="fr-FR"/>
              </w:rPr>
              <w:t>Indicate the following ephemeris orbital parameter for the serving satellite:</w:t>
            </w:r>
            <w:r w:rsidRPr="00BF5057">
              <w:rPr>
                <w:rFonts w:eastAsia="Times New Roman"/>
                <w:color w:val="000000"/>
                <w:lang w:eastAsia="fr-FR"/>
              </w:rPr>
              <w:br/>
              <w:t xml:space="preserve">- Semi-major axis </w:t>
            </w:r>
            <w:r w:rsidRPr="00BF5057">
              <w:rPr>
                <w:rFonts w:eastAsia="Times New Roman"/>
                <w:color w:val="000000"/>
                <w:lang w:val="fr-FR" w:eastAsia="fr-FR"/>
              </w:rPr>
              <w:t>α</w:t>
            </w:r>
            <w:r w:rsidR="002F39CB">
              <w:rPr>
                <w:rFonts w:eastAsia="Times New Roman"/>
                <w:color w:val="000000"/>
                <w:lang w:eastAsia="fr-FR"/>
              </w:rPr>
              <w:t xml:space="preserve"> (m)</w:t>
            </w:r>
          </w:p>
        </w:tc>
        <w:tc>
          <w:tcPr>
            <w:tcW w:w="422" w:type="pct"/>
            <w:tcBorders>
              <w:top w:val="nil"/>
              <w:left w:val="nil"/>
              <w:bottom w:val="single" w:sz="4" w:space="0" w:color="auto"/>
              <w:right w:val="single" w:sz="4" w:space="0" w:color="auto"/>
            </w:tcBorders>
            <w:shd w:val="clear" w:color="auto" w:fill="auto"/>
            <w:noWrap/>
            <w:vAlign w:val="center"/>
            <w:hideMark/>
          </w:tcPr>
          <w:p w14:paraId="5988C0CD"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2F39CB">
              <w:rPr>
                <w:rFonts w:eastAsia="Times New Roman"/>
                <w:color w:val="FF0000"/>
                <w:lang w:val="fr-FR" w:eastAsia="fr-FR"/>
              </w:rPr>
              <w:t>[6500 000… 43000 000]</w:t>
            </w:r>
          </w:p>
        </w:tc>
        <w:tc>
          <w:tcPr>
            <w:tcW w:w="282" w:type="pct"/>
            <w:tcBorders>
              <w:top w:val="nil"/>
              <w:left w:val="nil"/>
              <w:bottom w:val="single" w:sz="4" w:space="0" w:color="auto"/>
              <w:right w:val="single" w:sz="4" w:space="0" w:color="auto"/>
            </w:tcBorders>
            <w:shd w:val="clear" w:color="auto" w:fill="auto"/>
            <w:noWrap/>
            <w:vAlign w:val="center"/>
            <w:hideMark/>
          </w:tcPr>
          <w:p w14:paraId="6E594E43"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731C5FB7"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2290E798"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2C116C4A"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337423F5"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hideMark/>
          </w:tcPr>
          <w:p w14:paraId="09943603" w14:textId="5DF55101" w:rsidR="00BE5096" w:rsidRPr="00BF5057" w:rsidRDefault="00BE5096" w:rsidP="00BE5096">
            <w:pPr>
              <w:autoSpaceDE/>
              <w:autoSpaceDN/>
              <w:adjustRightInd/>
              <w:snapToGrid/>
              <w:spacing w:after="0"/>
              <w:jc w:val="left"/>
              <w:rPr>
                <w:rFonts w:eastAsia="Times New Roman"/>
                <w:color w:val="ED7D31"/>
                <w:lang w:val="fr-FR" w:eastAsia="fr-FR"/>
              </w:rPr>
            </w:pPr>
            <w:r w:rsidRPr="00D315AD">
              <w:rPr>
                <w:rFonts w:eastAsia="Times New Roman"/>
                <w:color w:val="00B050"/>
                <w:lang w:val="fr-FR" w:eastAsia="fr-FR"/>
              </w:rPr>
              <w:t>New-stable</w:t>
            </w:r>
          </w:p>
        </w:tc>
      </w:tr>
      <w:tr w:rsidR="00BE5096" w:rsidRPr="00BF5057" w14:paraId="5128B16A" w14:textId="77777777" w:rsidTr="006360A0">
        <w:trPr>
          <w:trHeight w:val="4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20FCFB7E"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lastRenderedPageBreak/>
              <w:t>ServingSatelliteEphemerisEccentricityE</w:t>
            </w:r>
          </w:p>
        </w:tc>
        <w:tc>
          <w:tcPr>
            <w:tcW w:w="455" w:type="pct"/>
            <w:tcBorders>
              <w:top w:val="nil"/>
              <w:left w:val="nil"/>
              <w:bottom w:val="single" w:sz="4" w:space="0" w:color="auto"/>
              <w:right w:val="single" w:sz="4" w:space="0" w:color="auto"/>
            </w:tcBorders>
            <w:shd w:val="clear" w:color="auto" w:fill="auto"/>
            <w:noWrap/>
            <w:vAlign w:val="center"/>
            <w:hideMark/>
          </w:tcPr>
          <w:p w14:paraId="2448D290"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18C2A439"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ServingSatelliteEphemerisEccentricityE</w:t>
            </w:r>
          </w:p>
        </w:tc>
        <w:tc>
          <w:tcPr>
            <w:tcW w:w="881" w:type="pct"/>
            <w:tcBorders>
              <w:top w:val="nil"/>
              <w:left w:val="nil"/>
              <w:bottom w:val="single" w:sz="4" w:space="0" w:color="auto"/>
              <w:right w:val="single" w:sz="4" w:space="0" w:color="auto"/>
            </w:tcBorders>
            <w:shd w:val="clear" w:color="auto" w:fill="auto"/>
            <w:vAlign w:val="center"/>
            <w:hideMark/>
          </w:tcPr>
          <w:p w14:paraId="7E22E43D" w14:textId="77777777" w:rsidR="00BE5096" w:rsidRPr="00BF5057" w:rsidRDefault="00BE5096" w:rsidP="00BE5096">
            <w:pPr>
              <w:autoSpaceDE/>
              <w:autoSpaceDN/>
              <w:adjustRightInd/>
              <w:snapToGrid/>
              <w:spacing w:after="0"/>
              <w:jc w:val="left"/>
              <w:rPr>
                <w:rFonts w:eastAsia="Times New Roman"/>
                <w:color w:val="000000"/>
                <w:lang w:eastAsia="fr-FR"/>
              </w:rPr>
            </w:pPr>
            <w:r w:rsidRPr="00BF5057">
              <w:rPr>
                <w:rFonts w:eastAsia="Times New Roman"/>
                <w:color w:val="000000"/>
                <w:lang w:eastAsia="fr-FR"/>
              </w:rPr>
              <w:t>Indicate the following ephemeris orbital parameter for the serving satellite:</w:t>
            </w:r>
            <w:r w:rsidRPr="00BF5057">
              <w:rPr>
                <w:rFonts w:eastAsia="Times New Roman"/>
                <w:color w:val="000000"/>
                <w:lang w:eastAsia="fr-FR"/>
              </w:rPr>
              <w:br/>
              <w:t xml:space="preserve">- Eccentricity e </w:t>
            </w:r>
          </w:p>
        </w:tc>
        <w:tc>
          <w:tcPr>
            <w:tcW w:w="422" w:type="pct"/>
            <w:tcBorders>
              <w:top w:val="nil"/>
              <w:left w:val="nil"/>
              <w:bottom w:val="single" w:sz="4" w:space="0" w:color="auto"/>
              <w:right w:val="single" w:sz="4" w:space="0" w:color="auto"/>
            </w:tcBorders>
            <w:shd w:val="clear" w:color="auto" w:fill="auto"/>
            <w:noWrap/>
            <w:vAlign w:val="center"/>
            <w:hideMark/>
          </w:tcPr>
          <w:p w14:paraId="1B9AE795"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11533B">
              <w:rPr>
                <w:rFonts w:eastAsia="Times New Roman"/>
                <w:color w:val="FF0000"/>
                <w:lang w:val="fr-FR" w:eastAsia="fr-FR"/>
              </w:rPr>
              <w:t>[0…0.015]</w:t>
            </w:r>
          </w:p>
        </w:tc>
        <w:tc>
          <w:tcPr>
            <w:tcW w:w="282" w:type="pct"/>
            <w:tcBorders>
              <w:top w:val="nil"/>
              <w:left w:val="nil"/>
              <w:bottom w:val="single" w:sz="4" w:space="0" w:color="auto"/>
              <w:right w:val="single" w:sz="4" w:space="0" w:color="auto"/>
            </w:tcBorders>
            <w:shd w:val="clear" w:color="auto" w:fill="auto"/>
            <w:noWrap/>
            <w:vAlign w:val="center"/>
            <w:hideMark/>
          </w:tcPr>
          <w:p w14:paraId="20B2F681"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0CA76F42"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0E63F9E4"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2C765B2C"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53947B6D"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hideMark/>
          </w:tcPr>
          <w:p w14:paraId="024FF9A4" w14:textId="0A04ED23" w:rsidR="00BE5096" w:rsidRPr="00BF5057" w:rsidRDefault="00BE5096" w:rsidP="00BE5096">
            <w:pPr>
              <w:autoSpaceDE/>
              <w:autoSpaceDN/>
              <w:adjustRightInd/>
              <w:snapToGrid/>
              <w:spacing w:after="0"/>
              <w:jc w:val="left"/>
              <w:rPr>
                <w:rFonts w:eastAsia="Times New Roman"/>
                <w:color w:val="ED7D31"/>
                <w:lang w:val="fr-FR" w:eastAsia="fr-FR"/>
              </w:rPr>
            </w:pPr>
            <w:r w:rsidRPr="00A15430">
              <w:rPr>
                <w:rFonts w:eastAsia="Times New Roman"/>
                <w:color w:val="00B050"/>
                <w:lang w:val="fr-FR" w:eastAsia="fr-FR"/>
              </w:rPr>
              <w:t>New-stable</w:t>
            </w:r>
          </w:p>
        </w:tc>
      </w:tr>
      <w:tr w:rsidR="00BE5096" w:rsidRPr="00BF5057" w14:paraId="2F640D83" w14:textId="77777777" w:rsidTr="006360A0">
        <w:trPr>
          <w:trHeight w:val="4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212B0920"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ServingSatelliteEphemerisArgumentOfPeriapsis</w:t>
            </w:r>
          </w:p>
        </w:tc>
        <w:tc>
          <w:tcPr>
            <w:tcW w:w="455" w:type="pct"/>
            <w:tcBorders>
              <w:top w:val="nil"/>
              <w:left w:val="nil"/>
              <w:bottom w:val="single" w:sz="4" w:space="0" w:color="auto"/>
              <w:right w:val="single" w:sz="4" w:space="0" w:color="auto"/>
            </w:tcBorders>
            <w:shd w:val="clear" w:color="auto" w:fill="auto"/>
            <w:noWrap/>
            <w:vAlign w:val="center"/>
            <w:hideMark/>
          </w:tcPr>
          <w:p w14:paraId="0B09E466"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158BD361"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ServingSatelliteEphemerisArgumentOfPeriapsis</w:t>
            </w:r>
          </w:p>
        </w:tc>
        <w:tc>
          <w:tcPr>
            <w:tcW w:w="881" w:type="pct"/>
            <w:tcBorders>
              <w:top w:val="nil"/>
              <w:left w:val="nil"/>
              <w:bottom w:val="single" w:sz="4" w:space="0" w:color="auto"/>
              <w:right w:val="single" w:sz="4" w:space="0" w:color="auto"/>
            </w:tcBorders>
            <w:shd w:val="clear" w:color="auto" w:fill="auto"/>
            <w:vAlign w:val="center"/>
            <w:hideMark/>
          </w:tcPr>
          <w:p w14:paraId="3038FE2A" w14:textId="61DBA474" w:rsidR="00BE5096" w:rsidRPr="00BF5057" w:rsidRDefault="00BE5096" w:rsidP="00BE5096">
            <w:pPr>
              <w:autoSpaceDE/>
              <w:autoSpaceDN/>
              <w:adjustRightInd/>
              <w:snapToGrid/>
              <w:spacing w:after="0"/>
              <w:jc w:val="left"/>
              <w:rPr>
                <w:rFonts w:eastAsia="Times New Roman"/>
                <w:color w:val="000000"/>
                <w:lang w:eastAsia="fr-FR"/>
              </w:rPr>
            </w:pPr>
            <w:r w:rsidRPr="00BF5057">
              <w:rPr>
                <w:rFonts w:eastAsia="Times New Roman"/>
                <w:color w:val="000000"/>
                <w:lang w:eastAsia="fr-FR"/>
              </w:rPr>
              <w:t>Indicate the following ephemeris orbital parameter for the serving satellite:</w:t>
            </w:r>
            <w:r w:rsidRPr="00BF5057">
              <w:rPr>
                <w:rFonts w:eastAsia="Times New Roman"/>
                <w:color w:val="000000"/>
                <w:lang w:eastAsia="fr-FR"/>
              </w:rPr>
              <w:br/>
              <w:t xml:space="preserve">- Argument of periapsis </w:t>
            </w:r>
            <w:r w:rsidRPr="00BF5057">
              <w:rPr>
                <w:rFonts w:eastAsia="Times New Roman"/>
                <w:color w:val="000000"/>
                <w:lang w:val="fr-FR" w:eastAsia="fr-FR"/>
              </w:rPr>
              <w:t>ω</w:t>
            </w:r>
            <w:r w:rsidR="0011533B">
              <w:rPr>
                <w:rFonts w:eastAsia="Times New Roman"/>
                <w:color w:val="000000"/>
                <w:lang w:eastAsia="fr-FR"/>
              </w:rPr>
              <w:t xml:space="preserve"> (rad)</w:t>
            </w:r>
          </w:p>
        </w:tc>
        <w:tc>
          <w:tcPr>
            <w:tcW w:w="422" w:type="pct"/>
            <w:tcBorders>
              <w:top w:val="nil"/>
              <w:left w:val="nil"/>
              <w:bottom w:val="single" w:sz="4" w:space="0" w:color="auto"/>
              <w:right w:val="single" w:sz="4" w:space="0" w:color="auto"/>
            </w:tcBorders>
            <w:shd w:val="clear" w:color="auto" w:fill="auto"/>
            <w:noWrap/>
            <w:vAlign w:val="center"/>
            <w:hideMark/>
          </w:tcPr>
          <w:p w14:paraId="157B6781"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11533B">
              <w:rPr>
                <w:rFonts w:eastAsia="Times New Roman"/>
                <w:color w:val="FF0000"/>
                <w:lang w:val="fr-FR" w:eastAsia="fr-FR"/>
              </w:rPr>
              <w:t>[0…2π]</w:t>
            </w:r>
          </w:p>
        </w:tc>
        <w:tc>
          <w:tcPr>
            <w:tcW w:w="282" w:type="pct"/>
            <w:tcBorders>
              <w:top w:val="nil"/>
              <w:left w:val="nil"/>
              <w:bottom w:val="single" w:sz="4" w:space="0" w:color="auto"/>
              <w:right w:val="single" w:sz="4" w:space="0" w:color="auto"/>
            </w:tcBorders>
            <w:shd w:val="clear" w:color="auto" w:fill="auto"/>
            <w:noWrap/>
            <w:vAlign w:val="center"/>
            <w:hideMark/>
          </w:tcPr>
          <w:p w14:paraId="3A3E75F6"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09403DC1"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008DD15C"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5BA56B65"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7415EBA3"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hideMark/>
          </w:tcPr>
          <w:p w14:paraId="07FDD1BE" w14:textId="6DF78CFF" w:rsidR="00BE5096" w:rsidRPr="00BF5057" w:rsidRDefault="00BE5096" w:rsidP="00BE5096">
            <w:pPr>
              <w:autoSpaceDE/>
              <w:autoSpaceDN/>
              <w:adjustRightInd/>
              <w:snapToGrid/>
              <w:spacing w:after="0"/>
              <w:jc w:val="left"/>
              <w:rPr>
                <w:rFonts w:eastAsia="Times New Roman"/>
                <w:color w:val="ED7D31"/>
                <w:lang w:val="fr-FR" w:eastAsia="fr-FR"/>
              </w:rPr>
            </w:pPr>
            <w:r w:rsidRPr="00A15430">
              <w:rPr>
                <w:rFonts w:eastAsia="Times New Roman"/>
                <w:color w:val="00B050"/>
                <w:lang w:val="fr-FR" w:eastAsia="fr-FR"/>
              </w:rPr>
              <w:t>New-stable</w:t>
            </w:r>
          </w:p>
        </w:tc>
      </w:tr>
      <w:tr w:rsidR="00BE5096" w:rsidRPr="00BF5057" w14:paraId="14262BCF" w14:textId="77777777" w:rsidTr="006360A0">
        <w:trPr>
          <w:trHeight w:val="46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2C6729DE"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 EphemerisLongitudeOfAscendingNode</w:t>
            </w:r>
          </w:p>
        </w:tc>
        <w:tc>
          <w:tcPr>
            <w:tcW w:w="455" w:type="pct"/>
            <w:tcBorders>
              <w:top w:val="nil"/>
              <w:left w:val="nil"/>
              <w:bottom w:val="single" w:sz="4" w:space="0" w:color="auto"/>
              <w:right w:val="single" w:sz="4" w:space="0" w:color="auto"/>
            </w:tcBorders>
            <w:shd w:val="clear" w:color="auto" w:fill="auto"/>
            <w:noWrap/>
            <w:vAlign w:val="center"/>
            <w:hideMark/>
          </w:tcPr>
          <w:p w14:paraId="0CBDE3DF"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6BDB9AA8"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 EphemerisLongitudeOfAscendingNode</w:t>
            </w:r>
          </w:p>
        </w:tc>
        <w:tc>
          <w:tcPr>
            <w:tcW w:w="881" w:type="pct"/>
            <w:tcBorders>
              <w:top w:val="nil"/>
              <w:left w:val="nil"/>
              <w:bottom w:val="single" w:sz="4" w:space="0" w:color="auto"/>
              <w:right w:val="single" w:sz="4" w:space="0" w:color="auto"/>
            </w:tcBorders>
            <w:shd w:val="clear" w:color="auto" w:fill="auto"/>
            <w:vAlign w:val="center"/>
            <w:hideMark/>
          </w:tcPr>
          <w:p w14:paraId="62C90528" w14:textId="2B8D669E" w:rsidR="00BE5096" w:rsidRPr="00BF5057" w:rsidRDefault="00BE5096" w:rsidP="0011533B">
            <w:pPr>
              <w:autoSpaceDE/>
              <w:autoSpaceDN/>
              <w:adjustRightInd/>
              <w:snapToGrid/>
              <w:spacing w:after="0"/>
              <w:jc w:val="left"/>
              <w:rPr>
                <w:rFonts w:eastAsia="Times New Roman"/>
                <w:color w:val="000000"/>
                <w:lang w:eastAsia="fr-FR"/>
              </w:rPr>
            </w:pPr>
            <w:r w:rsidRPr="00BF5057">
              <w:rPr>
                <w:rFonts w:eastAsia="Times New Roman"/>
                <w:color w:val="000000"/>
                <w:lang w:eastAsia="fr-FR"/>
              </w:rPr>
              <w:t>Indicate the following ephemeris orbital parameter for the serving satellite:</w:t>
            </w:r>
            <w:r w:rsidRPr="00BF5057">
              <w:rPr>
                <w:rFonts w:eastAsia="Times New Roman"/>
                <w:color w:val="000000"/>
                <w:lang w:eastAsia="fr-FR"/>
              </w:rPr>
              <w:br/>
              <w:t xml:space="preserve">- Longitude of ascending node </w:t>
            </w:r>
            <w:r w:rsidRPr="00BF5057">
              <w:rPr>
                <w:rFonts w:eastAsia="Times New Roman"/>
                <w:color w:val="000000"/>
                <w:lang w:val="fr-FR" w:eastAsia="fr-FR"/>
              </w:rPr>
              <w:t>Ω</w:t>
            </w:r>
            <w:r w:rsidRPr="00BF5057">
              <w:rPr>
                <w:rFonts w:eastAsia="Times New Roman"/>
                <w:color w:val="000000"/>
                <w:lang w:eastAsia="fr-FR"/>
              </w:rPr>
              <w:t xml:space="preserve"> </w:t>
            </w:r>
            <w:r w:rsidR="0011533B">
              <w:rPr>
                <w:rFonts w:eastAsia="Times New Roman"/>
                <w:color w:val="000000"/>
                <w:lang w:eastAsia="fr-FR"/>
              </w:rPr>
              <w:t>(rad)</w:t>
            </w:r>
            <w:r w:rsidRPr="00BF5057">
              <w:rPr>
                <w:rFonts w:eastAsia="Times New Roman"/>
                <w:color w:val="000000"/>
                <w:lang w:eastAsia="fr-FR"/>
              </w:rPr>
              <w:t xml:space="preserve"> </w:t>
            </w:r>
          </w:p>
        </w:tc>
        <w:tc>
          <w:tcPr>
            <w:tcW w:w="422" w:type="pct"/>
            <w:tcBorders>
              <w:top w:val="nil"/>
              <w:left w:val="nil"/>
              <w:bottom w:val="single" w:sz="4" w:space="0" w:color="auto"/>
              <w:right w:val="single" w:sz="4" w:space="0" w:color="auto"/>
            </w:tcBorders>
            <w:shd w:val="clear" w:color="auto" w:fill="auto"/>
            <w:noWrap/>
            <w:vAlign w:val="center"/>
            <w:hideMark/>
          </w:tcPr>
          <w:p w14:paraId="54D7BF8C" w14:textId="7666BC04" w:rsidR="00BE5096" w:rsidRPr="0011533B" w:rsidRDefault="0011533B" w:rsidP="00BE5096">
            <w:pPr>
              <w:autoSpaceDE/>
              <w:autoSpaceDN/>
              <w:adjustRightInd/>
              <w:snapToGrid/>
              <w:spacing w:after="0"/>
              <w:jc w:val="left"/>
              <w:rPr>
                <w:rFonts w:eastAsia="Times New Roman"/>
                <w:color w:val="FF0000"/>
                <w:lang w:eastAsia="fr-FR"/>
              </w:rPr>
            </w:pPr>
            <w:r w:rsidRPr="0011533B">
              <w:rPr>
                <w:b/>
                <w:color w:val="FF0000"/>
                <w:lang w:eastAsia="zh-TW"/>
              </w:rPr>
              <w:t>[0…2π]</w:t>
            </w:r>
          </w:p>
        </w:tc>
        <w:tc>
          <w:tcPr>
            <w:tcW w:w="282" w:type="pct"/>
            <w:tcBorders>
              <w:top w:val="nil"/>
              <w:left w:val="nil"/>
              <w:bottom w:val="single" w:sz="4" w:space="0" w:color="auto"/>
              <w:right w:val="single" w:sz="4" w:space="0" w:color="auto"/>
            </w:tcBorders>
            <w:shd w:val="clear" w:color="auto" w:fill="auto"/>
            <w:noWrap/>
            <w:vAlign w:val="center"/>
            <w:hideMark/>
          </w:tcPr>
          <w:p w14:paraId="73DC4CE6" w14:textId="77777777" w:rsidR="00BE5096" w:rsidRPr="0011533B" w:rsidRDefault="00BE5096" w:rsidP="00BE5096">
            <w:pPr>
              <w:autoSpaceDE/>
              <w:autoSpaceDN/>
              <w:adjustRightInd/>
              <w:snapToGrid/>
              <w:spacing w:after="0"/>
              <w:jc w:val="left"/>
              <w:rPr>
                <w:rFonts w:eastAsia="Times New Roman"/>
                <w:color w:val="000000"/>
                <w:lang w:eastAsia="fr-FR"/>
              </w:rPr>
            </w:pPr>
            <w:r w:rsidRPr="0011533B">
              <w:rPr>
                <w:rFonts w:eastAsia="Times New Roman"/>
                <w:color w:val="000000"/>
                <w:lang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657F1B19" w14:textId="77777777" w:rsidR="00BE5096" w:rsidRPr="0011533B" w:rsidRDefault="00BE5096" w:rsidP="00BE5096">
            <w:pPr>
              <w:autoSpaceDE/>
              <w:autoSpaceDN/>
              <w:adjustRightInd/>
              <w:snapToGrid/>
              <w:spacing w:after="0"/>
              <w:jc w:val="left"/>
              <w:rPr>
                <w:rFonts w:eastAsia="Times New Roman"/>
                <w:color w:val="000000"/>
                <w:lang w:eastAsia="fr-FR"/>
              </w:rPr>
            </w:pPr>
            <w:r w:rsidRPr="0011533B">
              <w:rPr>
                <w:rFonts w:eastAsia="Times New Roman"/>
                <w:color w:val="000000"/>
                <w:lang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583F7E8C" w14:textId="77777777" w:rsidR="00BE5096" w:rsidRPr="0011533B" w:rsidRDefault="00BE5096" w:rsidP="00BE5096">
            <w:pPr>
              <w:autoSpaceDE/>
              <w:autoSpaceDN/>
              <w:adjustRightInd/>
              <w:snapToGrid/>
              <w:spacing w:after="0"/>
              <w:jc w:val="left"/>
              <w:rPr>
                <w:rFonts w:eastAsia="Times New Roman"/>
                <w:color w:val="000000"/>
                <w:lang w:eastAsia="fr-FR"/>
              </w:rPr>
            </w:pPr>
            <w:r w:rsidRPr="0011533B">
              <w:rPr>
                <w:rFonts w:eastAsia="Times New Roman"/>
                <w:color w:val="000000"/>
                <w:lang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16E6B35A" w14:textId="77777777" w:rsidR="00BE5096" w:rsidRPr="0011533B" w:rsidRDefault="00BE5096" w:rsidP="00BE5096">
            <w:pPr>
              <w:autoSpaceDE/>
              <w:autoSpaceDN/>
              <w:adjustRightInd/>
              <w:snapToGrid/>
              <w:spacing w:after="0"/>
              <w:jc w:val="left"/>
              <w:rPr>
                <w:rFonts w:eastAsia="Times New Roman"/>
                <w:color w:val="000000"/>
                <w:lang w:eastAsia="fr-FR"/>
              </w:rPr>
            </w:pPr>
            <w:r w:rsidRPr="0011533B">
              <w:rPr>
                <w:rFonts w:eastAsia="Times New Roman"/>
                <w:color w:val="000000"/>
                <w:lang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2B7B4C27" w14:textId="77777777" w:rsidR="00BE5096" w:rsidRPr="0011533B" w:rsidRDefault="00BE5096" w:rsidP="00BE5096">
            <w:pPr>
              <w:autoSpaceDE/>
              <w:autoSpaceDN/>
              <w:adjustRightInd/>
              <w:snapToGrid/>
              <w:spacing w:after="0"/>
              <w:jc w:val="left"/>
              <w:rPr>
                <w:rFonts w:eastAsia="Times New Roman"/>
                <w:color w:val="000000"/>
                <w:lang w:eastAsia="fr-FR"/>
              </w:rPr>
            </w:pPr>
            <w:r w:rsidRPr="0011533B">
              <w:rPr>
                <w:rFonts w:eastAsia="Times New Roman"/>
                <w:color w:val="000000"/>
                <w:lang w:eastAsia="fr-FR"/>
              </w:rPr>
              <w:t> </w:t>
            </w:r>
          </w:p>
        </w:tc>
        <w:tc>
          <w:tcPr>
            <w:tcW w:w="280" w:type="pct"/>
            <w:tcBorders>
              <w:top w:val="nil"/>
              <w:left w:val="nil"/>
              <w:bottom w:val="single" w:sz="4" w:space="0" w:color="auto"/>
              <w:right w:val="single" w:sz="4" w:space="0" w:color="auto"/>
            </w:tcBorders>
            <w:shd w:val="clear" w:color="auto" w:fill="auto"/>
            <w:noWrap/>
            <w:hideMark/>
          </w:tcPr>
          <w:p w14:paraId="34254072" w14:textId="2314A468" w:rsidR="00BE5096" w:rsidRPr="0011533B" w:rsidRDefault="00BE5096" w:rsidP="00BE5096">
            <w:pPr>
              <w:autoSpaceDE/>
              <w:autoSpaceDN/>
              <w:adjustRightInd/>
              <w:snapToGrid/>
              <w:spacing w:after="0"/>
              <w:jc w:val="left"/>
              <w:rPr>
                <w:rFonts w:eastAsia="Times New Roman"/>
                <w:color w:val="ED7D31"/>
                <w:lang w:eastAsia="fr-FR"/>
              </w:rPr>
            </w:pPr>
            <w:r w:rsidRPr="0011533B">
              <w:rPr>
                <w:rFonts w:eastAsia="Times New Roman"/>
                <w:color w:val="00B050"/>
                <w:lang w:eastAsia="fr-FR"/>
              </w:rPr>
              <w:t>New-stable</w:t>
            </w:r>
          </w:p>
        </w:tc>
      </w:tr>
      <w:tr w:rsidR="00BE5096" w:rsidRPr="00BF5057" w14:paraId="7EA5A664" w14:textId="77777777" w:rsidTr="006360A0">
        <w:trPr>
          <w:trHeight w:val="69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176B683D" w14:textId="77777777" w:rsidR="00BE5096" w:rsidRPr="0011533B" w:rsidRDefault="00BE5096" w:rsidP="00BE5096">
            <w:pPr>
              <w:autoSpaceDE/>
              <w:autoSpaceDN/>
              <w:adjustRightInd/>
              <w:snapToGrid/>
              <w:spacing w:after="0"/>
              <w:jc w:val="left"/>
              <w:rPr>
                <w:rFonts w:eastAsia="Times New Roman"/>
                <w:color w:val="000000"/>
                <w:lang w:eastAsia="fr-FR"/>
              </w:rPr>
            </w:pPr>
            <w:r w:rsidRPr="0011533B">
              <w:rPr>
                <w:rFonts w:eastAsia="Times New Roman"/>
                <w:color w:val="000000"/>
                <w:lang w:eastAsia="fr-FR"/>
              </w:rPr>
              <w:t>ServingSatelliteEphemerisInclinationI</w:t>
            </w:r>
          </w:p>
        </w:tc>
        <w:tc>
          <w:tcPr>
            <w:tcW w:w="455" w:type="pct"/>
            <w:tcBorders>
              <w:top w:val="nil"/>
              <w:left w:val="nil"/>
              <w:bottom w:val="single" w:sz="4" w:space="0" w:color="auto"/>
              <w:right w:val="single" w:sz="4" w:space="0" w:color="auto"/>
            </w:tcBorders>
            <w:shd w:val="clear" w:color="auto" w:fill="auto"/>
            <w:noWrap/>
            <w:vAlign w:val="center"/>
            <w:hideMark/>
          </w:tcPr>
          <w:p w14:paraId="0E8A9CF1" w14:textId="77777777" w:rsidR="00BE5096" w:rsidRPr="0011533B" w:rsidRDefault="00BE5096" w:rsidP="00BE5096">
            <w:pPr>
              <w:autoSpaceDE/>
              <w:autoSpaceDN/>
              <w:adjustRightInd/>
              <w:snapToGrid/>
              <w:spacing w:after="0"/>
              <w:jc w:val="left"/>
              <w:rPr>
                <w:rFonts w:eastAsia="Times New Roman"/>
                <w:color w:val="000000"/>
                <w:lang w:eastAsia="fr-FR"/>
              </w:rPr>
            </w:pPr>
            <w:r w:rsidRPr="0011533B">
              <w:rPr>
                <w:rFonts w:eastAsia="Times New Roman"/>
                <w:color w:val="000000"/>
                <w:lang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76B3868A" w14:textId="77777777" w:rsidR="00BE5096" w:rsidRPr="0011533B" w:rsidRDefault="00BE5096" w:rsidP="00BE5096">
            <w:pPr>
              <w:autoSpaceDE/>
              <w:autoSpaceDN/>
              <w:adjustRightInd/>
              <w:snapToGrid/>
              <w:spacing w:after="0"/>
              <w:jc w:val="left"/>
              <w:rPr>
                <w:rFonts w:eastAsia="Times New Roman"/>
                <w:color w:val="000000"/>
                <w:lang w:eastAsia="fr-FR"/>
              </w:rPr>
            </w:pPr>
            <w:r w:rsidRPr="0011533B">
              <w:rPr>
                <w:rFonts w:eastAsia="Times New Roman"/>
                <w:color w:val="000000"/>
                <w:lang w:eastAsia="fr-FR"/>
              </w:rPr>
              <w:t>ServingSatelliteEphemerisInclinationI</w:t>
            </w:r>
          </w:p>
        </w:tc>
        <w:tc>
          <w:tcPr>
            <w:tcW w:w="881" w:type="pct"/>
            <w:tcBorders>
              <w:top w:val="nil"/>
              <w:left w:val="nil"/>
              <w:bottom w:val="single" w:sz="4" w:space="0" w:color="auto"/>
              <w:right w:val="single" w:sz="4" w:space="0" w:color="auto"/>
            </w:tcBorders>
            <w:shd w:val="clear" w:color="auto" w:fill="auto"/>
            <w:vAlign w:val="center"/>
            <w:hideMark/>
          </w:tcPr>
          <w:p w14:paraId="603D56CA" w14:textId="2AE9FA96" w:rsidR="00BE5096" w:rsidRPr="00BF5057" w:rsidRDefault="00BE5096" w:rsidP="0011533B">
            <w:pPr>
              <w:autoSpaceDE/>
              <w:autoSpaceDN/>
              <w:adjustRightInd/>
              <w:snapToGrid/>
              <w:spacing w:after="0"/>
              <w:jc w:val="left"/>
              <w:rPr>
                <w:rFonts w:eastAsia="Times New Roman"/>
                <w:color w:val="000000"/>
                <w:lang w:eastAsia="fr-FR"/>
              </w:rPr>
            </w:pPr>
            <w:r w:rsidRPr="00BF5057">
              <w:rPr>
                <w:rFonts w:eastAsia="Times New Roman"/>
                <w:color w:val="000000"/>
                <w:lang w:eastAsia="fr-FR"/>
              </w:rPr>
              <w:t>Indicate the following ephemeris orbital parameter for the serving satellite:</w:t>
            </w:r>
            <w:r w:rsidRPr="00BF5057">
              <w:rPr>
                <w:rFonts w:eastAsia="Times New Roman"/>
                <w:color w:val="000000"/>
                <w:lang w:eastAsia="fr-FR"/>
              </w:rPr>
              <w:br/>
              <w:t>- Inclin</w:t>
            </w:r>
            <w:r w:rsidR="0011533B">
              <w:rPr>
                <w:rFonts w:eastAsia="Times New Roman"/>
                <w:color w:val="000000"/>
                <w:lang w:eastAsia="fr-FR"/>
              </w:rPr>
              <w:t>ation i (rad)</w:t>
            </w:r>
          </w:p>
        </w:tc>
        <w:tc>
          <w:tcPr>
            <w:tcW w:w="422" w:type="pct"/>
            <w:tcBorders>
              <w:top w:val="nil"/>
              <w:left w:val="nil"/>
              <w:bottom w:val="single" w:sz="4" w:space="0" w:color="auto"/>
              <w:right w:val="single" w:sz="4" w:space="0" w:color="auto"/>
            </w:tcBorders>
            <w:shd w:val="clear" w:color="auto" w:fill="auto"/>
            <w:noWrap/>
            <w:vAlign w:val="center"/>
            <w:hideMark/>
          </w:tcPr>
          <w:p w14:paraId="2C376A90" w14:textId="05E06212" w:rsidR="00BE5096" w:rsidRPr="0011533B" w:rsidRDefault="0011533B" w:rsidP="00BE5096">
            <w:pPr>
              <w:autoSpaceDE/>
              <w:autoSpaceDN/>
              <w:adjustRightInd/>
              <w:snapToGrid/>
              <w:spacing w:after="0"/>
              <w:jc w:val="left"/>
              <w:rPr>
                <w:rFonts w:eastAsia="Times New Roman"/>
                <w:color w:val="FF0000"/>
                <w:lang w:val="fr-FR" w:eastAsia="fr-FR"/>
              </w:rPr>
            </w:pPr>
            <w:r w:rsidRPr="0011533B">
              <w:rPr>
                <w:b/>
                <w:color w:val="FF0000"/>
                <w:lang w:eastAsia="zh-TW"/>
              </w:rPr>
              <w:t>[- π/2 , + π/2]</w:t>
            </w:r>
          </w:p>
        </w:tc>
        <w:tc>
          <w:tcPr>
            <w:tcW w:w="282" w:type="pct"/>
            <w:tcBorders>
              <w:top w:val="nil"/>
              <w:left w:val="nil"/>
              <w:bottom w:val="single" w:sz="4" w:space="0" w:color="auto"/>
              <w:right w:val="single" w:sz="4" w:space="0" w:color="auto"/>
            </w:tcBorders>
            <w:shd w:val="clear" w:color="auto" w:fill="auto"/>
            <w:noWrap/>
            <w:vAlign w:val="center"/>
            <w:hideMark/>
          </w:tcPr>
          <w:p w14:paraId="64FFCE5B"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449C742A"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412159CE"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377F18EA"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21EBA41F"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hideMark/>
          </w:tcPr>
          <w:p w14:paraId="68040E4E" w14:textId="50C5E1BC" w:rsidR="00BE5096" w:rsidRPr="00BF5057" w:rsidRDefault="00BE5096" w:rsidP="00BE5096">
            <w:pPr>
              <w:autoSpaceDE/>
              <w:autoSpaceDN/>
              <w:adjustRightInd/>
              <w:snapToGrid/>
              <w:spacing w:after="0"/>
              <w:jc w:val="left"/>
              <w:rPr>
                <w:rFonts w:eastAsia="Times New Roman"/>
                <w:color w:val="ED7D31"/>
                <w:lang w:val="fr-FR" w:eastAsia="fr-FR"/>
              </w:rPr>
            </w:pPr>
            <w:r w:rsidRPr="00A15430">
              <w:rPr>
                <w:rFonts w:eastAsia="Times New Roman"/>
                <w:color w:val="00B050"/>
                <w:lang w:val="fr-FR" w:eastAsia="fr-FR"/>
              </w:rPr>
              <w:t>New-stable</w:t>
            </w:r>
          </w:p>
        </w:tc>
      </w:tr>
      <w:tr w:rsidR="00BE5096" w:rsidRPr="00BF5057" w14:paraId="0DD3CDCF" w14:textId="77777777" w:rsidTr="006360A0">
        <w:trPr>
          <w:trHeight w:val="69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33ED4549"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ServingSatelliteEphemerisMeanAnomalyM</w:t>
            </w:r>
          </w:p>
        </w:tc>
        <w:tc>
          <w:tcPr>
            <w:tcW w:w="455" w:type="pct"/>
            <w:tcBorders>
              <w:top w:val="nil"/>
              <w:left w:val="nil"/>
              <w:bottom w:val="single" w:sz="4" w:space="0" w:color="auto"/>
              <w:right w:val="single" w:sz="4" w:space="0" w:color="auto"/>
            </w:tcBorders>
            <w:shd w:val="clear" w:color="auto" w:fill="auto"/>
            <w:noWrap/>
            <w:vAlign w:val="center"/>
            <w:hideMark/>
          </w:tcPr>
          <w:p w14:paraId="3087DE35"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6764652D"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ServingSatelliteEphemerisMeanAnomalyM</w:t>
            </w:r>
          </w:p>
        </w:tc>
        <w:tc>
          <w:tcPr>
            <w:tcW w:w="881" w:type="pct"/>
            <w:tcBorders>
              <w:top w:val="nil"/>
              <w:left w:val="nil"/>
              <w:bottom w:val="single" w:sz="4" w:space="0" w:color="auto"/>
              <w:right w:val="single" w:sz="4" w:space="0" w:color="auto"/>
            </w:tcBorders>
            <w:shd w:val="clear" w:color="auto" w:fill="auto"/>
            <w:vAlign w:val="center"/>
            <w:hideMark/>
          </w:tcPr>
          <w:p w14:paraId="118A6BF5" w14:textId="30AA5878" w:rsidR="00BE5096" w:rsidRPr="00BF5057" w:rsidRDefault="00BE5096" w:rsidP="0011533B">
            <w:pPr>
              <w:autoSpaceDE/>
              <w:autoSpaceDN/>
              <w:adjustRightInd/>
              <w:snapToGrid/>
              <w:spacing w:after="0"/>
              <w:jc w:val="left"/>
              <w:rPr>
                <w:rFonts w:eastAsia="Times New Roman"/>
                <w:color w:val="000000"/>
                <w:lang w:eastAsia="fr-FR"/>
              </w:rPr>
            </w:pPr>
            <w:r w:rsidRPr="00BF5057">
              <w:rPr>
                <w:rFonts w:eastAsia="Times New Roman"/>
                <w:color w:val="000000"/>
                <w:lang w:eastAsia="fr-FR"/>
              </w:rPr>
              <w:t>Indicate the following ephemeris orbital parameter for the serving satellite:</w:t>
            </w:r>
            <w:r w:rsidRPr="00BF5057">
              <w:rPr>
                <w:rFonts w:eastAsia="Times New Roman"/>
                <w:color w:val="000000"/>
                <w:lang w:eastAsia="fr-FR"/>
              </w:rPr>
              <w:br/>
              <w:t xml:space="preserve">- Mean anomaly M </w:t>
            </w:r>
            <w:r w:rsidR="0011533B">
              <w:rPr>
                <w:rFonts w:eastAsia="Times New Roman"/>
                <w:color w:val="000000"/>
                <w:lang w:eastAsia="fr-FR"/>
              </w:rPr>
              <w:t>(</w:t>
            </w:r>
            <w:r w:rsidRPr="00BF5057">
              <w:rPr>
                <w:rFonts w:eastAsia="Times New Roman"/>
                <w:color w:val="000000"/>
                <w:lang w:eastAsia="fr-FR"/>
              </w:rPr>
              <w:t>rad</w:t>
            </w:r>
            <w:r w:rsidR="0011533B">
              <w:rPr>
                <w:rFonts w:eastAsia="Times New Roman"/>
                <w:color w:val="000000"/>
                <w:lang w:eastAsia="fr-FR"/>
              </w:rPr>
              <w:t>)</w:t>
            </w:r>
            <w:r w:rsidRPr="00BF5057">
              <w:rPr>
                <w:rFonts w:eastAsia="Times New Roman"/>
                <w:color w:val="000000"/>
                <w:lang w:eastAsia="fr-FR"/>
              </w:rPr>
              <w:t xml:space="preserve"> at epoch time to</w:t>
            </w:r>
          </w:p>
        </w:tc>
        <w:tc>
          <w:tcPr>
            <w:tcW w:w="422" w:type="pct"/>
            <w:tcBorders>
              <w:top w:val="nil"/>
              <w:left w:val="nil"/>
              <w:bottom w:val="single" w:sz="4" w:space="0" w:color="auto"/>
              <w:right w:val="single" w:sz="4" w:space="0" w:color="auto"/>
            </w:tcBorders>
            <w:shd w:val="clear" w:color="auto" w:fill="auto"/>
            <w:noWrap/>
            <w:vAlign w:val="center"/>
            <w:hideMark/>
          </w:tcPr>
          <w:p w14:paraId="065C4C1B" w14:textId="77777777" w:rsidR="00BE5096" w:rsidRPr="0011533B" w:rsidRDefault="00BE5096" w:rsidP="00BE5096">
            <w:pPr>
              <w:autoSpaceDE/>
              <w:autoSpaceDN/>
              <w:adjustRightInd/>
              <w:snapToGrid/>
              <w:spacing w:after="0"/>
              <w:jc w:val="left"/>
              <w:rPr>
                <w:rFonts w:eastAsia="Times New Roman"/>
                <w:color w:val="FF0000"/>
                <w:lang w:val="fr-FR" w:eastAsia="fr-FR"/>
              </w:rPr>
            </w:pPr>
            <w:r w:rsidRPr="0011533B">
              <w:rPr>
                <w:rFonts w:eastAsia="Times New Roman"/>
                <w:color w:val="FF0000"/>
                <w:lang w:val="fr-FR" w:eastAsia="fr-FR"/>
              </w:rPr>
              <w:t>[0… 2π]</w:t>
            </w:r>
          </w:p>
        </w:tc>
        <w:tc>
          <w:tcPr>
            <w:tcW w:w="282" w:type="pct"/>
            <w:tcBorders>
              <w:top w:val="nil"/>
              <w:left w:val="nil"/>
              <w:bottom w:val="single" w:sz="4" w:space="0" w:color="auto"/>
              <w:right w:val="single" w:sz="4" w:space="0" w:color="auto"/>
            </w:tcBorders>
            <w:shd w:val="clear" w:color="auto" w:fill="auto"/>
            <w:noWrap/>
            <w:vAlign w:val="center"/>
            <w:hideMark/>
          </w:tcPr>
          <w:p w14:paraId="1DE060D5"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noWrap/>
            <w:vAlign w:val="center"/>
            <w:hideMark/>
          </w:tcPr>
          <w:p w14:paraId="43EF879F"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5732BA19"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501A3B08"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1957759B" w14:textId="77777777" w:rsidR="00BE5096" w:rsidRPr="00BF5057" w:rsidRDefault="00BE5096" w:rsidP="00BE5096">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hideMark/>
          </w:tcPr>
          <w:p w14:paraId="4B476AAA" w14:textId="7399AD64" w:rsidR="00BE5096" w:rsidRPr="00BF5057" w:rsidRDefault="00BE5096" w:rsidP="00BE5096">
            <w:pPr>
              <w:autoSpaceDE/>
              <w:autoSpaceDN/>
              <w:adjustRightInd/>
              <w:snapToGrid/>
              <w:spacing w:after="0"/>
              <w:jc w:val="left"/>
              <w:rPr>
                <w:rFonts w:eastAsia="Times New Roman"/>
                <w:color w:val="ED7D31"/>
                <w:lang w:val="fr-FR" w:eastAsia="fr-FR"/>
              </w:rPr>
            </w:pPr>
            <w:r w:rsidRPr="00A15430">
              <w:rPr>
                <w:rFonts w:eastAsia="Times New Roman"/>
                <w:color w:val="00B050"/>
                <w:lang w:val="fr-FR" w:eastAsia="fr-FR"/>
              </w:rPr>
              <w:t>New-stable</w:t>
            </w:r>
          </w:p>
        </w:tc>
      </w:tr>
      <w:tr w:rsidR="002D6400" w:rsidRPr="00BF5057" w14:paraId="33A89F77" w14:textId="77777777" w:rsidTr="002D6400">
        <w:trPr>
          <w:trHeight w:val="115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118B2DB5" w14:textId="43A44696" w:rsidR="002D6400" w:rsidRPr="00BF5057" w:rsidRDefault="002D6400" w:rsidP="00A605E4">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ntn</w:t>
            </w:r>
            <w:r w:rsidR="00A605E4">
              <w:rPr>
                <w:rFonts w:eastAsia="Times New Roman"/>
                <w:color w:val="000000"/>
                <w:lang w:val="fr-FR" w:eastAsia="fr-FR"/>
              </w:rPr>
              <w:t>UlSync</w:t>
            </w:r>
            <w:r w:rsidRPr="00BF5057">
              <w:rPr>
                <w:rFonts w:eastAsia="Times New Roman"/>
                <w:color w:val="000000"/>
                <w:lang w:val="fr-FR" w:eastAsia="fr-FR"/>
              </w:rPr>
              <w:t>ValidityDuration</w:t>
            </w:r>
          </w:p>
        </w:tc>
        <w:tc>
          <w:tcPr>
            <w:tcW w:w="455" w:type="pct"/>
            <w:tcBorders>
              <w:top w:val="nil"/>
              <w:left w:val="nil"/>
              <w:bottom w:val="single" w:sz="4" w:space="0" w:color="auto"/>
              <w:right w:val="single" w:sz="4" w:space="0" w:color="auto"/>
            </w:tcBorders>
            <w:shd w:val="clear" w:color="auto" w:fill="auto"/>
            <w:noWrap/>
            <w:vAlign w:val="center"/>
            <w:hideMark/>
          </w:tcPr>
          <w:p w14:paraId="23653260" w14:textId="77777777" w:rsidR="002D6400" w:rsidRPr="00BF5057" w:rsidRDefault="002D6400" w:rsidP="002D6400">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New</w:t>
            </w:r>
          </w:p>
        </w:tc>
        <w:tc>
          <w:tcPr>
            <w:tcW w:w="711" w:type="pct"/>
            <w:tcBorders>
              <w:top w:val="nil"/>
              <w:left w:val="nil"/>
              <w:bottom w:val="single" w:sz="4" w:space="0" w:color="auto"/>
              <w:right w:val="single" w:sz="4" w:space="0" w:color="auto"/>
            </w:tcBorders>
            <w:shd w:val="clear" w:color="auto" w:fill="auto"/>
            <w:noWrap/>
            <w:vAlign w:val="center"/>
            <w:hideMark/>
          </w:tcPr>
          <w:p w14:paraId="7C4A5A7F" w14:textId="6992D619" w:rsidR="002D6400" w:rsidRPr="00BF5057" w:rsidRDefault="00A605E4" w:rsidP="002D6400">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ntn</w:t>
            </w:r>
            <w:r>
              <w:rPr>
                <w:rFonts w:eastAsia="Times New Roman"/>
                <w:color w:val="000000"/>
                <w:lang w:val="fr-FR" w:eastAsia="fr-FR"/>
              </w:rPr>
              <w:t>UlSync</w:t>
            </w:r>
            <w:r w:rsidRPr="00BF5057">
              <w:rPr>
                <w:rFonts w:eastAsia="Times New Roman"/>
                <w:color w:val="000000"/>
                <w:lang w:val="fr-FR" w:eastAsia="fr-FR"/>
              </w:rPr>
              <w:t>ValidityDuration</w:t>
            </w:r>
          </w:p>
        </w:tc>
        <w:tc>
          <w:tcPr>
            <w:tcW w:w="881" w:type="pct"/>
            <w:tcBorders>
              <w:top w:val="nil"/>
              <w:left w:val="nil"/>
              <w:bottom w:val="single" w:sz="4" w:space="0" w:color="auto"/>
              <w:right w:val="single" w:sz="4" w:space="0" w:color="auto"/>
            </w:tcBorders>
            <w:shd w:val="clear" w:color="auto" w:fill="auto"/>
            <w:vAlign w:val="center"/>
            <w:hideMark/>
          </w:tcPr>
          <w:p w14:paraId="4B7EC13B" w14:textId="21CEB921" w:rsidR="002D6400" w:rsidRPr="00BF5057" w:rsidRDefault="002D6400" w:rsidP="00A605E4">
            <w:pPr>
              <w:autoSpaceDE/>
              <w:autoSpaceDN/>
              <w:adjustRightInd/>
              <w:snapToGrid/>
              <w:spacing w:after="0"/>
              <w:jc w:val="left"/>
              <w:rPr>
                <w:rFonts w:eastAsia="Times New Roman"/>
                <w:color w:val="000000"/>
                <w:lang w:val="fr-FR" w:eastAsia="fr-FR"/>
              </w:rPr>
            </w:pPr>
            <w:r w:rsidRPr="00BF5057">
              <w:rPr>
                <w:rFonts w:eastAsia="Times New Roman"/>
                <w:color w:val="000000"/>
                <w:lang w:eastAsia="fr-FR"/>
              </w:rPr>
              <w:t>A validity duration configured by the network for satellite ephemeris data which indicates the maximum time during which the UE can apply the satellite ephemeris without having acquired new satellite ephemeris.</w:t>
            </w:r>
            <w:r w:rsidRPr="00BF5057">
              <w:rPr>
                <w:rFonts w:eastAsia="Times New Roman"/>
                <w:color w:val="000000"/>
                <w:lang w:eastAsia="fr-FR"/>
              </w:rPr>
              <w:br/>
            </w:r>
            <w:r w:rsidRPr="00A605E4">
              <w:rPr>
                <w:rFonts w:eastAsia="Times New Roman"/>
                <w:color w:val="FF0000"/>
                <w:lang w:val="fr-FR" w:eastAsia="fr-FR"/>
              </w:rPr>
              <w:t xml:space="preserve">The unit of </w:t>
            </w:r>
            <w:r w:rsidR="00A605E4" w:rsidRPr="00A605E4">
              <w:rPr>
                <w:rFonts w:eastAsia="Times New Roman"/>
                <w:color w:val="FF0000"/>
                <w:lang w:val="fr-FR" w:eastAsia="fr-FR"/>
              </w:rPr>
              <w:t>ntnUlSyncValidityDuration</w:t>
            </w:r>
            <w:r w:rsidRPr="00A605E4">
              <w:rPr>
                <w:rFonts w:eastAsia="Times New Roman"/>
                <w:color w:val="FF0000"/>
                <w:lang w:val="fr-FR" w:eastAsia="fr-FR"/>
              </w:rPr>
              <w:t xml:space="preserve"> is </w:t>
            </w:r>
            <w:r w:rsidR="00A605E4" w:rsidRPr="00A605E4">
              <w:rPr>
                <w:rFonts w:eastAsia="Times New Roman"/>
                <w:color w:val="FF0000"/>
                <w:lang w:val="fr-FR" w:eastAsia="fr-FR"/>
              </w:rPr>
              <w:t>Second</w:t>
            </w:r>
          </w:p>
        </w:tc>
        <w:tc>
          <w:tcPr>
            <w:tcW w:w="422" w:type="pct"/>
            <w:tcBorders>
              <w:top w:val="nil"/>
              <w:left w:val="nil"/>
              <w:bottom w:val="single" w:sz="4" w:space="0" w:color="auto"/>
              <w:right w:val="single" w:sz="4" w:space="0" w:color="auto"/>
            </w:tcBorders>
            <w:shd w:val="clear" w:color="auto" w:fill="auto"/>
            <w:noWrap/>
            <w:vAlign w:val="center"/>
            <w:hideMark/>
          </w:tcPr>
          <w:p w14:paraId="0C6D67C8" w14:textId="77777777" w:rsidR="00A605E4" w:rsidRPr="00A605E4" w:rsidRDefault="00A605E4" w:rsidP="00A605E4">
            <w:pPr>
              <w:pStyle w:val="Doc-text2"/>
              <w:tabs>
                <w:tab w:val="left" w:pos="1622"/>
              </w:tabs>
              <w:spacing w:line="276" w:lineRule="auto"/>
              <w:ind w:left="0" w:firstLine="0"/>
              <w:rPr>
                <w:rFonts w:ascii="Times New Roman" w:eastAsia="+mn-ea" w:hAnsi="Times New Roman" w:cs="Times New Roman"/>
                <w:b/>
                <w:color w:val="FF0000"/>
                <w:kern w:val="24"/>
                <w:lang w:val="en-GB"/>
              </w:rPr>
            </w:pPr>
            <w:r w:rsidRPr="00A605E4">
              <w:rPr>
                <w:rFonts w:ascii="Times New Roman" w:hAnsi="Times New Roman" w:cs="Times New Roman"/>
                <w:b/>
                <w:color w:val="FF0000"/>
              </w:rPr>
              <w:t xml:space="preserve">{ 5, 10, 15, 20, 25, 30, 35, 40, 45, 50, 55, 60, 120, 180, 240, </w:t>
            </w:r>
            <w:r w:rsidRPr="00A605E4">
              <w:rPr>
                <w:rFonts w:ascii="Times New Roman" w:hAnsi="Times New Roman" w:cs="Times New Roman"/>
                <w:b/>
                <w:color w:val="FF0000"/>
                <w:lang w:val="fr-FR"/>
              </w:rPr>
              <w:t>Infinity</w:t>
            </w:r>
            <w:r w:rsidRPr="00A605E4">
              <w:rPr>
                <w:rFonts w:ascii="Times New Roman" w:eastAsia="+mn-ea" w:hAnsi="Times New Roman" w:cs="Times New Roman"/>
                <w:b/>
                <w:color w:val="FF0000"/>
                <w:kern w:val="24"/>
                <w:lang w:val="en-GB"/>
              </w:rPr>
              <w:t>}</w:t>
            </w:r>
          </w:p>
          <w:p w14:paraId="58C7E174" w14:textId="321C8D81" w:rsidR="002D6400" w:rsidRPr="00BF5057" w:rsidRDefault="002D6400" w:rsidP="002D6400">
            <w:pPr>
              <w:autoSpaceDE/>
              <w:autoSpaceDN/>
              <w:adjustRightInd/>
              <w:snapToGrid/>
              <w:spacing w:after="0"/>
              <w:jc w:val="left"/>
              <w:rPr>
                <w:rFonts w:eastAsia="Times New Roman"/>
                <w:color w:val="000000"/>
                <w:lang w:val="fr-FR" w:eastAsia="fr-FR"/>
              </w:rPr>
            </w:pPr>
          </w:p>
        </w:tc>
        <w:tc>
          <w:tcPr>
            <w:tcW w:w="282" w:type="pct"/>
            <w:tcBorders>
              <w:top w:val="nil"/>
              <w:left w:val="nil"/>
              <w:bottom w:val="single" w:sz="4" w:space="0" w:color="auto"/>
              <w:right w:val="single" w:sz="4" w:space="0" w:color="auto"/>
            </w:tcBorders>
            <w:shd w:val="clear" w:color="auto" w:fill="auto"/>
            <w:noWrap/>
            <w:vAlign w:val="center"/>
            <w:hideMark/>
          </w:tcPr>
          <w:p w14:paraId="072103FF" w14:textId="77777777" w:rsidR="002D6400" w:rsidRPr="00BF5057" w:rsidRDefault="002D6400" w:rsidP="002D6400">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47" w:type="pct"/>
            <w:tcBorders>
              <w:top w:val="nil"/>
              <w:left w:val="nil"/>
              <w:bottom w:val="single" w:sz="4" w:space="0" w:color="auto"/>
              <w:right w:val="single" w:sz="4" w:space="0" w:color="auto"/>
            </w:tcBorders>
            <w:shd w:val="clear" w:color="auto" w:fill="auto"/>
            <w:vAlign w:val="center"/>
            <w:hideMark/>
          </w:tcPr>
          <w:p w14:paraId="18A313D9" w14:textId="0202FE94" w:rsidR="002D6400" w:rsidRPr="00BF5057" w:rsidRDefault="002D6400" w:rsidP="00A605E4">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br/>
            </w:r>
            <w:r w:rsidR="00A605E4" w:rsidRPr="00A605E4">
              <w:rPr>
                <w:rFonts w:eastAsia="Times New Roman"/>
                <w:color w:val="FF0000"/>
                <w:lang w:val="fr-FR" w:eastAsia="fr-FR"/>
              </w:rPr>
              <w:t>cell</w:t>
            </w:r>
          </w:p>
        </w:tc>
        <w:tc>
          <w:tcPr>
            <w:tcW w:w="282" w:type="pct"/>
            <w:tcBorders>
              <w:top w:val="nil"/>
              <w:left w:val="nil"/>
              <w:bottom w:val="single" w:sz="4" w:space="0" w:color="auto"/>
              <w:right w:val="single" w:sz="4" w:space="0" w:color="auto"/>
            </w:tcBorders>
            <w:shd w:val="clear" w:color="auto" w:fill="auto"/>
            <w:noWrap/>
            <w:vAlign w:val="center"/>
            <w:hideMark/>
          </w:tcPr>
          <w:p w14:paraId="433D26E0" w14:textId="77777777" w:rsidR="002D6400" w:rsidRPr="00BF5057" w:rsidRDefault="002D6400" w:rsidP="002D6400">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Cell-specific</w:t>
            </w:r>
          </w:p>
        </w:tc>
        <w:tc>
          <w:tcPr>
            <w:tcW w:w="361" w:type="pct"/>
            <w:tcBorders>
              <w:top w:val="nil"/>
              <w:left w:val="nil"/>
              <w:bottom w:val="single" w:sz="4" w:space="0" w:color="auto"/>
              <w:right w:val="single" w:sz="4" w:space="0" w:color="auto"/>
            </w:tcBorders>
            <w:shd w:val="clear" w:color="auto" w:fill="auto"/>
            <w:noWrap/>
            <w:vAlign w:val="center"/>
            <w:hideMark/>
          </w:tcPr>
          <w:p w14:paraId="1C093E50" w14:textId="77777777" w:rsidR="002D6400" w:rsidRPr="00BF5057" w:rsidRDefault="002D6400" w:rsidP="002D6400">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38.331</w:t>
            </w:r>
          </w:p>
        </w:tc>
        <w:tc>
          <w:tcPr>
            <w:tcW w:w="625" w:type="pct"/>
            <w:tcBorders>
              <w:top w:val="nil"/>
              <w:left w:val="nil"/>
              <w:bottom w:val="single" w:sz="4" w:space="0" w:color="auto"/>
              <w:right w:val="single" w:sz="4" w:space="0" w:color="auto"/>
            </w:tcBorders>
            <w:shd w:val="clear" w:color="auto" w:fill="auto"/>
            <w:noWrap/>
            <w:vAlign w:val="center"/>
            <w:hideMark/>
          </w:tcPr>
          <w:p w14:paraId="29A83BDC" w14:textId="77777777" w:rsidR="002D6400" w:rsidRPr="00BF5057" w:rsidRDefault="002D6400" w:rsidP="002D6400">
            <w:pPr>
              <w:autoSpaceDE/>
              <w:autoSpaceDN/>
              <w:adjustRightInd/>
              <w:snapToGrid/>
              <w:spacing w:after="0"/>
              <w:jc w:val="left"/>
              <w:rPr>
                <w:rFonts w:eastAsia="Times New Roman"/>
                <w:color w:val="000000"/>
                <w:lang w:val="fr-FR" w:eastAsia="fr-FR"/>
              </w:rPr>
            </w:pPr>
            <w:r w:rsidRPr="00BF5057">
              <w:rPr>
                <w:rFonts w:eastAsia="Times New Roman"/>
                <w:color w:val="000000"/>
                <w:lang w:val="fr-FR" w:eastAsia="fr-FR"/>
              </w:rPr>
              <w:t> </w:t>
            </w:r>
          </w:p>
        </w:tc>
        <w:tc>
          <w:tcPr>
            <w:tcW w:w="280" w:type="pct"/>
            <w:tcBorders>
              <w:top w:val="nil"/>
              <w:left w:val="nil"/>
              <w:bottom w:val="single" w:sz="4" w:space="0" w:color="auto"/>
              <w:right w:val="single" w:sz="4" w:space="0" w:color="auto"/>
            </w:tcBorders>
            <w:shd w:val="clear" w:color="auto" w:fill="auto"/>
            <w:noWrap/>
            <w:vAlign w:val="bottom"/>
            <w:hideMark/>
          </w:tcPr>
          <w:p w14:paraId="360D34A0" w14:textId="4EDDE9DA" w:rsidR="002D6400" w:rsidRPr="00BF5057" w:rsidRDefault="00A605E4" w:rsidP="002D6400">
            <w:pPr>
              <w:autoSpaceDE/>
              <w:autoSpaceDN/>
              <w:adjustRightInd/>
              <w:snapToGrid/>
              <w:spacing w:after="0"/>
              <w:jc w:val="left"/>
              <w:rPr>
                <w:rFonts w:eastAsia="Times New Roman"/>
                <w:color w:val="ED7D31"/>
                <w:lang w:val="fr-FR" w:eastAsia="fr-FR"/>
              </w:rPr>
            </w:pPr>
            <w:r w:rsidRPr="00A15430">
              <w:rPr>
                <w:rFonts w:eastAsia="Times New Roman"/>
                <w:color w:val="00B050"/>
                <w:lang w:val="fr-FR" w:eastAsia="fr-FR"/>
              </w:rPr>
              <w:t>New-stable</w:t>
            </w:r>
          </w:p>
        </w:tc>
      </w:tr>
    </w:tbl>
    <w:p w14:paraId="0E191548" w14:textId="77777777" w:rsidR="00576409" w:rsidRPr="00E61DEB" w:rsidRDefault="00576409" w:rsidP="003B5392"/>
    <w:p w14:paraId="06BC59AD" w14:textId="77777777" w:rsidR="007D253F" w:rsidRPr="00E61DEB" w:rsidRDefault="007D253F" w:rsidP="007D253F"/>
    <w:p w14:paraId="06BC59AE" w14:textId="77777777" w:rsidR="00DD15F7" w:rsidRPr="00E61DEB" w:rsidRDefault="00DD15F7" w:rsidP="000A6FE4">
      <w:pPr>
        <w:pStyle w:val="Titre2"/>
        <w:rPr>
          <w:sz w:val="22"/>
        </w:rPr>
      </w:pPr>
      <w:bookmarkStart w:id="12" w:name="_Toc82188769"/>
      <w:r w:rsidRPr="00E61DEB">
        <w:rPr>
          <w:sz w:val="22"/>
        </w:rPr>
        <w:lastRenderedPageBreak/>
        <w:t>Company views</w:t>
      </w:r>
      <w:bookmarkEnd w:id="12"/>
      <w:r w:rsidRPr="00E61DEB">
        <w:rPr>
          <w:sz w:val="22"/>
        </w:rPr>
        <w:t xml:space="preserve"> </w:t>
      </w:r>
    </w:p>
    <w:p w14:paraId="06BC59AF" w14:textId="25BE1FD3" w:rsidR="003B5392" w:rsidRPr="00E61DEB" w:rsidRDefault="003B5392" w:rsidP="003B5392">
      <w:pPr>
        <w:pStyle w:val="DraftProposal"/>
        <w:numPr>
          <w:ilvl w:val="0"/>
          <w:numId w:val="0"/>
        </w:numPr>
        <w:rPr>
          <w:rFonts w:ascii="Times New Roman" w:hAnsi="Times New Roman" w:cs="Times New Roman"/>
        </w:rPr>
      </w:pPr>
      <w:r w:rsidRPr="00E61DEB">
        <w:rPr>
          <w:rFonts w:ascii="Times New Roman" w:eastAsiaTheme="minorEastAsia" w:hAnsi="Times New Roman" w:cs="Times New Roman"/>
          <w:bCs w:val="0"/>
          <w:highlight w:val="yellow"/>
        </w:rPr>
        <w:t>C</w:t>
      </w:r>
      <w:r w:rsidRPr="00E61DEB">
        <w:rPr>
          <w:rFonts w:ascii="Times New Roman" w:hAnsi="Times New Roman" w:cs="Times New Roman"/>
          <w:highlight w:val="yellow"/>
        </w:rPr>
        <w:t>ompanies are encouraged to provide comm</w:t>
      </w:r>
      <w:r w:rsidR="0030359E" w:rsidRPr="00E61DEB">
        <w:rPr>
          <w:rFonts w:ascii="Times New Roman" w:hAnsi="Times New Roman" w:cs="Times New Roman"/>
          <w:highlight w:val="yellow"/>
        </w:rPr>
        <w:t>ents on RRC parameters</w:t>
      </w:r>
      <w:r w:rsidR="004F66CC" w:rsidRPr="00E61DEB">
        <w:rPr>
          <w:rFonts w:ascii="Times New Roman" w:hAnsi="Times New Roman" w:cs="Times New Roman"/>
          <w:highlight w:val="yellow"/>
        </w:rPr>
        <w:t xml:space="preserve"> list</w:t>
      </w:r>
      <w:r w:rsidR="0030359E" w:rsidRPr="00E61DEB">
        <w:rPr>
          <w:rFonts w:ascii="Times New Roman" w:hAnsi="Times New Roman" w:cs="Times New Roman"/>
          <w:highlight w:val="yellow"/>
        </w:rPr>
        <w:t xml:space="preserve"> (section 3.1):</w:t>
      </w:r>
    </w:p>
    <w:p w14:paraId="4710BF4A" w14:textId="77777777" w:rsidR="0030359E" w:rsidRPr="00E61DEB" w:rsidRDefault="0030359E" w:rsidP="0030359E"/>
    <w:tbl>
      <w:tblPr>
        <w:tblStyle w:val="Grilledutableau"/>
        <w:tblW w:w="4973" w:type="pct"/>
        <w:tblLook w:val="04A0" w:firstRow="1" w:lastRow="0" w:firstColumn="1" w:lastColumn="0" w:noHBand="0" w:noVBand="1"/>
      </w:tblPr>
      <w:tblGrid>
        <w:gridCol w:w="3662"/>
        <w:gridCol w:w="16347"/>
      </w:tblGrid>
      <w:tr w:rsidR="003B5392" w:rsidRPr="00E61DEB" w14:paraId="06BC59B2" w14:textId="77777777" w:rsidTr="003D5F4F">
        <w:tc>
          <w:tcPr>
            <w:tcW w:w="915" w:type="pct"/>
            <w:shd w:val="clear" w:color="auto" w:fill="00B0F0"/>
          </w:tcPr>
          <w:p w14:paraId="06BC59B0" w14:textId="77777777" w:rsidR="003B5392" w:rsidRPr="00E61DEB" w:rsidRDefault="003B5392" w:rsidP="006612F0">
            <w:pPr>
              <w:rPr>
                <w:b/>
                <w:color w:val="FFFFFF" w:themeColor="background1"/>
              </w:rPr>
            </w:pPr>
            <w:r w:rsidRPr="00E61DEB">
              <w:rPr>
                <w:b/>
                <w:color w:val="FFFFFF" w:themeColor="background1"/>
              </w:rPr>
              <w:t>Companies</w:t>
            </w:r>
          </w:p>
        </w:tc>
        <w:tc>
          <w:tcPr>
            <w:tcW w:w="4085" w:type="pct"/>
            <w:shd w:val="clear" w:color="auto" w:fill="00B0F0"/>
          </w:tcPr>
          <w:p w14:paraId="06BC59B1" w14:textId="77777777" w:rsidR="003B5392" w:rsidRPr="00E61DEB" w:rsidRDefault="003B5392" w:rsidP="006612F0">
            <w:pPr>
              <w:rPr>
                <w:b/>
                <w:color w:val="FFFFFF" w:themeColor="background1"/>
              </w:rPr>
            </w:pPr>
            <w:r w:rsidRPr="00E61DEB">
              <w:rPr>
                <w:b/>
                <w:color w:val="FFFFFF" w:themeColor="background1"/>
              </w:rPr>
              <w:t xml:space="preserve">Comments </w:t>
            </w:r>
          </w:p>
        </w:tc>
      </w:tr>
      <w:tr w:rsidR="00E01387" w:rsidRPr="00E61DEB" w14:paraId="06BC59BB" w14:textId="77777777" w:rsidTr="003D5F4F">
        <w:tc>
          <w:tcPr>
            <w:tcW w:w="915" w:type="pct"/>
          </w:tcPr>
          <w:p w14:paraId="06BC59B9" w14:textId="52AAF929" w:rsidR="00E01387" w:rsidRPr="00E61DEB" w:rsidRDefault="00E01387" w:rsidP="00E01387">
            <w:pPr>
              <w:rPr>
                <w:bCs/>
                <w:lang w:eastAsia="zh-CN"/>
              </w:rPr>
            </w:pPr>
            <w:r>
              <w:rPr>
                <w:rFonts w:eastAsia="Malgun Gothic"/>
                <w:bCs/>
                <w:lang w:eastAsia="ko-KR"/>
              </w:rPr>
              <w:t>Ericsson</w:t>
            </w:r>
          </w:p>
        </w:tc>
        <w:tc>
          <w:tcPr>
            <w:tcW w:w="4085" w:type="pct"/>
          </w:tcPr>
          <w:p w14:paraId="7A395122" w14:textId="77777777" w:rsidR="00D161C6" w:rsidRDefault="00E01387" w:rsidP="00D161C6">
            <w:pPr>
              <w:rPr>
                <w:rFonts w:ascii="Calibri" w:hAnsi="Calibri" w:cs="Calibri"/>
              </w:rPr>
            </w:pPr>
            <w:r>
              <w:rPr>
                <w:color w:val="000000"/>
              </w:rPr>
              <w:t>ntnUlSyncValidityDuration should reflect that the validity duration is used for both serving satellite ephemeris and Common TA. Right now it only mentions satellite ephemeris.</w:t>
            </w:r>
            <w:r w:rsidR="00D161C6">
              <w:rPr>
                <w:color w:val="000000"/>
              </w:rPr>
              <w:t xml:space="preserve"> </w:t>
            </w:r>
            <w:r w:rsidR="00D161C6">
              <w:rPr>
                <w:rFonts w:ascii="Calibri" w:hAnsi="Calibri" w:cs="Calibri"/>
              </w:rPr>
              <w:t>the epoch time should be listed as an RRC parameter? I.e., the SFN+subframe number that are indicated. Or is that just reuse of existing parameters?</w:t>
            </w:r>
          </w:p>
          <w:p w14:paraId="06BC59BA" w14:textId="5466491D" w:rsidR="00E01387" w:rsidRPr="00E61DEB" w:rsidRDefault="00E01387" w:rsidP="00E01387">
            <w:pPr>
              <w:rPr>
                <w:bCs/>
                <w:lang w:eastAsia="zh-CN"/>
              </w:rPr>
            </w:pPr>
          </w:p>
        </w:tc>
      </w:tr>
      <w:tr w:rsidR="00E01387" w:rsidRPr="00E61DEB" w14:paraId="06BC59BE" w14:textId="77777777" w:rsidTr="003D5F4F">
        <w:tc>
          <w:tcPr>
            <w:tcW w:w="915" w:type="pct"/>
          </w:tcPr>
          <w:p w14:paraId="06BC59BC" w14:textId="6870EBCC" w:rsidR="00E01387" w:rsidRPr="00E61DEB" w:rsidRDefault="003C2382" w:rsidP="00E01387">
            <w:pPr>
              <w:rPr>
                <w:rFonts w:eastAsiaTheme="minorHAnsi"/>
                <w:bCs/>
              </w:rPr>
            </w:pPr>
            <w:r>
              <w:rPr>
                <w:rFonts w:eastAsiaTheme="minorHAnsi"/>
                <w:bCs/>
              </w:rPr>
              <w:t>LG</w:t>
            </w:r>
          </w:p>
        </w:tc>
        <w:tc>
          <w:tcPr>
            <w:tcW w:w="4085" w:type="pct"/>
          </w:tcPr>
          <w:p w14:paraId="58F00446" w14:textId="77777777" w:rsidR="003C2382" w:rsidRPr="003C2382" w:rsidRDefault="003C2382" w:rsidP="003C2382">
            <w:pPr>
              <w:pStyle w:val="Paragraphedeliste"/>
              <w:numPr>
                <w:ilvl w:val="0"/>
                <w:numId w:val="38"/>
              </w:numPr>
              <w:wordWrap w:val="0"/>
              <w:rPr>
                <w:rFonts w:cs="Times New Roman"/>
                <w:color w:val="000000"/>
                <w:szCs w:val="22"/>
                <w:lang w:eastAsia="en-US"/>
              </w:rPr>
            </w:pPr>
            <w:r w:rsidRPr="003C2382">
              <w:rPr>
                <w:rFonts w:cs="Times New Roman" w:hint="eastAsia"/>
                <w:color w:val="000000"/>
                <w:szCs w:val="22"/>
                <w:lang w:eastAsia="en-US"/>
              </w:rPr>
              <w:t xml:space="preserve">In row 2, reference SCS for FR2 of K_offset is FFS, but there is no description on it. </w:t>
            </w:r>
          </w:p>
          <w:p w14:paraId="0AE0E8DE" w14:textId="77777777" w:rsidR="003C2382" w:rsidRPr="003C2382" w:rsidRDefault="003C2382" w:rsidP="003C2382">
            <w:pPr>
              <w:pStyle w:val="Paragraphedeliste"/>
              <w:numPr>
                <w:ilvl w:val="0"/>
                <w:numId w:val="38"/>
              </w:numPr>
              <w:wordWrap w:val="0"/>
              <w:rPr>
                <w:rFonts w:cs="Times New Roman" w:hint="eastAsia"/>
                <w:color w:val="000000"/>
                <w:szCs w:val="22"/>
                <w:lang w:eastAsia="en-US"/>
              </w:rPr>
            </w:pPr>
            <w:r w:rsidRPr="003C2382">
              <w:rPr>
                <w:rFonts w:cs="Times New Roman" w:hint="eastAsia"/>
                <w:color w:val="000000"/>
                <w:szCs w:val="22"/>
                <w:lang w:eastAsia="en-US"/>
              </w:rPr>
              <w:t>In the K_mac description in row 3, reference subcarrier spacing of 15KHz is missing. I can find it in Comment column, but prefer to have in description column as K_offset does.</w:t>
            </w:r>
          </w:p>
          <w:p w14:paraId="715254A7" w14:textId="77777777" w:rsidR="003C2382" w:rsidRPr="003C2382" w:rsidRDefault="003C2382" w:rsidP="003C2382">
            <w:pPr>
              <w:pStyle w:val="Paragraphedeliste"/>
              <w:numPr>
                <w:ilvl w:val="0"/>
                <w:numId w:val="38"/>
              </w:numPr>
              <w:wordWrap w:val="0"/>
              <w:rPr>
                <w:rFonts w:cs="Times New Roman" w:hint="eastAsia"/>
                <w:color w:val="000000"/>
                <w:szCs w:val="22"/>
                <w:lang w:eastAsia="en-US"/>
              </w:rPr>
            </w:pPr>
            <w:r w:rsidRPr="003C2382">
              <w:rPr>
                <w:rFonts w:cs="Times New Roman" w:hint="eastAsia"/>
                <w:color w:val="000000"/>
                <w:szCs w:val="22"/>
                <w:lang w:eastAsia="en-US"/>
              </w:rPr>
              <w:t xml:space="preserve">For the value range of K_offset and K_mac, we are ok with delete msec. </w:t>
            </w:r>
          </w:p>
          <w:p w14:paraId="06BC59BD" w14:textId="3817E0B3" w:rsidR="00E01387" w:rsidRPr="00E61DEB" w:rsidRDefault="00E01387" w:rsidP="00E01387">
            <w:pPr>
              <w:ind w:left="357"/>
              <w:rPr>
                <w:lang w:eastAsia="zh-CN"/>
              </w:rPr>
            </w:pPr>
          </w:p>
        </w:tc>
      </w:tr>
      <w:tr w:rsidR="00E01387" w:rsidRPr="00E61DEB" w14:paraId="5FB3D497" w14:textId="77777777" w:rsidTr="003D5F4F">
        <w:tc>
          <w:tcPr>
            <w:tcW w:w="915" w:type="pct"/>
          </w:tcPr>
          <w:p w14:paraId="62819BD8" w14:textId="694D15F4" w:rsidR="00E01387" w:rsidRPr="00E61DEB" w:rsidRDefault="00C236C2" w:rsidP="00E01387">
            <w:pPr>
              <w:rPr>
                <w:rFonts w:eastAsiaTheme="minorHAnsi"/>
                <w:bCs/>
              </w:rPr>
            </w:pPr>
            <w:r>
              <w:rPr>
                <w:rFonts w:eastAsiaTheme="minorHAnsi"/>
                <w:bCs/>
              </w:rPr>
              <w:t>ZTE</w:t>
            </w:r>
          </w:p>
        </w:tc>
        <w:tc>
          <w:tcPr>
            <w:tcW w:w="4085" w:type="pct"/>
          </w:tcPr>
          <w:p w14:paraId="315A138C" w14:textId="77777777" w:rsidR="00C236C2" w:rsidRPr="00C236C2" w:rsidRDefault="00C236C2" w:rsidP="00C236C2">
            <w:pPr>
              <w:pStyle w:val="NormalWeb"/>
              <w:rPr>
                <w:rFonts w:ascii="Microsoft YaHei" w:eastAsia="Microsoft YaHei" w:hAnsi="Microsoft YaHei"/>
                <w:sz w:val="21"/>
                <w:szCs w:val="21"/>
                <w:lang w:val="en-US"/>
              </w:rPr>
            </w:pPr>
            <w:r w:rsidRPr="00C236C2">
              <w:rPr>
                <w:rFonts w:ascii="Microsoft YaHei" w:eastAsia="Microsoft YaHei" w:hAnsi="Microsoft YaHei" w:hint="eastAsia"/>
                <w:sz w:val="21"/>
                <w:szCs w:val="21"/>
                <w:lang w:val="en-US"/>
              </w:rPr>
              <w:t>Regarding the Epoc time, the corresponding RRC parameter is definitely needed. And since we already agreed the defintion of reference point for epoch time, it is preferred to capture it in the description field of this parameter. Then, further spec impacts for others regarding this issue are not needed. Otherwise, it will be unclear for both UE and gNB </w:t>
            </w:r>
          </w:p>
          <w:p w14:paraId="67ACA90A" w14:textId="77777777" w:rsidR="00C236C2" w:rsidRPr="00C236C2" w:rsidRDefault="00C236C2" w:rsidP="00C236C2">
            <w:pPr>
              <w:pStyle w:val="NormalWeb"/>
              <w:rPr>
                <w:rFonts w:eastAsiaTheme="minorHAnsi" w:hint="eastAsia"/>
                <w:lang w:val="en-US"/>
              </w:rPr>
            </w:pPr>
            <w:r w:rsidRPr="00C236C2">
              <w:rPr>
                <w:rStyle w:val="lev"/>
                <w:shd w:val="clear" w:color="auto" w:fill="00FF00"/>
                <w:lang w:val="en-US"/>
              </w:rPr>
              <w:t>Agreement</w:t>
            </w:r>
          </w:p>
          <w:p w14:paraId="65DDD3E6" w14:textId="77777777" w:rsidR="00C236C2" w:rsidRPr="00C236C2" w:rsidRDefault="00C236C2" w:rsidP="00C236C2">
            <w:pPr>
              <w:pStyle w:val="NormalWeb"/>
              <w:rPr>
                <w:lang w:val="en-US"/>
              </w:rPr>
            </w:pPr>
            <w:r w:rsidRPr="00C236C2">
              <w:rPr>
                <w:lang w:val="en-US"/>
              </w:rPr>
              <w:t>The reference point for epoch time of the serving satellite ephemeris and Common TA parameters is the uplink time synchronization reference point.</w:t>
            </w:r>
          </w:p>
          <w:p w14:paraId="21449925" w14:textId="238F9CBE" w:rsidR="00E01387" w:rsidRPr="00E61DEB" w:rsidRDefault="00E01387" w:rsidP="00E01387">
            <w:pPr>
              <w:rPr>
                <w:rFonts w:eastAsiaTheme="minorHAnsi"/>
                <w:bCs/>
              </w:rPr>
            </w:pPr>
          </w:p>
        </w:tc>
      </w:tr>
      <w:tr w:rsidR="00E01387" w:rsidRPr="00E61DEB" w14:paraId="3F414264" w14:textId="77777777" w:rsidTr="003D5F4F">
        <w:tc>
          <w:tcPr>
            <w:tcW w:w="915" w:type="pct"/>
          </w:tcPr>
          <w:p w14:paraId="769F35A3" w14:textId="6B9A6259" w:rsidR="00E01387" w:rsidRPr="00E61DEB" w:rsidRDefault="005E5B0B" w:rsidP="00E01387">
            <w:pPr>
              <w:rPr>
                <w:rFonts w:eastAsiaTheme="minorHAnsi"/>
                <w:bCs/>
              </w:rPr>
            </w:pPr>
            <w:r>
              <w:rPr>
                <w:rFonts w:eastAsiaTheme="minorHAnsi"/>
                <w:bCs/>
              </w:rPr>
              <w:t>OPPO</w:t>
            </w:r>
          </w:p>
        </w:tc>
        <w:tc>
          <w:tcPr>
            <w:tcW w:w="4085" w:type="pct"/>
          </w:tcPr>
          <w:p w14:paraId="147B47A7" w14:textId="77777777" w:rsidR="005E5B0B" w:rsidRDefault="005E5B0B" w:rsidP="005E5B0B">
            <w:pPr>
              <w:rPr>
                <w:rFonts w:eastAsia="Times New Roman"/>
                <w:color w:val="000000"/>
                <w:sz w:val="21"/>
                <w:szCs w:val="21"/>
              </w:rPr>
            </w:pPr>
            <w:r>
              <w:rPr>
                <w:rFonts w:eastAsia="Times New Roman"/>
                <w:color w:val="000000"/>
                <w:sz w:val="21"/>
                <w:szCs w:val="21"/>
              </w:rPr>
              <w:t>I guess you refer to the following agreement right? The RRC parameters are related to the explicit epoch time indication. Thus, we need one parameter for SFN number and the other one parameter for subframe number. </w:t>
            </w:r>
          </w:p>
          <w:p w14:paraId="58789DA5" w14:textId="77777777" w:rsidR="005E5B0B" w:rsidRDefault="005E5B0B" w:rsidP="005E5B0B">
            <w:pPr>
              <w:rPr>
                <w:rFonts w:eastAsia="Times New Roman"/>
                <w:color w:val="000000"/>
                <w:sz w:val="21"/>
                <w:szCs w:val="21"/>
              </w:rPr>
            </w:pPr>
          </w:p>
          <w:p w14:paraId="2644A3D3" w14:textId="77777777" w:rsidR="005E5B0B" w:rsidRDefault="005E5B0B" w:rsidP="005E5B0B">
            <w:pPr>
              <w:rPr>
                <w:rFonts w:eastAsia="Times New Roman"/>
                <w:color w:val="000000"/>
                <w:sz w:val="21"/>
                <w:szCs w:val="21"/>
              </w:rPr>
            </w:pPr>
            <w:r>
              <w:rPr>
                <w:rFonts w:eastAsia="Times New Roman"/>
                <w:color w:val="000000"/>
                <w:sz w:val="21"/>
                <w:szCs w:val="21"/>
              </w:rPr>
              <w:t>BR, Hao</w:t>
            </w:r>
          </w:p>
          <w:p w14:paraId="324DAA2C" w14:textId="77777777" w:rsidR="005E5B0B" w:rsidRDefault="005E5B0B" w:rsidP="005E5B0B">
            <w:pPr>
              <w:rPr>
                <w:rFonts w:eastAsia="Times New Roman"/>
                <w:color w:val="000000"/>
                <w:sz w:val="21"/>
                <w:szCs w:val="21"/>
              </w:rPr>
            </w:pPr>
          </w:p>
          <w:p w14:paraId="68862FA0" w14:textId="77777777" w:rsidR="005E5B0B" w:rsidRDefault="005E5B0B" w:rsidP="005E5B0B">
            <w:pPr>
              <w:rPr>
                <w:rFonts w:ascii="Times" w:eastAsiaTheme="minorHAnsi" w:hAnsi="Times" w:cs="Times"/>
                <w:color w:val="000000"/>
                <w:sz w:val="20"/>
                <w:szCs w:val="20"/>
              </w:rPr>
            </w:pPr>
            <w:r>
              <w:rPr>
                <w:rFonts w:ascii="Times" w:hAnsi="Times" w:cs="Times"/>
                <w:b/>
                <w:bCs/>
                <w:color w:val="000000"/>
                <w:sz w:val="20"/>
                <w:szCs w:val="20"/>
                <w:highlight w:val="green"/>
                <w:lang w:val="en-GB"/>
              </w:rPr>
              <w:t>Agreement</w:t>
            </w:r>
          </w:p>
          <w:p w14:paraId="7EDDFE90" w14:textId="77777777" w:rsidR="005E5B0B" w:rsidRDefault="005E5B0B" w:rsidP="005E5B0B">
            <w:pPr>
              <w:ind w:hanging="360"/>
              <w:rPr>
                <w:rFonts w:ascii="Times" w:hAnsi="Times" w:cs="Times"/>
                <w:color w:val="000000"/>
                <w:sz w:val="20"/>
                <w:szCs w:val="20"/>
              </w:rPr>
            </w:pPr>
            <w:r>
              <w:rPr>
                <w:rFonts w:ascii="Arial" w:eastAsia="Arial" w:hAnsi="Arial" w:cs="Arial"/>
                <w:color w:val="000000"/>
                <w:sz w:val="20"/>
                <w:szCs w:val="20"/>
                <w:lang w:val="en-GB"/>
              </w:rPr>
              <w:t>•</w:t>
            </w:r>
            <w:r>
              <w:rPr>
                <w:rFonts w:ascii="Arial" w:eastAsia="Arial" w:hAnsi="Arial" w:cs="Arial"/>
                <w:color w:val="000000"/>
                <w:sz w:val="14"/>
                <w:szCs w:val="14"/>
                <w:lang w:val="en-GB"/>
              </w:rPr>
              <w:t xml:space="preserve">       </w:t>
            </w:r>
            <w:r>
              <w:rPr>
                <w:rFonts w:ascii="Times" w:hAnsi="Times" w:cs="Times"/>
                <w:color w:val="000000"/>
                <w:sz w:val="20"/>
                <w:szCs w:val="20"/>
                <w:lang w:val="en-GB"/>
              </w:rPr>
              <w:t xml:space="preserve">When explicitly provided through SIB, Epoch time of assistance information (i.e. Serving satellite ephemeris and Common TA parameters) is the starting time of a DL sub-frame, indicated by a SFN and </w:t>
            </w:r>
            <w:r>
              <w:rPr>
                <w:rFonts w:ascii="Times" w:hAnsi="Times" w:cs="Times"/>
                <w:color w:val="000000"/>
                <w:sz w:val="20"/>
                <w:szCs w:val="20"/>
                <w:lang w:val="en-GB"/>
              </w:rPr>
              <w:lastRenderedPageBreak/>
              <w:t xml:space="preserve">a sub-frame number signaled together with the assistance information. </w:t>
            </w:r>
          </w:p>
          <w:p w14:paraId="257BDAAB" w14:textId="77777777" w:rsidR="005E5B0B" w:rsidRDefault="005E5B0B" w:rsidP="005E5B0B">
            <w:pPr>
              <w:ind w:hanging="360"/>
              <w:rPr>
                <w:rFonts w:ascii="Times" w:hAnsi="Times" w:cs="Times"/>
                <w:color w:val="000000"/>
                <w:sz w:val="20"/>
                <w:szCs w:val="20"/>
              </w:rPr>
            </w:pPr>
            <w:r>
              <w:rPr>
                <w:rFonts w:ascii="Arial" w:eastAsia="Arial" w:hAnsi="Arial" w:cs="Arial"/>
                <w:color w:val="000000"/>
                <w:sz w:val="20"/>
                <w:szCs w:val="20"/>
                <w:lang w:val="en-GB"/>
              </w:rPr>
              <w:t>•</w:t>
            </w:r>
            <w:r>
              <w:rPr>
                <w:rFonts w:ascii="Arial" w:eastAsia="Arial" w:hAnsi="Arial" w:cs="Arial"/>
                <w:color w:val="000000"/>
                <w:sz w:val="14"/>
                <w:szCs w:val="14"/>
                <w:lang w:val="en-GB"/>
              </w:rPr>
              <w:t xml:space="preserve">       </w:t>
            </w:r>
            <w:r>
              <w:rPr>
                <w:rFonts w:ascii="Times" w:hAnsi="Times" w:cs="Times"/>
                <w:color w:val="000000"/>
                <w:sz w:val="20"/>
                <w:szCs w:val="20"/>
                <w:lang w:val="en-GB"/>
              </w:rPr>
              <w:t>Otherwise, when indicated in SIB (other than SIB1), epoch time of assistance information (i.e. Serving satellite ephemeris and Common TA parameters) is implicitly known as the end of the SI window during which the SI message is transmitted.</w:t>
            </w:r>
          </w:p>
          <w:p w14:paraId="1B808B72" w14:textId="77777777" w:rsidR="005E5B0B" w:rsidRDefault="005E5B0B" w:rsidP="005E5B0B">
            <w:pPr>
              <w:ind w:hanging="360"/>
              <w:rPr>
                <w:rFonts w:ascii="Times" w:hAnsi="Times" w:cs="Times"/>
                <w:color w:val="000000"/>
                <w:sz w:val="20"/>
                <w:szCs w:val="20"/>
              </w:rPr>
            </w:pPr>
            <w:r>
              <w:rPr>
                <w:rFonts w:ascii="Arial" w:eastAsia="Arial" w:hAnsi="Arial" w:cs="Arial"/>
                <w:color w:val="000000"/>
                <w:sz w:val="20"/>
                <w:szCs w:val="20"/>
                <w:lang w:val="en-GB"/>
              </w:rPr>
              <w:t>•</w:t>
            </w:r>
            <w:r>
              <w:rPr>
                <w:rFonts w:ascii="Arial" w:eastAsia="Arial" w:hAnsi="Arial" w:cs="Arial"/>
                <w:color w:val="000000"/>
                <w:sz w:val="14"/>
                <w:szCs w:val="14"/>
                <w:lang w:val="en-GB"/>
              </w:rPr>
              <w:t xml:space="preserve">       </w:t>
            </w:r>
            <w:r>
              <w:rPr>
                <w:rFonts w:ascii="Times" w:hAnsi="Times" w:cs="Times"/>
                <w:color w:val="000000"/>
                <w:sz w:val="20"/>
                <w:szCs w:val="20"/>
                <w:lang w:val="en-GB"/>
              </w:rPr>
              <w:t>When provided through dedicated signaling, epoch time of assistance information (i.e. Serving satellite ephemeris and Common TA parameters) is the starting time of a DL sub-frame, indicated by a SFN and a sub-frame number.</w:t>
            </w:r>
          </w:p>
          <w:p w14:paraId="2D72462B" w14:textId="77777777" w:rsidR="005E5B0B" w:rsidRDefault="005E5B0B" w:rsidP="005E5B0B">
            <w:pPr>
              <w:rPr>
                <w:rFonts w:eastAsia="Times New Roman"/>
                <w:color w:val="000000"/>
                <w:sz w:val="21"/>
                <w:szCs w:val="21"/>
              </w:rPr>
            </w:pPr>
          </w:p>
          <w:p w14:paraId="54D9B6A9" w14:textId="6CD2296D" w:rsidR="00E01387" w:rsidRPr="0051035D" w:rsidRDefault="00E01387" w:rsidP="00E01387">
            <w:pPr>
              <w:rPr>
                <w:rFonts w:eastAsia="Malgun Gothic"/>
                <w:bCs/>
                <w:lang w:eastAsia="ko-KR"/>
              </w:rPr>
            </w:pPr>
          </w:p>
        </w:tc>
      </w:tr>
      <w:tr w:rsidR="00E01387" w:rsidRPr="00E61DEB" w14:paraId="664A1D13" w14:textId="77777777" w:rsidTr="003D5F4F">
        <w:tc>
          <w:tcPr>
            <w:tcW w:w="915" w:type="pct"/>
          </w:tcPr>
          <w:p w14:paraId="14F3DC57" w14:textId="7E3D2D49" w:rsidR="00E01387" w:rsidRPr="00E61DEB" w:rsidRDefault="00E01387" w:rsidP="00E01387">
            <w:pPr>
              <w:rPr>
                <w:rFonts w:eastAsiaTheme="minorHAnsi"/>
                <w:bCs/>
              </w:rPr>
            </w:pPr>
          </w:p>
        </w:tc>
        <w:tc>
          <w:tcPr>
            <w:tcW w:w="4085" w:type="pct"/>
          </w:tcPr>
          <w:p w14:paraId="6A58A8A1" w14:textId="3070AC85" w:rsidR="00E01387" w:rsidRPr="00E61DEB" w:rsidRDefault="00E01387" w:rsidP="00E01387">
            <w:pPr>
              <w:rPr>
                <w:rFonts w:eastAsia="Malgun Gothic"/>
                <w:bCs/>
                <w:lang w:eastAsia="ko-KR"/>
              </w:rPr>
            </w:pPr>
          </w:p>
        </w:tc>
      </w:tr>
    </w:tbl>
    <w:p w14:paraId="06BC59BF" w14:textId="743C28BD" w:rsidR="003B5392" w:rsidRPr="00E61DEB" w:rsidRDefault="003B5392" w:rsidP="007D253F"/>
    <w:p w14:paraId="7954DCE6" w14:textId="732D8EF1" w:rsidR="00C077C6" w:rsidRPr="00E61DEB" w:rsidRDefault="00C23578" w:rsidP="00C15A1A">
      <w:pPr>
        <w:pStyle w:val="Titre2"/>
        <w:rPr>
          <w:sz w:val="22"/>
        </w:rPr>
      </w:pPr>
      <w:bookmarkStart w:id="13" w:name="_Toc82188770"/>
      <w:r w:rsidRPr="00E61DEB">
        <w:rPr>
          <w:sz w:val="22"/>
        </w:rPr>
        <w:t xml:space="preserve">Updated </w:t>
      </w:r>
      <w:r w:rsidR="00C32317" w:rsidRPr="00E61DEB">
        <w:rPr>
          <w:sz w:val="22"/>
        </w:rPr>
        <w:t xml:space="preserve">list of </w:t>
      </w:r>
      <w:r w:rsidRPr="00E61DEB">
        <w:rPr>
          <w:sz w:val="22"/>
        </w:rPr>
        <w:t>RRC parameters based on company views (First round of email discussions)</w:t>
      </w:r>
      <w:bookmarkEnd w:id="13"/>
    </w:p>
    <w:tbl>
      <w:tblPr>
        <w:tblW w:w="5000" w:type="pct"/>
        <w:tblLook w:val="04A0" w:firstRow="1" w:lastRow="0" w:firstColumn="1" w:lastColumn="0" w:noHBand="0" w:noVBand="1"/>
      </w:tblPr>
      <w:tblGrid>
        <w:gridCol w:w="5172"/>
        <w:gridCol w:w="4491"/>
        <w:gridCol w:w="2837"/>
        <w:gridCol w:w="894"/>
        <w:gridCol w:w="958"/>
        <w:gridCol w:w="1340"/>
        <w:gridCol w:w="1461"/>
        <w:gridCol w:w="2965"/>
      </w:tblGrid>
      <w:tr w:rsidR="00397BBD" w:rsidRPr="003C225B" w14:paraId="1B9C3DE0" w14:textId="77777777" w:rsidTr="00455BE7">
        <w:trPr>
          <w:trHeight w:val="900"/>
          <w:tblHeader/>
        </w:trPr>
        <w:tc>
          <w:tcPr>
            <w:tcW w:w="1285"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55303A72" w14:textId="77777777" w:rsidR="00397BBD" w:rsidRPr="003C225B" w:rsidRDefault="00397BBD" w:rsidP="00CB1671">
            <w:pPr>
              <w:autoSpaceDE/>
              <w:autoSpaceDN/>
              <w:adjustRightInd/>
              <w:snapToGrid/>
              <w:spacing w:after="0"/>
              <w:jc w:val="left"/>
              <w:rPr>
                <w:rFonts w:ascii="Arial" w:eastAsia="Times New Roman" w:hAnsi="Arial" w:cs="Arial"/>
                <w:b/>
                <w:bCs/>
                <w:color w:val="FFFFFF"/>
                <w:sz w:val="20"/>
                <w:szCs w:val="20"/>
              </w:rPr>
            </w:pPr>
            <w:r w:rsidRPr="003C225B">
              <w:rPr>
                <w:rFonts w:ascii="Arial" w:eastAsia="Times New Roman" w:hAnsi="Arial" w:cs="Arial"/>
                <w:b/>
                <w:bCs/>
                <w:color w:val="FFFFFF"/>
                <w:sz w:val="20"/>
                <w:szCs w:val="20"/>
              </w:rPr>
              <w:t>Parameter name in the text</w:t>
            </w:r>
          </w:p>
        </w:tc>
        <w:tc>
          <w:tcPr>
            <w:tcW w:w="1116" w:type="pct"/>
            <w:tcBorders>
              <w:top w:val="single" w:sz="4" w:space="0" w:color="auto"/>
              <w:left w:val="nil"/>
              <w:bottom w:val="single" w:sz="4" w:space="0" w:color="auto"/>
              <w:right w:val="single" w:sz="4" w:space="0" w:color="auto"/>
            </w:tcBorders>
            <w:shd w:val="clear" w:color="000000" w:fill="00B0F0"/>
            <w:vAlign w:val="center"/>
            <w:hideMark/>
          </w:tcPr>
          <w:p w14:paraId="363F193B" w14:textId="77777777" w:rsidR="00397BBD" w:rsidRPr="003C225B" w:rsidRDefault="00397BBD" w:rsidP="00CB1671">
            <w:pPr>
              <w:autoSpaceDE/>
              <w:autoSpaceDN/>
              <w:adjustRightInd/>
              <w:snapToGrid/>
              <w:spacing w:after="0"/>
              <w:jc w:val="left"/>
              <w:rPr>
                <w:rFonts w:ascii="Arial" w:eastAsia="Times New Roman" w:hAnsi="Arial" w:cs="Arial"/>
                <w:b/>
                <w:bCs/>
                <w:color w:val="FFFFFF"/>
                <w:sz w:val="20"/>
                <w:szCs w:val="20"/>
              </w:rPr>
            </w:pPr>
            <w:r w:rsidRPr="003C225B">
              <w:rPr>
                <w:rFonts w:ascii="Arial" w:eastAsia="Times New Roman" w:hAnsi="Arial" w:cs="Arial"/>
                <w:b/>
                <w:bCs/>
                <w:color w:val="FFFFFF"/>
                <w:sz w:val="20"/>
                <w:szCs w:val="20"/>
              </w:rPr>
              <w:t>Description</w:t>
            </w:r>
          </w:p>
        </w:tc>
        <w:tc>
          <w:tcPr>
            <w:tcW w:w="705" w:type="pct"/>
            <w:tcBorders>
              <w:top w:val="single" w:sz="4" w:space="0" w:color="auto"/>
              <w:left w:val="nil"/>
              <w:bottom w:val="single" w:sz="4" w:space="0" w:color="auto"/>
              <w:right w:val="single" w:sz="4" w:space="0" w:color="auto"/>
            </w:tcBorders>
            <w:shd w:val="clear" w:color="000000" w:fill="00B0F0"/>
            <w:vAlign w:val="center"/>
            <w:hideMark/>
          </w:tcPr>
          <w:p w14:paraId="2DB7C2E7" w14:textId="77777777" w:rsidR="00397BBD" w:rsidRPr="003C225B" w:rsidRDefault="00397BBD" w:rsidP="00CB1671">
            <w:pPr>
              <w:autoSpaceDE/>
              <w:autoSpaceDN/>
              <w:adjustRightInd/>
              <w:snapToGrid/>
              <w:spacing w:after="0"/>
              <w:jc w:val="left"/>
              <w:rPr>
                <w:rFonts w:ascii="Arial" w:eastAsia="Times New Roman" w:hAnsi="Arial" w:cs="Arial"/>
                <w:b/>
                <w:bCs/>
                <w:color w:val="FFFFFF"/>
                <w:sz w:val="20"/>
                <w:szCs w:val="20"/>
              </w:rPr>
            </w:pPr>
            <w:r w:rsidRPr="003C225B">
              <w:rPr>
                <w:rFonts w:ascii="Arial" w:eastAsia="Times New Roman" w:hAnsi="Arial" w:cs="Arial"/>
                <w:b/>
                <w:bCs/>
                <w:color w:val="FFFFFF"/>
                <w:sz w:val="20"/>
                <w:szCs w:val="20"/>
              </w:rPr>
              <w:t>Value range</w:t>
            </w:r>
          </w:p>
        </w:tc>
        <w:tc>
          <w:tcPr>
            <w:tcW w:w="222" w:type="pct"/>
            <w:tcBorders>
              <w:top w:val="single" w:sz="4" w:space="0" w:color="auto"/>
              <w:left w:val="nil"/>
              <w:bottom w:val="single" w:sz="4" w:space="0" w:color="auto"/>
              <w:right w:val="single" w:sz="4" w:space="0" w:color="auto"/>
            </w:tcBorders>
            <w:shd w:val="clear" w:color="000000" w:fill="00B0F0"/>
            <w:vAlign w:val="center"/>
            <w:hideMark/>
          </w:tcPr>
          <w:p w14:paraId="7DBCE2EB" w14:textId="77777777" w:rsidR="00397BBD" w:rsidRPr="003C225B" w:rsidRDefault="00397BBD" w:rsidP="00CB1671">
            <w:pPr>
              <w:autoSpaceDE/>
              <w:autoSpaceDN/>
              <w:adjustRightInd/>
              <w:snapToGrid/>
              <w:spacing w:after="0"/>
              <w:jc w:val="left"/>
              <w:rPr>
                <w:rFonts w:ascii="Arial" w:eastAsia="Times New Roman" w:hAnsi="Arial" w:cs="Arial"/>
                <w:b/>
                <w:bCs/>
                <w:color w:val="FFFFFF"/>
                <w:sz w:val="20"/>
                <w:szCs w:val="20"/>
              </w:rPr>
            </w:pPr>
            <w:r w:rsidRPr="003C225B">
              <w:rPr>
                <w:rFonts w:ascii="Arial" w:eastAsia="Times New Roman" w:hAnsi="Arial" w:cs="Arial"/>
                <w:b/>
                <w:bCs/>
                <w:color w:val="FFFFFF"/>
                <w:sz w:val="20"/>
                <w:szCs w:val="20"/>
              </w:rPr>
              <w:t>Default value aspect</w:t>
            </w:r>
          </w:p>
        </w:tc>
        <w:tc>
          <w:tcPr>
            <w:tcW w:w="238" w:type="pct"/>
            <w:tcBorders>
              <w:top w:val="single" w:sz="4" w:space="0" w:color="auto"/>
              <w:left w:val="nil"/>
              <w:bottom w:val="single" w:sz="4" w:space="0" w:color="auto"/>
              <w:right w:val="single" w:sz="4" w:space="0" w:color="auto"/>
            </w:tcBorders>
            <w:shd w:val="clear" w:color="000000" w:fill="00B0F0"/>
            <w:vAlign w:val="center"/>
            <w:hideMark/>
          </w:tcPr>
          <w:p w14:paraId="525A4AC1" w14:textId="77777777" w:rsidR="00397BBD" w:rsidRPr="003C225B" w:rsidRDefault="00397BBD" w:rsidP="00CB1671">
            <w:pPr>
              <w:autoSpaceDE/>
              <w:autoSpaceDN/>
              <w:adjustRightInd/>
              <w:snapToGrid/>
              <w:spacing w:after="0"/>
              <w:jc w:val="left"/>
              <w:rPr>
                <w:rFonts w:ascii="Arial" w:eastAsia="Times New Roman" w:hAnsi="Arial" w:cs="Arial"/>
                <w:b/>
                <w:bCs/>
                <w:color w:val="FFFFFF"/>
                <w:sz w:val="20"/>
                <w:szCs w:val="20"/>
              </w:rPr>
            </w:pPr>
            <w:r w:rsidRPr="003C225B">
              <w:rPr>
                <w:rFonts w:ascii="Arial" w:eastAsia="Times New Roman" w:hAnsi="Arial" w:cs="Arial"/>
                <w:b/>
                <w:bCs/>
                <w:color w:val="FFFFFF"/>
                <w:sz w:val="20"/>
                <w:szCs w:val="20"/>
              </w:rPr>
              <w:t>Per (UE, cell, TRP, …)</w:t>
            </w:r>
          </w:p>
        </w:tc>
        <w:tc>
          <w:tcPr>
            <w:tcW w:w="333" w:type="pct"/>
            <w:tcBorders>
              <w:top w:val="single" w:sz="4" w:space="0" w:color="auto"/>
              <w:left w:val="nil"/>
              <w:bottom w:val="single" w:sz="4" w:space="0" w:color="auto"/>
              <w:right w:val="single" w:sz="4" w:space="0" w:color="auto"/>
            </w:tcBorders>
            <w:shd w:val="clear" w:color="000000" w:fill="00B0F0"/>
            <w:vAlign w:val="center"/>
            <w:hideMark/>
          </w:tcPr>
          <w:p w14:paraId="6CF2B1D7" w14:textId="77777777" w:rsidR="00397BBD" w:rsidRPr="003C225B" w:rsidRDefault="00397BBD" w:rsidP="00CB1671">
            <w:pPr>
              <w:autoSpaceDE/>
              <w:autoSpaceDN/>
              <w:adjustRightInd/>
              <w:snapToGrid/>
              <w:spacing w:after="0"/>
              <w:jc w:val="left"/>
              <w:rPr>
                <w:rFonts w:ascii="Arial" w:eastAsia="Times New Roman" w:hAnsi="Arial" w:cs="Arial"/>
                <w:b/>
                <w:bCs/>
                <w:color w:val="FFFFFF"/>
                <w:sz w:val="20"/>
                <w:szCs w:val="20"/>
              </w:rPr>
            </w:pPr>
            <w:r w:rsidRPr="003C225B">
              <w:rPr>
                <w:rFonts w:ascii="Arial" w:eastAsia="Times New Roman" w:hAnsi="Arial" w:cs="Arial"/>
                <w:b/>
                <w:bCs/>
                <w:color w:val="FFFFFF"/>
                <w:sz w:val="20"/>
                <w:szCs w:val="20"/>
              </w:rPr>
              <w:t>UE-specific or Cell-specific</w:t>
            </w:r>
          </w:p>
        </w:tc>
        <w:tc>
          <w:tcPr>
            <w:tcW w:w="363" w:type="pct"/>
            <w:tcBorders>
              <w:top w:val="single" w:sz="4" w:space="0" w:color="auto"/>
              <w:left w:val="nil"/>
              <w:bottom w:val="single" w:sz="4" w:space="0" w:color="auto"/>
              <w:right w:val="single" w:sz="4" w:space="0" w:color="auto"/>
            </w:tcBorders>
            <w:shd w:val="clear" w:color="000000" w:fill="00B0F0"/>
            <w:vAlign w:val="center"/>
            <w:hideMark/>
          </w:tcPr>
          <w:p w14:paraId="359D7C3E" w14:textId="77777777" w:rsidR="00397BBD" w:rsidRPr="003C225B" w:rsidRDefault="00397BBD" w:rsidP="00CB1671">
            <w:pPr>
              <w:autoSpaceDE/>
              <w:autoSpaceDN/>
              <w:adjustRightInd/>
              <w:snapToGrid/>
              <w:spacing w:after="0"/>
              <w:jc w:val="left"/>
              <w:rPr>
                <w:rFonts w:ascii="Arial" w:eastAsia="Times New Roman" w:hAnsi="Arial" w:cs="Arial"/>
                <w:b/>
                <w:bCs/>
                <w:color w:val="FFFFFF"/>
                <w:sz w:val="20"/>
                <w:szCs w:val="20"/>
              </w:rPr>
            </w:pPr>
            <w:r w:rsidRPr="003C225B">
              <w:rPr>
                <w:rFonts w:ascii="Arial" w:eastAsia="Times New Roman" w:hAnsi="Arial" w:cs="Arial"/>
                <w:b/>
                <w:bCs/>
                <w:color w:val="FFFFFF"/>
                <w:sz w:val="20"/>
                <w:szCs w:val="20"/>
              </w:rPr>
              <w:t>Specification</w:t>
            </w:r>
          </w:p>
        </w:tc>
        <w:tc>
          <w:tcPr>
            <w:tcW w:w="737" w:type="pct"/>
            <w:tcBorders>
              <w:top w:val="single" w:sz="4" w:space="0" w:color="auto"/>
              <w:left w:val="nil"/>
              <w:bottom w:val="single" w:sz="4" w:space="0" w:color="auto"/>
              <w:right w:val="single" w:sz="4" w:space="0" w:color="auto"/>
            </w:tcBorders>
            <w:shd w:val="clear" w:color="000000" w:fill="00B0F0"/>
            <w:vAlign w:val="center"/>
            <w:hideMark/>
          </w:tcPr>
          <w:p w14:paraId="75B4292B" w14:textId="77777777" w:rsidR="00397BBD" w:rsidRPr="003C225B" w:rsidRDefault="00397BBD" w:rsidP="00CB1671">
            <w:pPr>
              <w:autoSpaceDE/>
              <w:autoSpaceDN/>
              <w:adjustRightInd/>
              <w:snapToGrid/>
              <w:spacing w:after="0"/>
              <w:jc w:val="left"/>
              <w:rPr>
                <w:rFonts w:ascii="Arial" w:eastAsia="Times New Roman" w:hAnsi="Arial" w:cs="Arial"/>
                <w:b/>
                <w:bCs/>
                <w:color w:val="FFFFFF"/>
                <w:sz w:val="20"/>
                <w:szCs w:val="20"/>
              </w:rPr>
            </w:pPr>
            <w:r w:rsidRPr="003C225B">
              <w:rPr>
                <w:rFonts w:ascii="Arial" w:eastAsia="Times New Roman" w:hAnsi="Arial" w:cs="Arial"/>
                <w:b/>
                <w:bCs/>
                <w:color w:val="FFFFFF"/>
                <w:sz w:val="20"/>
                <w:szCs w:val="20"/>
              </w:rPr>
              <w:t>Comment</w:t>
            </w:r>
          </w:p>
        </w:tc>
      </w:tr>
      <w:tr w:rsidR="00397BBD" w:rsidRPr="003C225B" w14:paraId="5D23D2FC" w14:textId="77777777" w:rsidTr="00CB1671">
        <w:trPr>
          <w:trHeight w:val="1150"/>
        </w:trPr>
        <w:tc>
          <w:tcPr>
            <w:tcW w:w="1285" w:type="pct"/>
            <w:tcBorders>
              <w:top w:val="nil"/>
              <w:left w:val="single" w:sz="4" w:space="0" w:color="auto"/>
              <w:bottom w:val="single" w:sz="4" w:space="0" w:color="auto"/>
              <w:right w:val="single" w:sz="4" w:space="0" w:color="auto"/>
            </w:tcBorders>
            <w:shd w:val="clear" w:color="auto" w:fill="auto"/>
            <w:noWrap/>
            <w:vAlign w:val="center"/>
            <w:hideMark/>
          </w:tcPr>
          <w:p w14:paraId="53FE798A"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xml:space="preserve">TACommon </w:t>
            </w:r>
          </w:p>
        </w:tc>
        <w:tc>
          <w:tcPr>
            <w:tcW w:w="1116" w:type="pct"/>
            <w:tcBorders>
              <w:top w:val="nil"/>
              <w:left w:val="nil"/>
              <w:bottom w:val="single" w:sz="4" w:space="0" w:color="auto"/>
              <w:right w:val="single" w:sz="4" w:space="0" w:color="auto"/>
            </w:tcBorders>
            <w:shd w:val="clear" w:color="auto" w:fill="auto"/>
            <w:vAlign w:val="center"/>
            <w:hideMark/>
          </w:tcPr>
          <w:p w14:paraId="648981B1"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TACommon is a network-controlled common TA, and may include any timing offset considered necessary by the network.</w:t>
            </w:r>
            <w:r w:rsidRPr="003C225B">
              <w:rPr>
                <w:rFonts w:ascii="Arial" w:eastAsia="Times New Roman" w:hAnsi="Arial" w:cs="Arial"/>
                <w:color w:val="000000"/>
                <w:sz w:val="18"/>
                <w:szCs w:val="18"/>
              </w:rPr>
              <w:br/>
              <w:t>TACommon  with value of 0 is supported. The granularity of TACommon is 4.07 × 10^(-3) μs</w:t>
            </w:r>
            <w:r w:rsidRPr="003C225B">
              <w:rPr>
                <w:rFonts w:ascii="Arial" w:eastAsia="Times New Roman" w:hAnsi="Arial" w:cs="Arial"/>
                <w:color w:val="000000"/>
                <w:sz w:val="18"/>
                <w:szCs w:val="18"/>
              </w:rPr>
              <w:br/>
              <w:t>Values  are given in unit of corresponding granularity</w:t>
            </w:r>
          </w:p>
        </w:tc>
        <w:tc>
          <w:tcPr>
            <w:tcW w:w="705" w:type="pct"/>
            <w:tcBorders>
              <w:top w:val="nil"/>
              <w:left w:val="nil"/>
              <w:bottom w:val="single" w:sz="4" w:space="0" w:color="auto"/>
              <w:right w:val="single" w:sz="4" w:space="0" w:color="auto"/>
            </w:tcBorders>
            <w:shd w:val="clear" w:color="auto" w:fill="auto"/>
            <w:vAlign w:val="center"/>
            <w:hideMark/>
          </w:tcPr>
          <w:p w14:paraId="0A4145FC"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xml:space="preserve">0 ...66485757 (i.e: 0… 270.73 ms) </w:t>
            </w:r>
          </w:p>
        </w:tc>
        <w:tc>
          <w:tcPr>
            <w:tcW w:w="222" w:type="pct"/>
            <w:tcBorders>
              <w:top w:val="nil"/>
              <w:left w:val="nil"/>
              <w:bottom w:val="single" w:sz="4" w:space="0" w:color="auto"/>
              <w:right w:val="single" w:sz="4" w:space="0" w:color="auto"/>
            </w:tcBorders>
            <w:shd w:val="clear" w:color="auto" w:fill="auto"/>
            <w:noWrap/>
            <w:vAlign w:val="center"/>
            <w:hideMark/>
          </w:tcPr>
          <w:p w14:paraId="0526907E"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3381F13D"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1B10853B"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63D3FAA1"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38.331</w:t>
            </w:r>
          </w:p>
        </w:tc>
        <w:tc>
          <w:tcPr>
            <w:tcW w:w="737" w:type="pct"/>
            <w:tcBorders>
              <w:top w:val="nil"/>
              <w:left w:val="nil"/>
              <w:bottom w:val="single" w:sz="4" w:space="0" w:color="auto"/>
              <w:right w:val="single" w:sz="4" w:space="0" w:color="auto"/>
            </w:tcBorders>
            <w:shd w:val="clear" w:color="auto" w:fill="auto"/>
            <w:vAlign w:val="center"/>
            <w:hideMark/>
          </w:tcPr>
          <w:p w14:paraId="5642D64B"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p>
        </w:tc>
      </w:tr>
      <w:tr w:rsidR="00397BBD" w:rsidRPr="003C225B" w14:paraId="682AEA79" w14:textId="77777777" w:rsidTr="00CB1671">
        <w:trPr>
          <w:trHeight w:val="920"/>
        </w:trPr>
        <w:tc>
          <w:tcPr>
            <w:tcW w:w="1285" w:type="pct"/>
            <w:tcBorders>
              <w:top w:val="nil"/>
              <w:left w:val="single" w:sz="4" w:space="0" w:color="auto"/>
              <w:bottom w:val="single" w:sz="4" w:space="0" w:color="auto"/>
              <w:right w:val="single" w:sz="4" w:space="0" w:color="auto"/>
            </w:tcBorders>
            <w:shd w:val="clear" w:color="auto" w:fill="auto"/>
            <w:noWrap/>
            <w:vAlign w:val="center"/>
            <w:hideMark/>
          </w:tcPr>
          <w:p w14:paraId="42620249"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TACommonDrift</w:t>
            </w:r>
          </w:p>
        </w:tc>
        <w:tc>
          <w:tcPr>
            <w:tcW w:w="1116" w:type="pct"/>
            <w:tcBorders>
              <w:top w:val="nil"/>
              <w:left w:val="nil"/>
              <w:bottom w:val="single" w:sz="4" w:space="0" w:color="auto"/>
              <w:right w:val="single" w:sz="4" w:space="0" w:color="auto"/>
            </w:tcBorders>
            <w:shd w:val="clear" w:color="auto" w:fill="auto"/>
            <w:vAlign w:val="center"/>
            <w:hideMark/>
          </w:tcPr>
          <w:p w14:paraId="44FE8435"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Indicate drift rate of the common TA</w:t>
            </w:r>
            <w:r w:rsidRPr="003C225B">
              <w:rPr>
                <w:rFonts w:ascii="Arial" w:eastAsia="Times New Roman" w:hAnsi="Arial" w:cs="Arial"/>
                <w:color w:val="000000"/>
                <w:sz w:val="18"/>
                <w:szCs w:val="18"/>
              </w:rPr>
              <w:br/>
              <w:t>The granularity of TACommonDrift is 0.2 × 10^(-3)   μs⁄s</w:t>
            </w:r>
            <w:r w:rsidRPr="003C225B">
              <w:rPr>
                <w:rFonts w:ascii="Arial" w:eastAsia="Times New Roman" w:hAnsi="Arial" w:cs="Arial"/>
                <w:color w:val="000000"/>
                <w:sz w:val="18"/>
                <w:szCs w:val="18"/>
              </w:rPr>
              <w:br/>
            </w:r>
            <w:r w:rsidRPr="003C225B">
              <w:rPr>
                <w:rFonts w:ascii="Arial" w:eastAsia="Times New Roman" w:hAnsi="Arial" w:cs="Arial"/>
                <w:color w:val="000000"/>
                <w:sz w:val="18"/>
                <w:szCs w:val="18"/>
              </w:rPr>
              <w:br/>
              <w:t>Values  are given in unit of corresponding granularity</w:t>
            </w:r>
          </w:p>
        </w:tc>
        <w:tc>
          <w:tcPr>
            <w:tcW w:w="705" w:type="pct"/>
            <w:tcBorders>
              <w:top w:val="nil"/>
              <w:left w:val="nil"/>
              <w:bottom w:val="single" w:sz="4" w:space="0" w:color="auto"/>
              <w:right w:val="single" w:sz="4" w:space="0" w:color="auto"/>
            </w:tcBorders>
            <w:shd w:val="clear" w:color="auto" w:fill="auto"/>
            <w:vAlign w:val="center"/>
            <w:hideMark/>
          </w:tcPr>
          <w:p w14:paraId="7322CF59"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- 261935… + 261935 (i.e: --53.33 μs⁄s    … +-53.33 μs⁄s  )</w:t>
            </w:r>
          </w:p>
        </w:tc>
        <w:tc>
          <w:tcPr>
            <w:tcW w:w="222" w:type="pct"/>
            <w:tcBorders>
              <w:top w:val="nil"/>
              <w:left w:val="nil"/>
              <w:bottom w:val="single" w:sz="4" w:space="0" w:color="auto"/>
              <w:right w:val="single" w:sz="4" w:space="0" w:color="auto"/>
            </w:tcBorders>
            <w:shd w:val="clear" w:color="auto" w:fill="auto"/>
            <w:noWrap/>
            <w:vAlign w:val="center"/>
            <w:hideMark/>
          </w:tcPr>
          <w:p w14:paraId="19799154"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67C91110"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27A092F1"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5631F241"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38.331</w:t>
            </w:r>
          </w:p>
        </w:tc>
        <w:tc>
          <w:tcPr>
            <w:tcW w:w="737" w:type="pct"/>
            <w:tcBorders>
              <w:top w:val="nil"/>
              <w:left w:val="nil"/>
              <w:bottom w:val="single" w:sz="4" w:space="0" w:color="auto"/>
              <w:right w:val="single" w:sz="4" w:space="0" w:color="auto"/>
            </w:tcBorders>
            <w:shd w:val="clear" w:color="auto" w:fill="auto"/>
            <w:vAlign w:val="center"/>
            <w:hideMark/>
          </w:tcPr>
          <w:p w14:paraId="5527851F"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p>
        </w:tc>
      </w:tr>
      <w:tr w:rsidR="00397BBD" w:rsidRPr="003C225B" w14:paraId="51DD8526" w14:textId="77777777" w:rsidTr="00CB1671">
        <w:trPr>
          <w:trHeight w:val="690"/>
        </w:trPr>
        <w:tc>
          <w:tcPr>
            <w:tcW w:w="1285" w:type="pct"/>
            <w:tcBorders>
              <w:top w:val="nil"/>
              <w:left w:val="single" w:sz="4" w:space="0" w:color="auto"/>
              <w:bottom w:val="single" w:sz="4" w:space="0" w:color="auto"/>
              <w:right w:val="single" w:sz="4" w:space="0" w:color="auto"/>
            </w:tcBorders>
            <w:shd w:val="clear" w:color="auto" w:fill="auto"/>
            <w:noWrap/>
            <w:vAlign w:val="center"/>
            <w:hideMark/>
          </w:tcPr>
          <w:p w14:paraId="51721998"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TACommonDriftVariation</w:t>
            </w:r>
          </w:p>
        </w:tc>
        <w:tc>
          <w:tcPr>
            <w:tcW w:w="1116" w:type="pct"/>
            <w:tcBorders>
              <w:top w:val="nil"/>
              <w:left w:val="nil"/>
              <w:bottom w:val="single" w:sz="4" w:space="0" w:color="auto"/>
              <w:right w:val="single" w:sz="4" w:space="0" w:color="auto"/>
            </w:tcBorders>
            <w:shd w:val="clear" w:color="auto" w:fill="auto"/>
            <w:vAlign w:val="center"/>
            <w:hideMark/>
          </w:tcPr>
          <w:p w14:paraId="214CBCCE"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Indicate drift rate variation of the common TA</w:t>
            </w:r>
            <w:r w:rsidRPr="003C225B">
              <w:rPr>
                <w:rFonts w:ascii="Arial" w:eastAsia="Times New Roman" w:hAnsi="Arial" w:cs="Arial"/>
                <w:color w:val="000000"/>
                <w:sz w:val="18"/>
                <w:szCs w:val="18"/>
              </w:rPr>
              <w:br/>
              <w:t xml:space="preserve">The granularity of TACommonDriftVariation is 0.2×10^(-4)  μs⁄s^2 </w:t>
            </w:r>
            <w:r w:rsidRPr="003C225B">
              <w:rPr>
                <w:rFonts w:ascii="Arial" w:eastAsia="Times New Roman" w:hAnsi="Arial" w:cs="Arial"/>
                <w:color w:val="000000"/>
                <w:sz w:val="18"/>
                <w:szCs w:val="18"/>
              </w:rPr>
              <w:br/>
              <w:t>Value  are given in unit of corresponding granularity</w:t>
            </w:r>
          </w:p>
        </w:tc>
        <w:tc>
          <w:tcPr>
            <w:tcW w:w="705" w:type="pct"/>
            <w:tcBorders>
              <w:top w:val="nil"/>
              <w:left w:val="nil"/>
              <w:bottom w:val="single" w:sz="4" w:space="0" w:color="auto"/>
              <w:right w:val="single" w:sz="4" w:space="0" w:color="auto"/>
            </w:tcBorders>
            <w:shd w:val="clear" w:color="auto" w:fill="auto"/>
            <w:noWrap/>
            <w:vAlign w:val="center"/>
            <w:hideMark/>
          </w:tcPr>
          <w:p w14:paraId="17F3E37C"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0…29470 (i.e. 0…0.60  μs⁄s^2   )</w:t>
            </w:r>
          </w:p>
        </w:tc>
        <w:tc>
          <w:tcPr>
            <w:tcW w:w="222" w:type="pct"/>
            <w:tcBorders>
              <w:top w:val="nil"/>
              <w:left w:val="nil"/>
              <w:bottom w:val="single" w:sz="4" w:space="0" w:color="auto"/>
              <w:right w:val="single" w:sz="4" w:space="0" w:color="auto"/>
            </w:tcBorders>
            <w:shd w:val="clear" w:color="auto" w:fill="auto"/>
            <w:noWrap/>
            <w:vAlign w:val="center"/>
            <w:hideMark/>
          </w:tcPr>
          <w:p w14:paraId="026ACBD1"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5619B424"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3320B128"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0839217A"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38.331</w:t>
            </w:r>
          </w:p>
        </w:tc>
        <w:tc>
          <w:tcPr>
            <w:tcW w:w="737" w:type="pct"/>
            <w:tcBorders>
              <w:top w:val="nil"/>
              <w:left w:val="nil"/>
              <w:bottom w:val="single" w:sz="4" w:space="0" w:color="auto"/>
              <w:right w:val="single" w:sz="4" w:space="0" w:color="auto"/>
            </w:tcBorders>
            <w:shd w:val="clear" w:color="auto" w:fill="auto"/>
            <w:vAlign w:val="center"/>
            <w:hideMark/>
          </w:tcPr>
          <w:p w14:paraId="12C605E9"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p>
        </w:tc>
      </w:tr>
      <w:tr w:rsidR="00397BBD" w:rsidRPr="003C225B" w14:paraId="5439D295" w14:textId="77777777" w:rsidTr="00CB1671">
        <w:trPr>
          <w:trHeight w:val="560"/>
        </w:trPr>
        <w:tc>
          <w:tcPr>
            <w:tcW w:w="1285" w:type="pct"/>
            <w:tcBorders>
              <w:top w:val="nil"/>
              <w:left w:val="single" w:sz="4" w:space="0" w:color="auto"/>
              <w:bottom w:val="single" w:sz="4" w:space="0" w:color="auto"/>
              <w:right w:val="single" w:sz="4" w:space="0" w:color="auto"/>
            </w:tcBorders>
            <w:shd w:val="clear" w:color="auto" w:fill="auto"/>
            <w:noWrap/>
            <w:vAlign w:val="center"/>
            <w:hideMark/>
          </w:tcPr>
          <w:p w14:paraId="3A49E3EA"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ServingSatelliteEphemerisStateVectorX</w:t>
            </w:r>
          </w:p>
        </w:tc>
        <w:tc>
          <w:tcPr>
            <w:tcW w:w="1116" w:type="pct"/>
            <w:tcBorders>
              <w:top w:val="nil"/>
              <w:left w:val="nil"/>
              <w:bottom w:val="single" w:sz="4" w:space="0" w:color="auto"/>
              <w:right w:val="single" w:sz="4" w:space="0" w:color="auto"/>
            </w:tcBorders>
            <w:shd w:val="clear" w:color="auto" w:fill="auto"/>
            <w:vAlign w:val="center"/>
            <w:hideMark/>
          </w:tcPr>
          <w:p w14:paraId="3FB94B12"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Indicate  the x-coordinate of serving  Satellite position state vector in ECEF The unit is m</w:t>
            </w:r>
          </w:p>
        </w:tc>
        <w:tc>
          <w:tcPr>
            <w:tcW w:w="705" w:type="pct"/>
            <w:tcBorders>
              <w:top w:val="nil"/>
              <w:left w:val="nil"/>
              <w:bottom w:val="single" w:sz="4" w:space="0" w:color="auto"/>
              <w:right w:val="single" w:sz="4" w:space="0" w:color="auto"/>
            </w:tcBorders>
            <w:shd w:val="clear" w:color="auto" w:fill="auto"/>
            <w:noWrap/>
            <w:vAlign w:val="center"/>
            <w:hideMark/>
          </w:tcPr>
          <w:p w14:paraId="4281BAD2"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-42200000…+42200000</w:t>
            </w:r>
          </w:p>
        </w:tc>
        <w:tc>
          <w:tcPr>
            <w:tcW w:w="222" w:type="pct"/>
            <w:tcBorders>
              <w:top w:val="nil"/>
              <w:left w:val="nil"/>
              <w:bottom w:val="single" w:sz="4" w:space="0" w:color="auto"/>
              <w:right w:val="single" w:sz="4" w:space="0" w:color="auto"/>
            </w:tcBorders>
            <w:shd w:val="clear" w:color="auto" w:fill="auto"/>
            <w:noWrap/>
            <w:vAlign w:val="center"/>
            <w:hideMark/>
          </w:tcPr>
          <w:p w14:paraId="05E8D67F"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50796F32"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5DABBFAF"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20E57358"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38.331</w:t>
            </w:r>
          </w:p>
        </w:tc>
        <w:tc>
          <w:tcPr>
            <w:tcW w:w="737" w:type="pct"/>
            <w:tcBorders>
              <w:top w:val="nil"/>
              <w:left w:val="nil"/>
              <w:bottom w:val="single" w:sz="4" w:space="0" w:color="auto"/>
              <w:right w:val="single" w:sz="4" w:space="0" w:color="auto"/>
            </w:tcBorders>
            <w:shd w:val="clear" w:color="auto" w:fill="auto"/>
            <w:noWrap/>
            <w:vAlign w:val="center"/>
            <w:hideMark/>
          </w:tcPr>
          <w:p w14:paraId="1D86B77C"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w:t>
            </w:r>
          </w:p>
        </w:tc>
      </w:tr>
      <w:tr w:rsidR="00397BBD" w:rsidRPr="003C225B" w14:paraId="233FE8AA" w14:textId="77777777" w:rsidTr="00CB1671">
        <w:trPr>
          <w:trHeight w:val="560"/>
        </w:trPr>
        <w:tc>
          <w:tcPr>
            <w:tcW w:w="1285" w:type="pct"/>
            <w:tcBorders>
              <w:top w:val="nil"/>
              <w:left w:val="single" w:sz="4" w:space="0" w:color="auto"/>
              <w:bottom w:val="single" w:sz="4" w:space="0" w:color="auto"/>
              <w:right w:val="single" w:sz="4" w:space="0" w:color="auto"/>
            </w:tcBorders>
            <w:shd w:val="clear" w:color="auto" w:fill="auto"/>
            <w:noWrap/>
            <w:vAlign w:val="center"/>
            <w:hideMark/>
          </w:tcPr>
          <w:p w14:paraId="4950835B"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ServingSatelliteEphemerisStateVectorY</w:t>
            </w:r>
          </w:p>
        </w:tc>
        <w:tc>
          <w:tcPr>
            <w:tcW w:w="1116" w:type="pct"/>
            <w:tcBorders>
              <w:top w:val="nil"/>
              <w:left w:val="nil"/>
              <w:bottom w:val="single" w:sz="4" w:space="0" w:color="auto"/>
              <w:right w:val="single" w:sz="4" w:space="0" w:color="auto"/>
            </w:tcBorders>
            <w:shd w:val="clear" w:color="auto" w:fill="auto"/>
            <w:vAlign w:val="center"/>
            <w:hideMark/>
          </w:tcPr>
          <w:p w14:paraId="30CC231C"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Indicate  the y-coordinate of serving  Satellite position state vector in ECEF The unit is m</w:t>
            </w:r>
          </w:p>
        </w:tc>
        <w:tc>
          <w:tcPr>
            <w:tcW w:w="705" w:type="pct"/>
            <w:tcBorders>
              <w:top w:val="nil"/>
              <w:left w:val="nil"/>
              <w:bottom w:val="single" w:sz="4" w:space="0" w:color="auto"/>
              <w:right w:val="single" w:sz="4" w:space="0" w:color="auto"/>
            </w:tcBorders>
            <w:shd w:val="clear" w:color="auto" w:fill="auto"/>
            <w:noWrap/>
            <w:vAlign w:val="center"/>
            <w:hideMark/>
          </w:tcPr>
          <w:p w14:paraId="226BB5FA"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-42200000…+42200000</w:t>
            </w:r>
          </w:p>
        </w:tc>
        <w:tc>
          <w:tcPr>
            <w:tcW w:w="222" w:type="pct"/>
            <w:tcBorders>
              <w:top w:val="nil"/>
              <w:left w:val="nil"/>
              <w:bottom w:val="single" w:sz="4" w:space="0" w:color="auto"/>
              <w:right w:val="single" w:sz="4" w:space="0" w:color="auto"/>
            </w:tcBorders>
            <w:shd w:val="clear" w:color="auto" w:fill="auto"/>
            <w:noWrap/>
            <w:vAlign w:val="center"/>
            <w:hideMark/>
          </w:tcPr>
          <w:p w14:paraId="1930F244"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05CAE842"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543CDF60"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3E5256F1"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38.331</w:t>
            </w:r>
          </w:p>
        </w:tc>
        <w:tc>
          <w:tcPr>
            <w:tcW w:w="737" w:type="pct"/>
            <w:tcBorders>
              <w:top w:val="nil"/>
              <w:left w:val="nil"/>
              <w:bottom w:val="single" w:sz="4" w:space="0" w:color="auto"/>
              <w:right w:val="single" w:sz="4" w:space="0" w:color="auto"/>
            </w:tcBorders>
            <w:shd w:val="clear" w:color="auto" w:fill="auto"/>
            <w:noWrap/>
            <w:vAlign w:val="center"/>
            <w:hideMark/>
          </w:tcPr>
          <w:p w14:paraId="77DE390F"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w:t>
            </w:r>
          </w:p>
        </w:tc>
      </w:tr>
      <w:tr w:rsidR="00397BBD" w:rsidRPr="003C225B" w14:paraId="1892DFBC" w14:textId="77777777" w:rsidTr="00CB1671">
        <w:trPr>
          <w:trHeight w:val="560"/>
        </w:trPr>
        <w:tc>
          <w:tcPr>
            <w:tcW w:w="1285" w:type="pct"/>
            <w:tcBorders>
              <w:top w:val="nil"/>
              <w:left w:val="single" w:sz="4" w:space="0" w:color="auto"/>
              <w:bottom w:val="single" w:sz="4" w:space="0" w:color="auto"/>
              <w:right w:val="single" w:sz="4" w:space="0" w:color="auto"/>
            </w:tcBorders>
            <w:shd w:val="clear" w:color="auto" w:fill="auto"/>
            <w:noWrap/>
            <w:vAlign w:val="center"/>
            <w:hideMark/>
          </w:tcPr>
          <w:p w14:paraId="65CD911B"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lastRenderedPageBreak/>
              <w:t>ServingSatelliteEphemerisStateVectorZ</w:t>
            </w:r>
          </w:p>
        </w:tc>
        <w:tc>
          <w:tcPr>
            <w:tcW w:w="1116" w:type="pct"/>
            <w:tcBorders>
              <w:top w:val="nil"/>
              <w:left w:val="nil"/>
              <w:bottom w:val="single" w:sz="4" w:space="0" w:color="auto"/>
              <w:right w:val="single" w:sz="4" w:space="0" w:color="auto"/>
            </w:tcBorders>
            <w:shd w:val="clear" w:color="auto" w:fill="auto"/>
            <w:vAlign w:val="center"/>
            <w:hideMark/>
          </w:tcPr>
          <w:p w14:paraId="1A44A05D"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xml:space="preserve">Indicate  the z-coordinate of serving  Satellite position state vector in ECEF The unit is m </w:t>
            </w:r>
          </w:p>
        </w:tc>
        <w:tc>
          <w:tcPr>
            <w:tcW w:w="705" w:type="pct"/>
            <w:tcBorders>
              <w:top w:val="nil"/>
              <w:left w:val="nil"/>
              <w:bottom w:val="single" w:sz="4" w:space="0" w:color="auto"/>
              <w:right w:val="single" w:sz="4" w:space="0" w:color="auto"/>
            </w:tcBorders>
            <w:shd w:val="clear" w:color="auto" w:fill="auto"/>
            <w:noWrap/>
            <w:vAlign w:val="center"/>
            <w:hideMark/>
          </w:tcPr>
          <w:p w14:paraId="55C8C44F"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-42200000…+42200000</w:t>
            </w:r>
          </w:p>
        </w:tc>
        <w:tc>
          <w:tcPr>
            <w:tcW w:w="222" w:type="pct"/>
            <w:tcBorders>
              <w:top w:val="nil"/>
              <w:left w:val="nil"/>
              <w:bottom w:val="single" w:sz="4" w:space="0" w:color="auto"/>
              <w:right w:val="single" w:sz="4" w:space="0" w:color="auto"/>
            </w:tcBorders>
            <w:shd w:val="clear" w:color="auto" w:fill="auto"/>
            <w:noWrap/>
            <w:vAlign w:val="center"/>
            <w:hideMark/>
          </w:tcPr>
          <w:p w14:paraId="121FF134"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6E751DF2"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1E0AC6C0"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1E7774B7"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38.331</w:t>
            </w:r>
          </w:p>
        </w:tc>
        <w:tc>
          <w:tcPr>
            <w:tcW w:w="737" w:type="pct"/>
            <w:tcBorders>
              <w:top w:val="nil"/>
              <w:left w:val="nil"/>
              <w:bottom w:val="single" w:sz="4" w:space="0" w:color="auto"/>
              <w:right w:val="single" w:sz="4" w:space="0" w:color="auto"/>
            </w:tcBorders>
            <w:shd w:val="clear" w:color="auto" w:fill="auto"/>
            <w:noWrap/>
            <w:vAlign w:val="center"/>
            <w:hideMark/>
          </w:tcPr>
          <w:p w14:paraId="67C55676"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w:t>
            </w:r>
          </w:p>
        </w:tc>
      </w:tr>
      <w:tr w:rsidR="00397BBD" w:rsidRPr="003C225B" w14:paraId="7B1099EA" w14:textId="77777777" w:rsidTr="00CB1671">
        <w:trPr>
          <w:trHeight w:val="460"/>
        </w:trPr>
        <w:tc>
          <w:tcPr>
            <w:tcW w:w="1285" w:type="pct"/>
            <w:tcBorders>
              <w:top w:val="nil"/>
              <w:left w:val="single" w:sz="4" w:space="0" w:color="auto"/>
              <w:bottom w:val="single" w:sz="4" w:space="0" w:color="auto"/>
              <w:right w:val="single" w:sz="4" w:space="0" w:color="auto"/>
            </w:tcBorders>
            <w:shd w:val="clear" w:color="auto" w:fill="auto"/>
            <w:noWrap/>
            <w:vAlign w:val="center"/>
            <w:hideMark/>
          </w:tcPr>
          <w:p w14:paraId="559DF43B"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ServingSatelliteEphemerisStateVectorVx</w:t>
            </w:r>
          </w:p>
        </w:tc>
        <w:tc>
          <w:tcPr>
            <w:tcW w:w="1116" w:type="pct"/>
            <w:tcBorders>
              <w:top w:val="nil"/>
              <w:left w:val="nil"/>
              <w:bottom w:val="single" w:sz="4" w:space="0" w:color="auto"/>
              <w:right w:val="single" w:sz="4" w:space="0" w:color="auto"/>
            </w:tcBorders>
            <w:shd w:val="clear" w:color="auto" w:fill="auto"/>
            <w:vAlign w:val="center"/>
            <w:hideMark/>
          </w:tcPr>
          <w:p w14:paraId="27AF5978"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Indicate the x-coordinate of serving  Satellite velocity state vector in ECEF The unit is m/s</w:t>
            </w:r>
          </w:p>
        </w:tc>
        <w:tc>
          <w:tcPr>
            <w:tcW w:w="705" w:type="pct"/>
            <w:tcBorders>
              <w:top w:val="nil"/>
              <w:left w:val="nil"/>
              <w:bottom w:val="single" w:sz="4" w:space="0" w:color="auto"/>
              <w:right w:val="single" w:sz="4" w:space="0" w:color="auto"/>
            </w:tcBorders>
            <w:shd w:val="clear" w:color="auto" w:fill="auto"/>
            <w:noWrap/>
            <w:vAlign w:val="center"/>
            <w:hideMark/>
          </w:tcPr>
          <w:p w14:paraId="0D0828DD"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- 8000…+ 8000</w:t>
            </w:r>
          </w:p>
        </w:tc>
        <w:tc>
          <w:tcPr>
            <w:tcW w:w="222" w:type="pct"/>
            <w:tcBorders>
              <w:top w:val="nil"/>
              <w:left w:val="nil"/>
              <w:bottom w:val="single" w:sz="4" w:space="0" w:color="auto"/>
              <w:right w:val="single" w:sz="4" w:space="0" w:color="auto"/>
            </w:tcBorders>
            <w:shd w:val="clear" w:color="auto" w:fill="auto"/>
            <w:noWrap/>
            <w:vAlign w:val="center"/>
            <w:hideMark/>
          </w:tcPr>
          <w:p w14:paraId="0D1458B7"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609C2152"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60B73382"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6F3FF191"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38.331</w:t>
            </w:r>
          </w:p>
        </w:tc>
        <w:tc>
          <w:tcPr>
            <w:tcW w:w="737" w:type="pct"/>
            <w:tcBorders>
              <w:top w:val="nil"/>
              <w:left w:val="nil"/>
              <w:bottom w:val="single" w:sz="4" w:space="0" w:color="auto"/>
              <w:right w:val="single" w:sz="4" w:space="0" w:color="auto"/>
            </w:tcBorders>
            <w:shd w:val="clear" w:color="auto" w:fill="auto"/>
            <w:noWrap/>
            <w:vAlign w:val="center"/>
            <w:hideMark/>
          </w:tcPr>
          <w:p w14:paraId="032344BC"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w:t>
            </w:r>
          </w:p>
        </w:tc>
      </w:tr>
      <w:tr w:rsidR="00397BBD" w:rsidRPr="003C225B" w14:paraId="2C3997A8" w14:textId="77777777" w:rsidTr="00CB1671">
        <w:trPr>
          <w:trHeight w:val="460"/>
        </w:trPr>
        <w:tc>
          <w:tcPr>
            <w:tcW w:w="1285" w:type="pct"/>
            <w:tcBorders>
              <w:top w:val="nil"/>
              <w:left w:val="single" w:sz="4" w:space="0" w:color="auto"/>
              <w:bottom w:val="single" w:sz="4" w:space="0" w:color="auto"/>
              <w:right w:val="single" w:sz="4" w:space="0" w:color="auto"/>
            </w:tcBorders>
            <w:shd w:val="clear" w:color="auto" w:fill="auto"/>
            <w:noWrap/>
            <w:vAlign w:val="center"/>
            <w:hideMark/>
          </w:tcPr>
          <w:p w14:paraId="46ED9A00"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ServingSatelliteEphemerisStateVectorVy</w:t>
            </w:r>
          </w:p>
        </w:tc>
        <w:tc>
          <w:tcPr>
            <w:tcW w:w="1116" w:type="pct"/>
            <w:tcBorders>
              <w:top w:val="nil"/>
              <w:left w:val="nil"/>
              <w:bottom w:val="single" w:sz="4" w:space="0" w:color="auto"/>
              <w:right w:val="single" w:sz="4" w:space="0" w:color="auto"/>
            </w:tcBorders>
            <w:shd w:val="clear" w:color="auto" w:fill="auto"/>
            <w:vAlign w:val="center"/>
            <w:hideMark/>
          </w:tcPr>
          <w:p w14:paraId="2439C373"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Indicate the y-coordinate of serving  Satellite velocity state vector in ECEFThe unit is m/s</w:t>
            </w:r>
          </w:p>
        </w:tc>
        <w:tc>
          <w:tcPr>
            <w:tcW w:w="705" w:type="pct"/>
            <w:tcBorders>
              <w:top w:val="nil"/>
              <w:left w:val="nil"/>
              <w:bottom w:val="single" w:sz="4" w:space="0" w:color="auto"/>
              <w:right w:val="single" w:sz="4" w:space="0" w:color="auto"/>
            </w:tcBorders>
            <w:shd w:val="clear" w:color="auto" w:fill="auto"/>
            <w:noWrap/>
            <w:vAlign w:val="center"/>
            <w:hideMark/>
          </w:tcPr>
          <w:p w14:paraId="570BD743"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- 8000…+ 8000</w:t>
            </w:r>
          </w:p>
        </w:tc>
        <w:tc>
          <w:tcPr>
            <w:tcW w:w="222" w:type="pct"/>
            <w:tcBorders>
              <w:top w:val="nil"/>
              <w:left w:val="nil"/>
              <w:bottom w:val="single" w:sz="4" w:space="0" w:color="auto"/>
              <w:right w:val="single" w:sz="4" w:space="0" w:color="auto"/>
            </w:tcBorders>
            <w:shd w:val="clear" w:color="auto" w:fill="auto"/>
            <w:noWrap/>
            <w:vAlign w:val="center"/>
            <w:hideMark/>
          </w:tcPr>
          <w:p w14:paraId="7C4DFFED"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57601817"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1C8900E6"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4EF44987"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38.331</w:t>
            </w:r>
          </w:p>
        </w:tc>
        <w:tc>
          <w:tcPr>
            <w:tcW w:w="737" w:type="pct"/>
            <w:tcBorders>
              <w:top w:val="nil"/>
              <w:left w:val="nil"/>
              <w:bottom w:val="single" w:sz="4" w:space="0" w:color="auto"/>
              <w:right w:val="single" w:sz="4" w:space="0" w:color="auto"/>
            </w:tcBorders>
            <w:shd w:val="clear" w:color="auto" w:fill="auto"/>
            <w:noWrap/>
            <w:vAlign w:val="center"/>
            <w:hideMark/>
          </w:tcPr>
          <w:p w14:paraId="0CB58EF2"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w:t>
            </w:r>
          </w:p>
        </w:tc>
      </w:tr>
      <w:tr w:rsidR="00397BBD" w:rsidRPr="003C225B" w14:paraId="77FA71EA" w14:textId="77777777" w:rsidTr="00CB1671">
        <w:trPr>
          <w:trHeight w:val="460"/>
        </w:trPr>
        <w:tc>
          <w:tcPr>
            <w:tcW w:w="1285" w:type="pct"/>
            <w:tcBorders>
              <w:top w:val="nil"/>
              <w:left w:val="single" w:sz="4" w:space="0" w:color="auto"/>
              <w:bottom w:val="single" w:sz="4" w:space="0" w:color="auto"/>
              <w:right w:val="single" w:sz="4" w:space="0" w:color="auto"/>
            </w:tcBorders>
            <w:shd w:val="clear" w:color="auto" w:fill="auto"/>
            <w:noWrap/>
            <w:vAlign w:val="bottom"/>
            <w:hideMark/>
          </w:tcPr>
          <w:p w14:paraId="387BD548"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ServingSatelliteEphemerisStateVectorVz</w:t>
            </w:r>
          </w:p>
        </w:tc>
        <w:tc>
          <w:tcPr>
            <w:tcW w:w="1116" w:type="pct"/>
            <w:tcBorders>
              <w:top w:val="nil"/>
              <w:left w:val="nil"/>
              <w:bottom w:val="single" w:sz="4" w:space="0" w:color="auto"/>
              <w:right w:val="single" w:sz="4" w:space="0" w:color="auto"/>
            </w:tcBorders>
            <w:shd w:val="clear" w:color="auto" w:fill="auto"/>
            <w:vAlign w:val="center"/>
            <w:hideMark/>
          </w:tcPr>
          <w:p w14:paraId="01B20F6A"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Indicate the z-coordinate of serving  Satellite velocity state vector in ECEF The unit is m/s</w:t>
            </w:r>
          </w:p>
        </w:tc>
        <w:tc>
          <w:tcPr>
            <w:tcW w:w="705" w:type="pct"/>
            <w:tcBorders>
              <w:top w:val="nil"/>
              <w:left w:val="nil"/>
              <w:bottom w:val="single" w:sz="4" w:space="0" w:color="auto"/>
              <w:right w:val="single" w:sz="4" w:space="0" w:color="auto"/>
            </w:tcBorders>
            <w:shd w:val="clear" w:color="auto" w:fill="auto"/>
            <w:noWrap/>
            <w:vAlign w:val="center"/>
            <w:hideMark/>
          </w:tcPr>
          <w:p w14:paraId="27060A56"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- 8000…+ 8000</w:t>
            </w:r>
          </w:p>
        </w:tc>
        <w:tc>
          <w:tcPr>
            <w:tcW w:w="222" w:type="pct"/>
            <w:tcBorders>
              <w:top w:val="nil"/>
              <w:left w:val="nil"/>
              <w:bottom w:val="single" w:sz="4" w:space="0" w:color="auto"/>
              <w:right w:val="single" w:sz="4" w:space="0" w:color="auto"/>
            </w:tcBorders>
            <w:shd w:val="clear" w:color="auto" w:fill="auto"/>
            <w:noWrap/>
            <w:vAlign w:val="center"/>
            <w:hideMark/>
          </w:tcPr>
          <w:p w14:paraId="2DC73AE5"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4F2B2FC4"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46D46478"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5D1F2982"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38.331</w:t>
            </w:r>
          </w:p>
        </w:tc>
        <w:tc>
          <w:tcPr>
            <w:tcW w:w="737" w:type="pct"/>
            <w:tcBorders>
              <w:top w:val="nil"/>
              <w:left w:val="nil"/>
              <w:bottom w:val="single" w:sz="4" w:space="0" w:color="auto"/>
              <w:right w:val="single" w:sz="4" w:space="0" w:color="auto"/>
            </w:tcBorders>
            <w:shd w:val="clear" w:color="auto" w:fill="auto"/>
            <w:noWrap/>
            <w:vAlign w:val="center"/>
            <w:hideMark/>
          </w:tcPr>
          <w:p w14:paraId="0F8838DF"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w:t>
            </w:r>
          </w:p>
        </w:tc>
      </w:tr>
      <w:tr w:rsidR="00397BBD" w:rsidRPr="003C225B" w14:paraId="0A2BFC0B" w14:textId="77777777" w:rsidTr="00CB1671">
        <w:trPr>
          <w:trHeight w:val="1410"/>
        </w:trPr>
        <w:tc>
          <w:tcPr>
            <w:tcW w:w="1285" w:type="pct"/>
            <w:tcBorders>
              <w:top w:val="nil"/>
              <w:left w:val="single" w:sz="4" w:space="0" w:color="auto"/>
              <w:bottom w:val="single" w:sz="4" w:space="0" w:color="auto"/>
              <w:right w:val="single" w:sz="4" w:space="0" w:color="auto"/>
            </w:tcBorders>
            <w:shd w:val="clear" w:color="auto" w:fill="auto"/>
            <w:noWrap/>
            <w:vAlign w:val="center"/>
            <w:hideMark/>
          </w:tcPr>
          <w:p w14:paraId="5DF112F8"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ServingSatelliteEphemerisSemiMajorAxis</w:t>
            </w:r>
          </w:p>
        </w:tc>
        <w:tc>
          <w:tcPr>
            <w:tcW w:w="1116" w:type="pct"/>
            <w:tcBorders>
              <w:top w:val="nil"/>
              <w:left w:val="nil"/>
              <w:bottom w:val="single" w:sz="4" w:space="0" w:color="auto"/>
              <w:right w:val="single" w:sz="4" w:space="0" w:color="auto"/>
            </w:tcBorders>
            <w:shd w:val="clear" w:color="auto" w:fill="auto"/>
            <w:vAlign w:val="bottom"/>
            <w:hideMark/>
          </w:tcPr>
          <w:p w14:paraId="0471A2C4"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Indicate the following ephemeris orbital parameter for the serving satellite:</w:t>
            </w:r>
            <w:r w:rsidRPr="003C225B">
              <w:rPr>
                <w:rFonts w:eastAsia="Times New Roman"/>
                <w:color w:val="000000"/>
              </w:rPr>
              <w:br/>
              <w:t xml:space="preserve">- Semi-major axis α </w:t>
            </w:r>
            <w:r w:rsidRPr="003C225B">
              <w:rPr>
                <w:rFonts w:eastAsia="Times New Roman"/>
                <w:color w:val="000000"/>
              </w:rPr>
              <w:br/>
              <w:t>The unit of Semi-major axis α is m</w:t>
            </w:r>
          </w:p>
        </w:tc>
        <w:tc>
          <w:tcPr>
            <w:tcW w:w="705" w:type="pct"/>
            <w:tcBorders>
              <w:top w:val="nil"/>
              <w:left w:val="nil"/>
              <w:bottom w:val="single" w:sz="4" w:space="0" w:color="auto"/>
              <w:right w:val="single" w:sz="4" w:space="0" w:color="auto"/>
            </w:tcBorders>
            <w:shd w:val="clear" w:color="auto" w:fill="auto"/>
            <w:noWrap/>
            <w:vAlign w:val="center"/>
            <w:hideMark/>
          </w:tcPr>
          <w:p w14:paraId="167DF78C"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6500 000… 43000 000</w:t>
            </w:r>
          </w:p>
        </w:tc>
        <w:tc>
          <w:tcPr>
            <w:tcW w:w="222" w:type="pct"/>
            <w:tcBorders>
              <w:top w:val="nil"/>
              <w:left w:val="nil"/>
              <w:bottom w:val="single" w:sz="4" w:space="0" w:color="auto"/>
              <w:right w:val="single" w:sz="4" w:space="0" w:color="auto"/>
            </w:tcBorders>
            <w:shd w:val="clear" w:color="auto" w:fill="auto"/>
            <w:noWrap/>
            <w:vAlign w:val="center"/>
            <w:hideMark/>
          </w:tcPr>
          <w:p w14:paraId="798E6E21"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6823D1A3"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412E388D"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253C4700"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38.331</w:t>
            </w:r>
          </w:p>
        </w:tc>
        <w:tc>
          <w:tcPr>
            <w:tcW w:w="737" w:type="pct"/>
            <w:tcBorders>
              <w:top w:val="nil"/>
              <w:left w:val="nil"/>
              <w:bottom w:val="single" w:sz="4" w:space="0" w:color="auto"/>
              <w:right w:val="single" w:sz="4" w:space="0" w:color="auto"/>
            </w:tcBorders>
            <w:shd w:val="clear" w:color="auto" w:fill="auto"/>
            <w:noWrap/>
            <w:vAlign w:val="center"/>
            <w:hideMark/>
          </w:tcPr>
          <w:p w14:paraId="147C934F"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w:t>
            </w:r>
          </w:p>
        </w:tc>
      </w:tr>
      <w:tr w:rsidR="00397BBD" w:rsidRPr="003C225B" w14:paraId="4FF3A095" w14:textId="77777777" w:rsidTr="00CB1671">
        <w:trPr>
          <w:trHeight w:val="460"/>
        </w:trPr>
        <w:tc>
          <w:tcPr>
            <w:tcW w:w="1285" w:type="pct"/>
            <w:tcBorders>
              <w:top w:val="nil"/>
              <w:left w:val="single" w:sz="4" w:space="0" w:color="auto"/>
              <w:bottom w:val="single" w:sz="4" w:space="0" w:color="auto"/>
              <w:right w:val="single" w:sz="4" w:space="0" w:color="auto"/>
            </w:tcBorders>
            <w:shd w:val="clear" w:color="auto" w:fill="auto"/>
            <w:noWrap/>
            <w:vAlign w:val="center"/>
            <w:hideMark/>
          </w:tcPr>
          <w:p w14:paraId="5470EA44"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ServingSatelliteEphemerisEccentricityE</w:t>
            </w:r>
          </w:p>
        </w:tc>
        <w:tc>
          <w:tcPr>
            <w:tcW w:w="1116" w:type="pct"/>
            <w:tcBorders>
              <w:top w:val="nil"/>
              <w:left w:val="nil"/>
              <w:bottom w:val="single" w:sz="4" w:space="0" w:color="auto"/>
              <w:right w:val="single" w:sz="4" w:space="0" w:color="auto"/>
            </w:tcBorders>
            <w:shd w:val="clear" w:color="auto" w:fill="auto"/>
            <w:vAlign w:val="center"/>
            <w:hideMark/>
          </w:tcPr>
          <w:p w14:paraId="0AD81C5B"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Indicate the following ephemeris orbital parameter for the serving satellite:</w:t>
            </w:r>
            <w:r w:rsidRPr="003C225B">
              <w:rPr>
                <w:rFonts w:ascii="Arial" w:eastAsia="Times New Roman" w:hAnsi="Arial" w:cs="Arial"/>
                <w:color w:val="000000"/>
                <w:sz w:val="18"/>
                <w:szCs w:val="18"/>
              </w:rPr>
              <w:br/>
              <w:t xml:space="preserve">- Eccentricity e </w:t>
            </w:r>
          </w:p>
        </w:tc>
        <w:tc>
          <w:tcPr>
            <w:tcW w:w="705" w:type="pct"/>
            <w:tcBorders>
              <w:top w:val="nil"/>
              <w:left w:val="nil"/>
              <w:bottom w:val="single" w:sz="4" w:space="0" w:color="auto"/>
              <w:right w:val="single" w:sz="4" w:space="0" w:color="auto"/>
            </w:tcBorders>
            <w:shd w:val="clear" w:color="auto" w:fill="auto"/>
            <w:noWrap/>
            <w:vAlign w:val="center"/>
            <w:hideMark/>
          </w:tcPr>
          <w:p w14:paraId="1FC486E2"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0…0.015</w:t>
            </w:r>
          </w:p>
        </w:tc>
        <w:tc>
          <w:tcPr>
            <w:tcW w:w="222" w:type="pct"/>
            <w:tcBorders>
              <w:top w:val="nil"/>
              <w:left w:val="nil"/>
              <w:bottom w:val="single" w:sz="4" w:space="0" w:color="auto"/>
              <w:right w:val="single" w:sz="4" w:space="0" w:color="auto"/>
            </w:tcBorders>
            <w:shd w:val="clear" w:color="auto" w:fill="auto"/>
            <w:noWrap/>
            <w:vAlign w:val="center"/>
            <w:hideMark/>
          </w:tcPr>
          <w:p w14:paraId="51774BF1"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68A92D19"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3D33FC09"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0E58CAF3"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38.331</w:t>
            </w:r>
          </w:p>
        </w:tc>
        <w:tc>
          <w:tcPr>
            <w:tcW w:w="737" w:type="pct"/>
            <w:tcBorders>
              <w:top w:val="nil"/>
              <w:left w:val="nil"/>
              <w:bottom w:val="single" w:sz="4" w:space="0" w:color="auto"/>
              <w:right w:val="single" w:sz="4" w:space="0" w:color="auto"/>
            </w:tcBorders>
            <w:shd w:val="clear" w:color="auto" w:fill="auto"/>
            <w:noWrap/>
            <w:vAlign w:val="center"/>
            <w:hideMark/>
          </w:tcPr>
          <w:p w14:paraId="7F6E9268"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w:t>
            </w:r>
          </w:p>
        </w:tc>
      </w:tr>
      <w:tr w:rsidR="00397BBD" w:rsidRPr="003C225B" w14:paraId="0F233C33" w14:textId="77777777" w:rsidTr="00CB1671">
        <w:trPr>
          <w:trHeight w:val="690"/>
        </w:trPr>
        <w:tc>
          <w:tcPr>
            <w:tcW w:w="1285" w:type="pct"/>
            <w:tcBorders>
              <w:top w:val="nil"/>
              <w:left w:val="single" w:sz="4" w:space="0" w:color="auto"/>
              <w:bottom w:val="single" w:sz="4" w:space="0" w:color="auto"/>
              <w:right w:val="single" w:sz="4" w:space="0" w:color="auto"/>
            </w:tcBorders>
            <w:shd w:val="clear" w:color="auto" w:fill="auto"/>
            <w:noWrap/>
            <w:vAlign w:val="center"/>
            <w:hideMark/>
          </w:tcPr>
          <w:p w14:paraId="50645742"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ServingSatelliteEphemerisArgumentOfPeriapsis</w:t>
            </w:r>
          </w:p>
        </w:tc>
        <w:tc>
          <w:tcPr>
            <w:tcW w:w="1116" w:type="pct"/>
            <w:tcBorders>
              <w:top w:val="nil"/>
              <w:left w:val="nil"/>
              <w:bottom w:val="single" w:sz="4" w:space="0" w:color="auto"/>
              <w:right w:val="single" w:sz="4" w:space="0" w:color="auto"/>
            </w:tcBorders>
            <w:shd w:val="clear" w:color="auto" w:fill="auto"/>
            <w:vAlign w:val="center"/>
            <w:hideMark/>
          </w:tcPr>
          <w:p w14:paraId="347464BB"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Indicate the following ephemeris orbital parameter for the serving satellite:</w:t>
            </w:r>
            <w:r w:rsidRPr="003C225B">
              <w:rPr>
                <w:rFonts w:ascii="Arial" w:eastAsia="Times New Roman" w:hAnsi="Arial" w:cs="Arial"/>
                <w:color w:val="000000"/>
                <w:sz w:val="18"/>
                <w:szCs w:val="18"/>
              </w:rPr>
              <w:br/>
              <w:t>- Argument of periapsis ω</w:t>
            </w:r>
            <w:r w:rsidRPr="003C225B">
              <w:rPr>
                <w:rFonts w:ascii="Arial" w:eastAsia="Times New Roman" w:hAnsi="Arial" w:cs="Arial"/>
                <w:color w:val="000000"/>
                <w:sz w:val="18"/>
                <w:szCs w:val="18"/>
              </w:rPr>
              <w:br/>
              <w:t>The unit of Argument of periapsis ω is Radian</w:t>
            </w:r>
          </w:p>
        </w:tc>
        <w:tc>
          <w:tcPr>
            <w:tcW w:w="705" w:type="pct"/>
            <w:tcBorders>
              <w:top w:val="nil"/>
              <w:left w:val="nil"/>
              <w:bottom w:val="single" w:sz="4" w:space="0" w:color="auto"/>
              <w:right w:val="single" w:sz="4" w:space="0" w:color="auto"/>
            </w:tcBorders>
            <w:shd w:val="clear" w:color="auto" w:fill="auto"/>
            <w:noWrap/>
            <w:vAlign w:val="center"/>
            <w:hideMark/>
          </w:tcPr>
          <w:p w14:paraId="70492708"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0…2π</w:t>
            </w:r>
          </w:p>
        </w:tc>
        <w:tc>
          <w:tcPr>
            <w:tcW w:w="222" w:type="pct"/>
            <w:tcBorders>
              <w:top w:val="nil"/>
              <w:left w:val="nil"/>
              <w:bottom w:val="single" w:sz="4" w:space="0" w:color="auto"/>
              <w:right w:val="single" w:sz="4" w:space="0" w:color="auto"/>
            </w:tcBorders>
            <w:shd w:val="clear" w:color="auto" w:fill="auto"/>
            <w:noWrap/>
            <w:vAlign w:val="center"/>
            <w:hideMark/>
          </w:tcPr>
          <w:p w14:paraId="416B5A96"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4E7F0FEC"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7B92ABFE"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44DD389E"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38.331</w:t>
            </w:r>
          </w:p>
        </w:tc>
        <w:tc>
          <w:tcPr>
            <w:tcW w:w="737" w:type="pct"/>
            <w:tcBorders>
              <w:top w:val="nil"/>
              <w:left w:val="nil"/>
              <w:bottom w:val="single" w:sz="4" w:space="0" w:color="auto"/>
              <w:right w:val="single" w:sz="4" w:space="0" w:color="auto"/>
            </w:tcBorders>
            <w:shd w:val="clear" w:color="auto" w:fill="auto"/>
            <w:noWrap/>
            <w:vAlign w:val="center"/>
            <w:hideMark/>
          </w:tcPr>
          <w:p w14:paraId="75D1DD49"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w:t>
            </w:r>
          </w:p>
        </w:tc>
      </w:tr>
      <w:tr w:rsidR="00397BBD" w:rsidRPr="003C225B" w14:paraId="15EC07E7" w14:textId="77777777" w:rsidTr="00CB1671">
        <w:trPr>
          <w:trHeight w:val="690"/>
        </w:trPr>
        <w:tc>
          <w:tcPr>
            <w:tcW w:w="1285" w:type="pct"/>
            <w:tcBorders>
              <w:top w:val="nil"/>
              <w:left w:val="single" w:sz="4" w:space="0" w:color="auto"/>
              <w:bottom w:val="single" w:sz="4" w:space="0" w:color="auto"/>
              <w:right w:val="single" w:sz="4" w:space="0" w:color="auto"/>
            </w:tcBorders>
            <w:shd w:val="clear" w:color="auto" w:fill="auto"/>
            <w:noWrap/>
            <w:vAlign w:val="center"/>
            <w:hideMark/>
          </w:tcPr>
          <w:p w14:paraId="55C91B9C"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ServingSatellite EphemerisLongitudeOfAscendingNode</w:t>
            </w:r>
          </w:p>
        </w:tc>
        <w:tc>
          <w:tcPr>
            <w:tcW w:w="1116" w:type="pct"/>
            <w:tcBorders>
              <w:top w:val="nil"/>
              <w:left w:val="nil"/>
              <w:bottom w:val="single" w:sz="4" w:space="0" w:color="auto"/>
              <w:right w:val="single" w:sz="4" w:space="0" w:color="auto"/>
            </w:tcBorders>
            <w:shd w:val="clear" w:color="auto" w:fill="auto"/>
            <w:vAlign w:val="center"/>
            <w:hideMark/>
          </w:tcPr>
          <w:p w14:paraId="1F351A86"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Indicate the following ephemeris orbital parameter for the serving satellite:</w:t>
            </w:r>
            <w:r w:rsidRPr="003C225B">
              <w:rPr>
                <w:rFonts w:ascii="Arial" w:eastAsia="Times New Roman" w:hAnsi="Arial" w:cs="Arial"/>
                <w:color w:val="000000"/>
                <w:sz w:val="18"/>
                <w:szCs w:val="18"/>
              </w:rPr>
              <w:br/>
              <w:t>- Longitude of ascending node Ω</w:t>
            </w:r>
            <w:r w:rsidRPr="003C225B">
              <w:rPr>
                <w:rFonts w:ascii="Arial" w:eastAsia="Times New Roman" w:hAnsi="Arial" w:cs="Arial"/>
                <w:color w:val="000000"/>
                <w:sz w:val="18"/>
                <w:szCs w:val="18"/>
              </w:rPr>
              <w:br/>
              <w:t>The unit of Longitude of ascending nod is Radian</w:t>
            </w:r>
          </w:p>
        </w:tc>
        <w:tc>
          <w:tcPr>
            <w:tcW w:w="705" w:type="pct"/>
            <w:tcBorders>
              <w:top w:val="nil"/>
              <w:left w:val="nil"/>
              <w:bottom w:val="single" w:sz="4" w:space="0" w:color="auto"/>
              <w:right w:val="single" w:sz="4" w:space="0" w:color="auto"/>
            </w:tcBorders>
            <w:shd w:val="clear" w:color="auto" w:fill="auto"/>
            <w:noWrap/>
            <w:vAlign w:val="center"/>
            <w:hideMark/>
          </w:tcPr>
          <w:p w14:paraId="53473AE7"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0…2π</w:t>
            </w:r>
          </w:p>
        </w:tc>
        <w:tc>
          <w:tcPr>
            <w:tcW w:w="222" w:type="pct"/>
            <w:tcBorders>
              <w:top w:val="nil"/>
              <w:left w:val="nil"/>
              <w:bottom w:val="single" w:sz="4" w:space="0" w:color="auto"/>
              <w:right w:val="single" w:sz="4" w:space="0" w:color="auto"/>
            </w:tcBorders>
            <w:shd w:val="clear" w:color="auto" w:fill="auto"/>
            <w:noWrap/>
            <w:vAlign w:val="center"/>
            <w:hideMark/>
          </w:tcPr>
          <w:p w14:paraId="6EABA0E8"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4948E130"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0BF3C07D"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212C2AEB"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38.331</w:t>
            </w:r>
          </w:p>
        </w:tc>
        <w:tc>
          <w:tcPr>
            <w:tcW w:w="737" w:type="pct"/>
            <w:tcBorders>
              <w:top w:val="nil"/>
              <w:left w:val="nil"/>
              <w:bottom w:val="single" w:sz="4" w:space="0" w:color="auto"/>
              <w:right w:val="single" w:sz="4" w:space="0" w:color="auto"/>
            </w:tcBorders>
            <w:shd w:val="clear" w:color="auto" w:fill="auto"/>
            <w:noWrap/>
            <w:vAlign w:val="center"/>
            <w:hideMark/>
          </w:tcPr>
          <w:p w14:paraId="367732FE"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w:t>
            </w:r>
          </w:p>
        </w:tc>
      </w:tr>
      <w:tr w:rsidR="00397BBD" w:rsidRPr="003C225B" w14:paraId="7DEE011F" w14:textId="77777777" w:rsidTr="00CB1671">
        <w:trPr>
          <w:trHeight w:val="690"/>
        </w:trPr>
        <w:tc>
          <w:tcPr>
            <w:tcW w:w="1285" w:type="pct"/>
            <w:tcBorders>
              <w:top w:val="nil"/>
              <w:left w:val="single" w:sz="4" w:space="0" w:color="auto"/>
              <w:bottom w:val="single" w:sz="4" w:space="0" w:color="auto"/>
              <w:right w:val="single" w:sz="4" w:space="0" w:color="auto"/>
            </w:tcBorders>
            <w:shd w:val="clear" w:color="auto" w:fill="auto"/>
            <w:noWrap/>
            <w:vAlign w:val="center"/>
            <w:hideMark/>
          </w:tcPr>
          <w:p w14:paraId="1AF7E34A"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ServingSatelliteEphemerisInclinationI</w:t>
            </w:r>
          </w:p>
        </w:tc>
        <w:tc>
          <w:tcPr>
            <w:tcW w:w="1116" w:type="pct"/>
            <w:tcBorders>
              <w:top w:val="nil"/>
              <w:left w:val="nil"/>
              <w:bottom w:val="single" w:sz="4" w:space="0" w:color="auto"/>
              <w:right w:val="single" w:sz="4" w:space="0" w:color="auto"/>
            </w:tcBorders>
            <w:shd w:val="clear" w:color="auto" w:fill="auto"/>
            <w:vAlign w:val="center"/>
            <w:hideMark/>
          </w:tcPr>
          <w:p w14:paraId="32D75477"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Indicate the following ephemeris orbital parameter for the serving satellite:</w:t>
            </w:r>
            <w:r w:rsidRPr="003C225B">
              <w:rPr>
                <w:rFonts w:ascii="Arial" w:eastAsia="Times New Roman" w:hAnsi="Arial" w:cs="Arial"/>
                <w:color w:val="000000"/>
                <w:sz w:val="18"/>
                <w:szCs w:val="18"/>
              </w:rPr>
              <w:br/>
              <w:t xml:space="preserve">- Inclination i </w:t>
            </w:r>
            <w:r w:rsidRPr="003C225B">
              <w:rPr>
                <w:rFonts w:ascii="Arial" w:eastAsia="Times New Roman" w:hAnsi="Arial" w:cs="Arial"/>
                <w:color w:val="000000"/>
                <w:sz w:val="18"/>
                <w:szCs w:val="18"/>
              </w:rPr>
              <w:br/>
              <w:t>The unit of Inclination is Radian</w:t>
            </w:r>
          </w:p>
        </w:tc>
        <w:tc>
          <w:tcPr>
            <w:tcW w:w="705" w:type="pct"/>
            <w:tcBorders>
              <w:top w:val="nil"/>
              <w:left w:val="nil"/>
              <w:bottom w:val="single" w:sz="4" w:space="0" w:color="auto"/>
              <w:right w:val="single" w:sz="4" w:space="0" w:color="auto"/>
            </w:tcBorders>
            <w:shd w:val="clear" w:color="auto" w:fill="auto"/>
            <w:noWrap/>
            <w:vAlign w:val="center"/>
            <w:hideMark/>
          </w:tcPr>
          <w:p w14:paraId="09D0371F"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π/2 ...+ π/2</w:t>
            </w:r>
          </w:p>
        </w:tc>
        <w:tc>
          <w:tcPr>
            <w:tcW w:w="222" w:type="pct"/>
            <w:tcBorders>
              <w:top w:val="nil"/>
              <w:left w:val="nil"/>
              <w:bottom w:val="single" w:sz="4" w:space="0" w:color="auto"/>
              <w:right w:val="single" w:sz="4" w:space="0" w:color="auto"/>
            </w:tcBorders>
            <w:shd w:val="clear" w:color="auto" w:fill="auto"/>
            <w:noWrap/>
            <w:vAlign w:val="center"/>
            <w:hideMark/>
          </w:tcPr>
          <w:p w14:paraId="13DF443B"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77494619"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511335E6"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6907AC77"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38.331</w:t>
            </w:r>
          </w:p>
        </w:tc>
        <w:tc>
          <w:tcPr>
            <w:tcW w:w="737" w:type="pct"/>
            <w:tcBorders>
              <w:top w:val="nil"/>
              <w:left w:val="nil"/>
              <w:bottom w:val="single" w:sz="4" w:space="0" w:color="auto"/>
              <w:right w:val="single" w:sz="4" w:space="0" w:color="auto"/>
            </w:tcBorders>
            <w:shd w:val="clear" w:color="auto" w:fill="auto"/>
            <w:noWrap/>
            <w:vAlign w:val="center"/>
            <w:hideMark/>
          </w:tcPr>
          <w:p w14:paraId="6670515B"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w:t>
            </w:r>
          </w:p>
        </w:tc>
      </w:tr>
      <w:tr w:rsidR="00397BBD" w:rsidRPr="003C225B" w14:paraId="09B5B55D" w14:textId="77777777" w:rsidTr="00CB1671">
        <w:trPr>
          <w:trHeight w:val="690"/>
        </w:trPr>
        <w:tc>
          <w:tcPr>
            <w:tcW w:w="1285" w:type="pct"/>
            <w:tcBorders>
              <w:top w:val="nil"/>
              <w:left w:val="single" w:sz="4" w:space="0" w:color="auto"/>
              <w:bottom w:val="single" w:sz="4" w:space="0" w:color="auto"/>
              <w:right w:val="single" w:sz="4" w:space="0" w:color="auto"/>
            </w:tcBorders>
            <w:shd w:val="clear" w:color="auto" w:fill="auto"/>
            <w:noWrap/>
            <w:vAlign w:val="center"/>
            <w:hideMark/>
          </w:tcPr>
          <w:p w14:paraId="2EAE0623"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ServingSatelliteEphemerisMeanAnomalyM</w:t>
            </w:r>
          </w:p>
        </w:tc>
        <w:tc>
          <w:tcPr>
            <w:tcW w:w="1116" w:type="pct"/>
            <w:tcBorders>
              <w:top w:val="nil"/>
              <w:left w:val="nil"/>
              <w:bottom w:val="single" w:sz="4" w:space="0" w:color="auto"/>
              <w:right w:val="single" w:sz="4" w:space="0" w:color="auto"/>
            </w:tcBorders>
            <w:shd w:val="clear" w:color="auto" w:fill="auto"/>
            <w:vAlign w:val="center"/>
            <w:hideMark/>
          </w:tcPr>
          <w:p w14:paraId="652E3A90"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Indicate the following ephemeris orbital parameter for the serving satellite:</w:t>
            </w:r>
            <w:r w:rsidRPr="003C225B">
              <w:rPr>
                <w:rFonts w:ascii="Arial" w:eastAsia="Times New Roman" w:hAnsi="Arial" w:cs="Arial"/>
                <w:color w:val="000000"/>
                <w:sz w:val="18"/>
                <w:szCs w:val="18"/>
              </w:rPr>
              <w:br/>
              <w:t>- Mean anomaly M [rad] at epoch time to</w:t>
            </w:r>
            <w:r w:rsidRPr="003C225B">
              <w:rPr>
                <w:rFonts w:ascii="Arial" w:eastAsia="Times New Roman" w:hAnsi="Arial" w:cs="Arial"/>
                <w:color w:val="000000"/>
                <w:sz w:val="18"/>
                <w:szCs w:val="18"/>
              </w:rPr>
              <w:br/>
              <w:t>The unit of Mean anomaly M is Radian</w:t>
            </w:r>
          </w:p>
        </w:tc>
        <w:tc>
          <w:tcPr>
            <w:tcW w:w="705" w:type="pct"/>
            <w:tcBorders>
              <w:top w:val="nil"/>
              <w:left w:val="nil"/>
              <w:bottom w:val="single" w:sz="4" w:space="0" w:color="auto"/>
              <w:right w:val="single" w:sz="4" w:space="0" w:color="auto"/>
            </w:tcBorders>
            <w:shd w:val="clear" w:color="auto" w:fill="auto"/>
            <w:noWrap/>
            <w:vAlign w:val="center"/>
            <w:hideMark/>
          </w:tcPr>
          <w:p w14:paraId="39899BF3"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0… 2π</w:t>
            </w:r>
          </w:p>
        </w:tc>
        <w:tc>
          <w:tcPr>
            <w:tcW w:w="222" w:type="pct"/>
            <w:tcBorders>
              <w:top w:val="nil"/>
              <w:left w:val="nil"/>
              <w:bottom w:val="single" w:sz="4" w:space="0" w:color="auto"/>
              <w:right w:val="single" w:sz="4" w:space="0" w:color="auto"/>
            </w:tcBorders>
            <w:shd w:val="clear" w:color="auto" w:fill="auto"/>
            <w:noWrap/>
            <w:vAlign w:val="center"/>
            <w:hideMark/>
          </w:tcPr>
          <w:p w14:paraId="6F3099DB"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368B6BEF"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1DB86F97"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479DBD6F"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38.331</w:t>
            </w:r>
          </w:p>
        </w:tc>
        <w:tc>
          <w:tcPr>
            <w:tcW w:w="737" w:type="pct"/>
            <w:tcBorders>
              <w:top w:val="nil"/>
              <w:left w:val="nil"/>
              <w:bottom w:val="single" w:sz="4" w:space="0" w:color="auto"/>
              <w:right w:val="single" w:sz="4" w:space="0" w:color="auto"/>
            </w:tcBorders>
            <w:shd w:val="clear" w:color="auto" w:fill="auto"/>
            <w:noWrap/>
            <w:vAlign w:val="center"/>
            <w:hideMark/>
          </w:tcPr>
          <w:p w14:paraId="09793367"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w:t>
            </w:r>
          </w:p>
        </w:tc>
      </w:tr>
      <w:tr w:rsidR="00397BBD" w:rsidRPr="003C225B" w14:paraId="6CA6763A" w14:textId="77777777" w:rsidTr="00CB1671">
        <w:trPr>
          <w:trHeight w:val="1380"/>
        </w:trPr>
        <w:tc>
          <w:tcPr>
            <w:tcW w:w="1285" w:type="pct"/>
            <w:tcBorders>
              <w:top w:val="nil"/>
              <w:left w:val="single" w:sz="4" w:space="0" w:color="auto"/>
              <w:bottom w:val="single" w:sz="4" w:space="0" w:color="auto"/>
              <w:right w:val="single" w:sz="4" w:space="0" w:color="auto"/>
            </w:tcBorders>
            <w:shd w:val="clear" w:color="auto" w:fill="auto"/>
            <w:noWrap/>
            <w:vAlign w:val="center"/>
            <w:hideMark/>
          </w:tcPr>
          <w:p w14:paraId="1AFB5414"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lastRenderedPageBreak/>
              <w:t>ntnUlSyncValidityDuration</w:t>
            </w:r>
          </w:p>
        </w:tc>
        <w:tc>
          <w:tcPr>
            <w:tcW w:w="1116" w:type="pct"/>
            <w:tcBorders>
              <w:top w:val="nil"/>
              <w:left w:val="nil"/>
              <w:bottom w:val="single" w:sz="4" w:space="0" w:color="auto"/>
              <w:right w:val="single" w:sz="4" w:space="0" w:color="auto"/>
            </w:tcBorders>
            <w:shd w:val="clear" w:color="auto" w:fill="auto"/>
            <w:vAlign w:val="center"/>
            <w:hideMark/>
          </w:tcPr>
          <w:p w14:paraId="36D54BF2"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A validity duration configured by the network for uplink synchronization assistance information (i.e. Serving satellite ephemeris and Common TA parameters) which indicates the maximum time during which the UE can apply assistance information without having acquired new assistance information.</w:t>
            </w:r>
            <w:r w:rsidRPr="003C225B">
              <w:rPr>
                <w:rFonts w:ascii="Arial" w:eastAsia="Times New Roman" w:hAnsi="Arial" w:cs="Arial"/>
                <w:color w:val="000000"/>
                <w:sz w:val="18"/>
                <w:szCs w:val="18"/>
              </w:rPr>
              <w:br/>
              <w:t>The unit of ntnUlSyncValidityDuration is second</w:t>
            </w:r>
          </w:p>
        </w:tc>
        <w:tc>
          <w:tcPr>
            <w:tcW w:w="705" w:type="pct"/>
            <w:tcBorders>
              <w:top w:val="nil"/>
              <w:left w:val="nil"/>
              <w:bottom w:val="single" w:sz="4" w:space="0" w:color="auto"/>
              <w:right w:val="single" w:sz="4" w:space="0" w:color="auto"/>
            </w:tcBorders>
            <w:shd w:val="clear" w:color="auto" w:fill="auto"/>
            <w:vAlign w:val="center"/>
            <w:hideMark/>
          </w:tcPr>
          <w:p w14:paraId="2FCF6419"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5, 10, 15, 20, 25, 30, 35, 40, 45, 50, 55, 60, 120, 180, 240}</w:t>
            </w:r>
          </w:p>
        </w:tc>
        <w:tc>
          <w:tcPr>
            <w:tcW w:w="222" w:type="pct"/>
            <w:tcBorders>
              <w:top w:val="nil"/>
              <w:left w:val="nil"/>
              <w:bottom w:val="single" w:sz="4" w:space="0" w:color="auto"/>
              <w:right w:val="single" w:sz="4" w:space="0" w:color="auto"/>
            </w:tcBorders>
            <w:shd w:val="clear" w:color="auto" w:fill="auto"/>
            <w:noWrap/>
            <w:vAlign w:val="center"/>
            <w:hideMark/>
          </w:tcPr>
          <w:p w14:paraId="423FDD1D"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w:t>
            </w:r>
          </w:p>
        </w:tc>
        <w:tc>
          <w:tcPr>
            <w:tcW w:w="238" w:type="pct"/>
            <w:tcBorders>
              <w:top w:val="nil"/>
              <w:left w:val="nil"/>
              <w:bottom w:val="single" w:sz="4" w:space="0" w:color="auto"/>
              <w:right w:val="single" w:sz="4" w:space="0" w:color="auto"/>
            </w:tcBorders>
            <w:shd w:val="clear" w:color="auto" w:fill="auto"/>
            <w:vAlign w:val="center"/>
            <w:hideMark/>
          </w:tcPr>
          <w:p w14:paraId="271266B2"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br/>
              <w:t>Cell</w:t>
            </w:r>
          </w:p>
        </w:tc>
        <w:tc>
          <w:tcPr>
            <w:tcW w:w="333" w:type="pct"/>
            <w:tcBorders>
              <w:top w:val="nil"/>
              <w:left w:val="nil"/>
              <w:bottom w:val="single" w:sz="4" w:space="0" w:color="auto"/>
              <w:right w:val="single" w:sz="4" w:space="0" w:color="auto"/>
            </w:tcBorders>
            <w:shd w:val="clear" w:color="auto" w:fill="auto"/>
            <w:noWrap/>
            <w:vAlign w:val="center"/>
            <w:hideMark/>
          </w:tcPr>
          <w:p w14:paraId="07FA873F"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3123216D"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38.331</w:t>
            </w:r>
          </w:p>
        </w:tc>
        <w:tc>
          <w:tcPr>
            <w:tcW w:w="737" w:type="pct"/>
            <w:tcBorders>
              <w:top w:val="nil"/>
              <w:left w:val="nil"/>
              <w:bottom w:val="single" w:sz="4" w:space="0" w:color="auto"/>
              <w:right w:val="single" w:sz="4" w:space="0" w:color="auto"/>
            </w:tcBorders>
            <w:shd w:val="clear" w:color="auto" w:fill="auto"/>
            <w:noWrap/>
            <w:vAlign w:val="center"/>
            <w:hideMark/>
          </w:tcPr>
          <w:p w14:paraId="2BC62C83"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FFS: Additional values for GEO</w:t>
            </w:r>
          </w:p>
        </w:tc>
      </w:tr>
      <w:tr w:rsidR="00397BBD" w:rsidRPr="003C225B" w14:paraId="1CEC87A1" w14:textId="77777777" w:rsidTr="00CB1671">
        <w:trPr>
          <w:trHeight w:val="1610"/>
        </w:trPr>
        <w:tc>
          <w:tcPr>
            <w:tcW w:w="1285" w:type="pct"/>
            <w:tcBorders>
              <w:top w:val="nil"/>
              <w:left w:val="single" w:sz="4" w:space="0" w:color="auto"/>
              <w:bottom w:val="single" w:sz="4" w:space="0" w:color="auto"/>
              <w:right w:val="single" w:sz="4" w:space="0" w:color="auto"/>
            </w:tcBorders>
            <w:shd w:val="clear" w:color="auto" w:fill="auto"/>
            <w:noWrap/>
            <w:vAlign w:val="center"/>
            <w:hideMark/>
          </w:tcPr>
          <w:p w14:paraId="49128AB4"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EpochTime</w:t>
            </w:r>
          </w:p>
        </w:tc>
        <w:tc>
          <w:tcPr>
            <w:tcW w:w="1116" w:type="pct"/>
            <w:tcBorders>
              <w:top w:val="nil"/>
              <w:left w:val="nil"/>
              <w:bottom w:val="single" w:sz="4" w:space="0" w:color="auto"/>
              <w:right w:val="single" w:sz="4" w:space="0" w:color="auto"/>
            </w:tcBorders>
            <w:shd w:val="clear" w:color="auto" w:fill="auto"/>
            <w:vAlign w:val="center"/>
            <w:hideMark/>
          </w:tcPr>
          <w:p w14:paraId="675FEA23"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Indicate the epoch time for assistance information (i.e. Serving satellite ephemeris and Common TA parameters). When explicitly provided through SIB, or through dedicated signaling, EpochTime is the starting time of a DL sub-frame, indicated by a SFN and a sub-frame number signaled together with the assistance information.The reference point for epoch time of the serving satellite ephemeris and Common TA parameters is the uplink time synchronization reference point.</w:t>
            </w:r>
          </w:p>
        </w:tc>
        <w:tc>
          <w:tcPr>
            <w:tcW w:w="705" w:type="pct"/>
            <w:tcBorders>
              <w:top w:val="nil"/>
              <w:left w:val="nil"/>
              <w:bottom w:val="single" w:sz="4" w:space="0" w:color="auto"/>
              <w:right w:val="single" w:sz="4" w:space="0" w:color="auto"/>
            </w:tcBorders>
            <w:shd w:val="clear" w:color="auto" w:fill="auto"/>
            <w:vAlign w:val="center"/>
            <w:hideMark/>
          </w:tcPr>
          <w:p w14:paraId="65A63D3E"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0 to 1023 to indicate SFN and 0 to 9 to indicate the sub-frame number.</w:t>
            </w:r>
          </w:p>
        </w:tc>
        <w:tc>
          <w:tcPr>
            <w:tcW w:w="222" w:type="pct"/>
            <w:tcBorders>
              <w:top w:val="nil"/>
              <w:left w:val="nil"/>
              <w:bottom w:val="single" w:sz="4" w:space="0" w:color="auto"/>
              <w:right w:val="single" w:sz="4" w:space="0" w:color="auto"/>
            </w:tcBorders>
            <w:shd w:val="clear" w:color="auto" w:fill="auto"/>
            <w:noWrap/>
            <w:vAlign w:val="center"/>
            <w:hideMark/>
          </w:tcPr>
          <w:p w14:paraId="35886F62"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 </w:t>
            </w:r>
          </w:p>
        </w:tc>
        <w:tc>
          <w:tcPr>
            <w:tcW w:w="238" w:type="pct"/>
            <w:tcBorders>
              <w:top w:val="nil"/>
              <w:left w:val="nil"/>
              <w:bottom w:val="single" w:sz="4" w:space="0" w:color="auto"/>
              <w:right w:val="single" w:sz="4" w:space="0" w:color="auto"/>
            </w:tcBorders>
            <w:shd w:val="clear" w:color="auto" w:fill="auto"/>
            <w:vAlign w:val="center"/>
            <w:hideMark/>
          </w:tcPr>
          <w:p w14:paraId="4E25BFBE"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1939BE42"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5744A279" w14:textId="77777777" w:rsidR="00397BBD" w:rsidRPr="003C225B" w:rsidRDefault="00397BBD" w:rsidP="00CB1671">
            <w:pPr>
              <w:autoSpaceDE/>
              <w:autoSpaceDN/>
              <w:adjustRightInd/>
              <w:snapToGrid/>
              <w:spacing w:after="0"/>
              <w:jc w:val="left"/>
              <w:rPr>
                <w:rFonts w:eastAsia="Times New Roman"/>
                <w:color w:val="000000"/>
              </w:rPr>
            </w:pPr>
            <w:r w:rsidRPr="003C225B">
              <w:rPr>
                <w:rFonts w:eastAsia="Times New Roman"/>
                <w:color w:val="000000"/>
              </w:rPr>
              <w:t>38.331</w:t>
            </w:r>
          </w:p>
        </w:tc>
        <w:tc>
          <w:tcPr>
            <w:tcW w:w="737" w:type="pct"/>
            <w:tcBorders>
              <w:top w:val="nil"/>
              <w:left w:val="nil"/>
              <w:bottom w:val="single" w:sz="4" w:space="0" w:color="auto"/>
              <w:right w:val="single" w:sz="4" w:space="0" w:color="auto"/>
            </w:tcBorders>
            <w:shd w:val="clear" w:color="auto" w:fill="auto"/>
            <w:noWrap/>
            <w:vAlign w:val="center"/>
            <w:hideMark/>
          </w:tcPr>
          <w:p w14:paraId="7F19D425" w14:textId="77777777" w:rsidR="00397BBD" w:rsidRPr="003C225B" w:rsidRDefault="00397BBD" w:rsidP="00CB1671">
            <w:pPr>
              <w:autoSpaceDE/>
              <w:autoSpaceDN/>
              <w:adjustRightInd/>
              <w:snapToGrid/>
              <w:spacing w:after="0"/>
              <w:jc w:val="left"/>
              <w:rPr>
                <w:rFonts w:ascii="Arial" w:eastAsia="Times New Roman" w:hAnsi="Arial" w:cs="Arial"/>
                <w:color w:val="000000"/>
                <w:sz w:val="18"/>
                <w:szCs w:val="18"/>
              </w:rPr>
            </w:pPr>
            <w:r w:rsidRPr="003C225B">
              <w:rPr>
                <w:rFonts w:ascii="Arial" w:eastAsia="Times New Roman" w:hAnsi="Arial" w:cs="Arial"/>
                <w:color w:val="000000"/>
                <w:sz w:val="18"/>
                <w:szCs w:val="18"/>
              </w:rPr>
              <w:t> </w:t>
            </w:r>
          </w:p>
        </w:tc>
      </w:tr>
    </w:tbl>
    <w:p w14:paraId="58254E53" w14:textId="77777777" w:rsidR="00BF5057" w:rsidRDefault="00BF5057" w:rsidP="00AF0206"/>
    <w:p w14:paraId="4A205868" w14:textId="77777777" w:rsidR="00AF0206" w:rsidRPr="00AF0206" w:rsidRDefault="00AF0206" w:rsidP="00AF0206"/>
    <w:p w14:paraId="06BC59C0" w14:textId="77777777" w:rsidR="00E302D0" w:rsidRPr="00E61DEB" w:rsidRDefault="00E302D0" w:rsidP="00E302D0">
      <w:pPr>
        <w:pStyle w:val="Titre1"/>
        <w:rPr>
          <w:sz w:val="22"/>
          <w:szCs w:val="22"/>
        </w:rPr>
      </w:pPr>
      <w:bookmarkStart w:id="14" w:name="_Toc79484739"/>
      <w:bookmarkStart w:id="15" w:name="_Toc82188772"/>
      <w:r w:rsidRPr="00E61DEB">
        <w:rPr>
          <w:sz w:val="22"/>
          <w:szCs w:val="22"/>
        </w:rPr>
        <w:t>Enhancements on HARQ</w:t>
      </w:r>
      <w:bookmarkEnd w:id="14"/>
      <w:bookmarkEnd w:id="15"/>
    </w:p>
    <w:p w14:paraId="06BC59C1" w14:textId="77777777" w:rsidR="003B5392" w:rsidRPr="00E61DEB" w:rsidRDefault="003B5392" w:rsidP="003B5392">
      <w:pPr>
        <w:pStyle w:val="Titre2"/>
        <w:rPr>
          <w:sz w:val="22"/>
        </w:rPr>
      </w:pPr>
      <w:bookmarkStart w:id="16" w:name="_Toc82188773"/>
      <w:r w:rsidRPr="00E61DEB">
        <w:rPr>
          <w:sz w:val="22"/>
        </w:rPr>
        <w:t>Related RRC parameters</w:t>
      </w:r>
      <w:bookmarkEnd w:id="16"/>
    </w:p>
    <w:p w14:paraId="06BC59C2" w14:textId="2F1A0FFE" w:rsidR="003B5392" w:rsidRPr="00E61DEB" w:rsidRDefault="003826AC" w:rsidP="003B5392">
      <w:r w:rsidRPr="00E61DEB">
        <w:t>Based on the ag</w:t>
      </w:r>
      <w:r w:rsidR="00C055CF">
        <w:t>reements to date (up to RAN1#106-bis</w:t>
      </w:r>
      <w:r w:rsidRPr="00E61DEB">
        <w:t>-e)</w:t>
      </w:r>
      <w:r w:rsidR="00D3042F" w:rsidRPr="00E61DEB">
        <w:t xml:space="preserve"> and the companies</w:t>
      </w:r>
      <w:r w:rsidR="00C055CF">
        <w:t xml:space="preserve"> proposals submitted to RAN1#107</w:t>
      </w:r>
      <w:r w:rsidR="00D3042F" w:rsidRPr="00E61DEB">
        <w:t>-e</w:t>
      </w:r>
      <w:r w:rsidR="00C055CF">
        <w:t xml:space="preserve">, an updated </w:t>
      </w:r>
      <w:r w:rsidRPr="00E61DEB">
        <w:t xml:space="preserve">list of RRC parameters pertinent to NR NTN </w:t>
      </w:r>
      <w:r w:rsidR="00D939A5" w:rsidRPr="00E61DEB">
        <w:t>and related to the e</w:t>
      </w:r>
      <w:r w:rsidRPr="00E61DEB">
        <w:t>nhancements on HARQ is given within the following table:</w:t>
      </w:r>
    </w:p>
    <w:tbl>
      <w:tblPr>
        <w:tblW w:w="20123" w:type="dxa"/>
        <w:tblInd w:w="-5" w:type="dxa"/>
        <w:tblCellMar>
          <w:left w:w="70" w:type="dxa"/>
          <w:right w:w="70" w:type="dxa"/>
        </w:tblCellMar>
        <w:tblLook w:val="04A0" w:firstRow="1" w:lastRow="0" w:firstColumn="1" w:lastColumn="0" w:noHBand="0" w:noVBand="1"/>
      </w:tblPr>
      <w:tblGrid>
        <w:gridCol w:w="3989"/>
        <w:gridCol w:w="1018"/>
        <w:gridCol w:w="3989"/>
        <w:gridCol w:w="2727"/>
        <w:gridCol w:w="1017"/>
        <w:gridCol w:w="818"/>
        <w:gridCol w:w="636"/>
        <w:gridCol w:w="885"/>
        <w:gridCol w:w="1385"/>
        <w:gridCol w:w="2129"/>
        <w:gridCol w:w="1530"/>
      </w:tblGrid>
      <w:tr w:rsidR="002D6400" w:rsidRPr="00EB2310" w14:paraId="71D4D29F" w14:textId="77777777" w:rsidTr="002D6400">
        <w:trPr>
          <w:trHeight w:val="520"/>
          <w:tblHeader/>
        </w:trPr>
        <w:tc>
          <w:tcPr>
            <w:tcW w:w="3989"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2598257" w14:textId="77777777" w:rsidR="002D6400" w:rsidRPr="00EB2310" w:rsidRDefault="002D6400" w:rsidP="002D6400">
            <w:pPr>
              <w:autoSpaceDE/>
              <w:autoSpaceDN/>
              <w:adjustRightInd/>
              <w:snapToGrid/>
              <w:spacing w:after="0"/>
              <w:jc w:val="left"/>
              <w:rPr>
                <w:rFonts w:ascii="Arial" w:eastAsia="Times New Roman" w:hAnsi="Arial" w:cs="Arial"/>
                <w:b/>
                <w:bCs/>
                <w:color w:val="FFFFFF"/>
                <w:sz w:val="20"/>
                <w:szCs w:val="20"/>
                <w:lang w:eastAsia="fr-FR"/>
              </w:rPr>
            </w:pPr>
            <w:r w:rsidRPr="00EB2310">
              <w:rPr>
                <w:rFonts w:ascii="Arial" w:eastAsia="Times New Roman" w:hAnsi="Arial" w:cs="Arial"/>
                <w:b/>
                <w:bCs/>
                <w:color w:val="FFFFFF"/>
                <w:sz w:val="20"/>
                <w:szCs w:val="20"/>
                <w:lang w:eastAsia="fr-FR"/>
              </w:rPr>
              <w:t>Parameter name in the spec</w:t>
            </w:r>
          </w:p>
        </w:tc>
        <w:tc>
          <w:tcPr>
            <w:tcW w:w="932" w:type="dxa"/>
            <w:tcBorders>
              <w:top w:val="single" w:sz="4" w:space="0" w:color="auto"/>
              <w:left w:val="nil"/>
              <w:bottom w:val="single" w:sz="4" w:space="0" w:color="auto"/>
              <w:right w:val="single" w:sz="4" w:space="0" w:color="auto"/>
            </w:tcBorders>
            <w:shd w:val="clear" w:color="000000" w:fill="00B0F0"/>
            <w:vAlign w:val="center"/>
            <w:hideMark/>
          </w:tcPr>
          <w:p w14:paraId="6EEA42AE" w14:textId="77777777" w:rsidR="002D6400" w:rsidRPr="00EB2310" w:rsidRDefault="002D6400" w:rsidP="002D6400">
            <w:pPr>
              <w:autoSpaceDE/>
              <w:autoSpaceDN/>
              <w:adjustRightInd/>
              <w:snapToGrid/>
              <w:spacing w:after="0"/>
              <w:jc w:val="left"/>
              <w:rPr>
                <w:rFonts w:ascii="Arial" w:eastAsia="Times New Roman" w:hAnsi="Arial" w:cs="Arial"/>
                <w:b/>
                <w:bCs/>
                <w:color w:val="FFFFFF"/>
                <w:sz w:val="20"/>
                <w:szCs w:val="20"/>
                <w:lang w:val="fr-FR" w:eastAsia="fr-FR"/>
              </w:rPr>
            </w:pPr>
            <w:r w:rsidRPr="00EB2310">
              <w:rPr>
                <w:rFonts w:ascii="Arial" w:eastAsia="Times New Roman" w:hAnsi="Arial" w:cs="Arial"/>
                <w:b/>
                <w:bCs/>
                <w:color w:val="FFFFFF"/>
                <w:sz w:val="20"/>
                <w:szCs w:val="20"/>
                <w:lang w:val="fr-FR" w:eastAsia="fr-FR"/>
              </w:rPr>
              <w:t>New or existing?</w:t>
            </w:r>
          </w:p>
        </w:tc>
        <w:tc>
          <w:tcPr>
            <w:tcW w:w="3989" w:type="dxa"/>
            <w:tcBorders>
              <w:top w:val="single" w:sz="4" w:space="0" w:color="auto"/>
              <w:left w:val="nil"/>
              <w:bottom w:val="single" w:sz="4" w:space="0" w:color="auto"/>
              <w:right w:val="single" w:sz="4" w:space="0" w:color="auto"/>
            </w:tcBorders>
            <w:shd w:val="clear" w:color="000000" w:fill="00B0F0"/>
            <w:vAlign w:val="center"/>
            <w:hideMark/>
          </w:tcPr>
          <w:p w14:paraId="2C0D0FD0" w14:textId="77777777" w:rsidR="002D6400" w:rsidRPr="00EB2310" w:rsidRDefault="002D6400" w:rsidP="002D6400">
            <w:pPr>
              <w:autoSpaceDE/>
              <w:autoSpaceDN/>
              <w:adjustRightInd/>
              <w:snapToGrid/>
              <w:spacing w:after="0"/>
              <w:jc w:val="left"/>
              <w:rPr>
                <w:rFonts w:ascii="Arial" w:eastAsia="Times New Roman" w:hAnsi="Arial" w:cs="Arial"/>
                <w:b/>
                <w:bCs/>
                <w:color w:val="FFFFFF"/>
                <w:sz w:val="20"/>
                <w:szCs w:val="20"/>
                <w:lang w:eastAsia="fr-FR"/>
              </w:rPr>
            </w:pPr>
            <w:r w:rsidRPr="00EB2310">
              <w:rPr>
                <w:rFonts w:ascii="Arial" w:eastAsia="Times New Roman" w:hAnsi="Arial" w:cs="Arial"/>
                <w:b/>
                <w:bCs/>
                <w:color w:val="FFFFFF"/>
                <w:sz w:val="20"/>
                <w:szCs w:val="20"/>
                <w:lang w:eastAsia="fr-FR"/>
              </w:rPr>
              <w:t>Parameter name in the text</w:t>
            </w:r>
          </w:p>
        </w:tc>
        <w:tc>
          <w:tcPr>
            <w:tcW w:w="3074" w:type="dxa"/>
            <w:tcBorders>
              <w:top w:val="single" w:sz="4" w:space="0" w:color="auto"/>
              <w:left w:val="nil"/>
              <w:bottom w:val="single" w:sz="4" w:space="0" w:color="auto"/>
              <w:right w:val="single" w:sz="4" w:space="0" w:color="auto"/>
            </w:tcBorders>
            <w:shd w:val="clear" w:color="000000" w:fill="00B0F0"/>
            <w:vAlign w:val="center"/>
            <w:hideMark/>
          </w:tcPr>
          <w:p w14:paraId="0C24691F" w14:textId="77777777" w:rsidR="002D6400" w:rsidRPr="00EB2310" w:rsidRDefault="002D6400" w:rsidP="002D6400">
            <w:pPr>
              <w:autoSpaceDE/>
              <w:autoSpaceDN/>
              <w:adjustRightInd/>
              <w:snapToGrid/>
              <w:spacing w:after="0"/>
              <w:jc w:val="left"/>
              <w:rPr>
                <w:rFonts w:ascii="Arial" w:eastAsia="Times New Roman" w:hAnsi="Arial" w:cs="Arial"/>
                <w:b/>
                <w:bCs/>
                <w:color w:val="FFFFFF"/>
                <w:sz w:val="20"/>
                <w:szCs w:val="20"/>
                <w:lang w:val="fr-FR" w:eastAsia="fr-FR"/>
              </w:rPr>
            </w:pPr>
            <w:r w:rsidRPr="00EB2310">
              <w:rPr>
                <w:rFonts w:ascii="Arial" w:eastAsia="Times New Roman" w:hAnsi="Arial" w:cs="Arial"/>
                <w:b/>
                <w:bCs/>
                <w:color w:val="FFFFFF"/>
                <w:sz w:val="20"/>
                <w:szCs w:val="20"/>
                <w:lang w:val="fr-FR" w:eastAsia="fr-FR"/>
              </w:rPr>
              <w:t>Description</w:t>
            </w:r>
          </w:p>
        </w:tc>
        <w:tc>
          <w:tcPr>
            <w:tcW w:w="1017" w:type="dxa"/>
            <w:tcBorders>
              <w:top w:val="single" w:sz="4" w:space="0" w:color="auto"/>
              <w:left w:val="nil"/>
              <w:bottom w:val="single" w:sz="4" w:space="0" w:color="auto"/>
              <w:right w:val="single" w:sz="4" w:space="0" w:color="auto"/>
            </w:tcBorders>
            <w:shd w:val="clear" w:color="000000" w:fill="00B0F0"/>
            <w:vAlign w:val="center"/>
            <w:hideMark/>
          </w:tcPr>
          <w:p w14:paraId="6BE17378" w14:textId="77777777" w:rsidR="002D6400" w:rsidRPr="00EB2310" w:rsidRDefault="002D6400" w:rsidP="002D6400">
            <w:pPr>
              <w:autoSpaceDE/>
              <w:autoSpaceDN/>
              <w:adjustRightInd/>
              <w:snapToGrid/>
              <w:spacing w:after="0"/>
              <w:jc w:val="left"/>
              <w:rPr>
                <w:rFonts w:ascii="Arial" w:eastAsia="Times New Roman" w:hAnsi="Arial" w:cs="Arial"/>
                <w:b/>
                <w:bCs/>
                <w:color w:val="FFFFFF"/>
                <w:sz w:val="20"/>
                <w:szCs w:val="20"/>
                <w:lang w:val="fr-FR" w:eastAsia="fr-FR"/>
              </w:rPr>
            </w:pPr>
            <w:r w:rsidRPr="00EB2310">
              <w:rPr>
                <w:rFonts w:ascii="Arial" w:eastAsia="Times New Roman" w:hAnsi="Arial" w:cs="Arial"/>
                <w:b/>
                <w:bCs/>
                <w:color w:val="FFFFFF"/>
                <w:sz w:val="20"/>
                <w:szCs w:val="20"/>
                <w:lang w:val="fr-FR" w:eastAsia="fr-FR"/>
              </w:rPr>
              <w:t>Value range</w:t>
            </w:r>
          </w:p>
        </w:tc>
        <w:tc>
          <w:tcPr>
            <w:tcW w:w="752" w:type="dxa"/>
            <w:tcBorders>
              <w:top w:val="single" w:sz="4" w:space="0" w:color="auto"/>
              <w:left w:val="nil"/>
              <w:bottom w:val="single" w:sz="4" w:space="0" w:color="auto"/>
              <w:right w:val="single" w:sz="4" w:space="0" w:color="auto"/>
            </w:tcBorders>
            <w:shd w:val="clear" w:color="000000" w:fill="00B0F0"/>
            <w:vAlign w:val="center"/>
            <w:hideMark/>
          </w:tcPr>
          <w:p w14:paraId="4317BF0D" w14:textId="77777777" w:rsidR="002D6400" w:rsidRPr="00EB2310" w:rsidRDefault="002D6400" w:rsidP="002D6400">
            <w:pPr>
              <w:autoSpaceDE/>
              <w:autoSpaceDN/>
              <w:adjustRightInd/>
              <w:snapToGrid/>
              <w:spacing w:after="0"/>
              <w:jc w:val="left"/>
              <w:rPr>
                <w:rFonts w:ascii="Arial" w:eastAsia="Times New Roman" w:hAnsi="Arial" w:cs="Arial"/>
                <w:b/>
                <w:bCs/>
                <w:color w:val="FFFFFF"/>
                <w:sz w:val="20"/>
                <w:szCs w:val="20"/>
                <w:lang w:val="fr-FR" w:eastAsia="fr-FR"/>
              </w:rPr>
            </w:pPr>
            <w:r w:rsidRPr="00EB2310">
              <w:rPr>
                <w:rFonts w:ascii="Arial" w:eastAsia="Times New Roman" w:hAnsi="Arial" w:cs="Arial"/>
                <w:b/>
                <w:bCs/>
                <w:color w:val="FFFFFF"/>
                <w:sz w:val="20"/>
                <w:szCs w:val="20"/>
                <w:lang w:val="fr-FR" w:eastAsia="fr-FR"/>
              </w:rPr>
              <w:t>Default value aspect</w:t>
            </w:r>
          </w:p>
        </w:tc>
        <w:tc>
          <w:tcPr>
            <w:tcW w:w="636" w:type="dxa"/>
            <w:tcBorders>
              <w:top w:val="single" w:sz="4" w:space="0" w:color="auto"/>
              <w:left w:val="nil"/>
              <w:bottom w:val="single" w:sz="4" w:space="0" w:color="auto"/>
              <w:right w:val="single" w:sz="4" w:space="0" w:color="auto"/>
            </w:tcBorders>
            <w:shd w:val="clear" w:color="000000" w:fill="00B0F0"/>
            <w:vAlign w:val="center"/>
            <w:hideMark/>
          </w:tcPr>
          <w:p w14:paraId="01092454" w14:textId="77777777" w:rsidR="002D6400" w:rsidRPr="00EB2310" w:rsidRDefault="002D6400" w:rsidP="002D6400">
            <w:pPr>
              <w:autoSpaceDE/>
              <w:autoSpaceDN/>
              <w:adjustRightInd/>
              <w:snapToGrid/>
              <w:spacing w:after="0"/>
              <w:jc w:val="left"/>
              <w:rPr>
                <w:rFonts w:ascii="Arial" w:eastAsia="Times New Roman" w:hAnsi="Arial" w:cs="Arial"/>
                <w:b/>
                <w:bCs/>
                <w:color w:val="FFFFFF"/>
                <w:sz w:val="20"/>
                <w:szCs w:val="20"/>
                <w:lang w:val="fr-FR" w:eastAsia="fr-FR"/>
              </w:rPr>
            </w:pPr>
            <w:r w:rsidRPr="00EB2310">
              <w:rPr>
                <w:rFonts w:ascii="Arial" w:eastAsia="Times New Roman" w:hAnsi="Arial" w:cs="Arial"/>
                <w:b/>
                <w:bCs/>
                <w:color w:val="FFFFFF"/>
                <w:sz w:val="20"/>
                <w:szCs w:val="20"/>
                <w:lang w:val="fr-FR" w:eastAsia="fr-FR"/>
              </w:rPr>
              <w:t>Per (UE, cell, TRP, …)</w:t>
            </w:r>
          </w:p>
        </w:tc>
        <w:tc>
          <w:tcPr>
            <w:tcW w:w="812" w:type="dxa"/>
            <w:tcBorders>
              <w:top w:val="single" w:sz="4" w:space="0" w:color="auto"/>
              <w:left w:val="nil"/>
              <w:bottom w:val="single" w:sz="4" w:space="0" w:color="auto"/>
              <w:right w:val="single" w:sz="4" w:space="0" w:color="auto"/>
            </w:tcBorders>
            <w:shd w:val="clear" w:color="000000" w:fill="00B0F0"/>
            <w:vAlign w:val="center"/>
            <w:hideMark/>
          </w:tcPr>
          <w:p w14:paraId="56C34C62" w14:textId="77777777" w:rsidR="002D6400" w:rsidRPr="00EB2310" w:rsidRDefault="002D6400" w:rsidP="002D6400">
            <w:pPr>
              <w:autoSpaceDE/>
              <w:autoSpaceDN/>
              <w:adjustRightInd/>
              <w:snapToGrid/>
              <w:spacing w:after="0"/>
              <w:jc w:val="left"/>
              <w:rPr>
                <w:rFonts w:ascii="Arial" w:eastAsia="Times New Roman" w:hAnsi="Arial" w:cs="Arial"/>
                <w:b/>
                <w:bCs/>
                <w:color w:val="FFFFFF"/>
                <w:sz w:val="20"/>
                <w:szCs w:val="20"/>
                <w:lang w:eastAsia="fr-FR"/>
              </w:rPr>
            </w:pPr>
            <w:r w:rsidRPr="00EB2310">
              <w:rPr>
                <w:rFonts w:ascii="Arial" w:eastAsia="Times New Roman" w:hAnsi="Arial" w:cs="Arial"/>
                <w:b/>
                <w:bCs/>
                <w:color w:val="FFFFFF"/>
                <w:sz w:val="20"/>
                <w:szCs w:val="20"/>
                <w:lang w:eastAsia="fr-FR"/>
              </w:rPr>
              <w:t>UE-specific or Cell-specific</w:t>
            </w:r>
          </w:p>
        </w:tc>
        <w:tc>
          <w:tcPr>
            <w:tcW w:w="1263" w:type="dxa"/>
            <w:tcBorders>
              <w:top w:val="single" w:sz="4" w:space="0" w:color="auto"/>
              <w:left w:val="nil"/>
              <w:bottom w:val="single" w:sz="4" w:space="0" w:color="auto"/>
              <w:right w:val="single" w:sz="4" w:space="0" w:color="auto"/>
            </w:tcBorders>
            <w:shd w:val="clear" w:color="000000" w:fill="00B0F0"/>
            <w:vAlign w:val="center"/>
            <w:hideMark/>
          </w:tcPr>
          <w:p w14:paraId="1D562957" w14:textId="77777777" w:rsidR="002D6400" w:rsidRPr="00EB2310" w:rsidRDefault="002D6400" w:rsidP="002D6400">
            <w:pPr>
              <w:autoSpaceDE/>
              <w:autoSpaceDN/>
              <w:adjustRightInd/>
              <w:snapToGrid/>
              <w:spacing w:after="0"/>
              <w:jc w:val="left"/>
              <w:rPr>
                <w:rFonts w:ascii="Arial" w:eastAsia="Times New Roman" w:hAnsi="Arial" w:cs="Arial"/>
                <w:b/>
                <w:bCs/>
                <w:color w:val="FFFFFF"/>
                <w:sz w:val="20"/>
                <w:szCs w:val="20"/>
                <w:lang w:val="fr-FR" w:eastAsia="fr-FR"/>
              </w:rPr>
            </w:pPr>
            <w:r w:rsidRPr="00EB2310">
              <w:rPr>
                <w:rFonts w:ascii="Arial" w:eastAsia="Times New Roman" w:hAnsi="Arial" w:cs="Arial"/>
                <w:b/>
                <w:bCs/>
                <w:color w:val="FFFFFF"/>
                <w:sz w:val="20"/>
                <w:szCs w:val="20"/>
                <w:lang w:val="fr-FR" w:eastAsia="fr-FR"/>
              </w:rPr>
              <w:t>Specification</w:t>
            </w:r>
          </w:p>
        </w:tc>
        <w:tc>
          <w:tcPr>
            <w:tcW w:w="2129" w:type="dxa"/>
            <w:tcBorders>
              <w:top w:val="single" w:sz="4" w:space="0" w:color="auto"/>
              <w:left w:val="nil"/>
              <w:bottom w:val="single" w:sz="4" w:space="0" w:color="auto"/>
              <w:right w:val="single" w:sz="4" w:space="0" w:color="auto"/>
            </w:tcBorders>
            <w:shd w:val="clear" w:color="000000" w:fill="00B0F0"/>
            <w:vAlign w:val="center"/>
            <w:hideMark/>
          </w:tcPr>
          <w:p w14:paraId="0D7CB677" w14:textId="77777777" w:rsidR="002D6400" w:rsidRPr="00EB2310" w:rsidRDefault="002D6400" w:rsidP="002D6400">
            <w:pPr>
              <w:autoSpaceDE/>
              <w:autoSpaceDN/>
              <w:adjustRightInd/>
              <w:snapToGrid/>
              <w:spacing w:after="0"/>
              <w:jc w:val="left"/>
              <w:rPr>
                <w:rFonts w:ascii="Arial" w:eastAsia="Times New Roman" w:hAnsi="Arial" w:cs="Arial"/>
                <w:b/>
                <w:bCs/>
                <w:color w:val="FFFFFF"/>
                <w:sz w:val="20"/>
                <w:szCs w:val="20"/>
                <w:lang w:val="fr-FR" w:eastAsia="fr-FR"/>
              </w:rPr>
            </w:pPr>
            <w:r w:rsidRPr="00EB2310">
              <w:rPr>
                <w:rFonts w:ascii="Arial" w:eastAsia="Times New Roman" w:hAnsi="Arial" w:cs="Arial"/>
                <w:b/>
                <w:bCs/>
                <w:color w:val="FFFFFF"/>
                <w:sz w:val="20"/>
                <w:szCs w:val="20"/>
                <w:lang w:val="fr-FR" w:eastAsia="fr-FR"/>
              </w:rPr>
              <w:t>Comment</w:t>
            </w:r>
          </w:p>
        </w:tc>
        <w:tc>
          <w:tcPr>
            <w:tcW w:w="1530" w:type="dxa"/>
            <w:tcBorders>
              <w:top w:val="single" w:sz="4" w:space="0" w:color="auto"/>
              <w:left w:val="nil"/>
              <w:bottom w:val="single" w:sz="4" w:space="0" w:color="auto"/>
              <w:right w:val="single" w:sz="4" w:space="0" w:color="auto"/>
            </w:tcBorders>
            <w:shd w:val="clear" w:color="000000" w:fill="00B0F0"/>
            <w:vAlign w:val="center"/>
            <w:hideMark/>
          </w:tcPr>
          <w:p w14:paraId="0470AE21" w14:textId="77777777" w:rsidR="002D6400" w:rsidRPr="00EB2310" w:rsidRDefault="002D6400" w:rsidP="002D6400">
            <w:pPr>
              <w:autoSpaceDE/>
              <w:autoSpaceDN/>
              <w:adjustRightInd/>
              <w:snapToGrid/>
              <w:spacing w:after="0"/>
              <w:jc w:val="left"/>
              <w:rPr>
                <w:rFonts w:ascii="Arial" w:eastAsia="Times New Roman" w:hAnsi="Arial" w:cs="Arial"/>
                <w:b/>
                <w:bCs/>
                <w:color w:val="FFFFFF"/>
                <w:sz w:val="20"/>
                <w:szCs w:val="20"/>
                <w:lang w:val="fr-FR" w:eastAsia="fr-FR"/>
              </w:rPr>
            </w:pPr>
            <w:r w:rsidRPr="00EB2310">
              <w:rPr>
                <w:rFonts w:ascii="Arial" w:eastAsia="Times New Roman" w:hAnsi="Arial" w:cs="Arial"/>
                <w:b/>
                <w:bCs/>
                <w:color w:val="FFFFFF"/>
                <w:sz w:val="20"/>
                <w:szCs w:val="20"/>
                <w:lang w:val="fr-FR" w:eastAsia="fr-FR"/>
              </w:rPr>
              <w:t>Status</w:t>
            </w:r>
          </w:p>
        </w:tc>
      </w:tr>
      <w:tr w:rsidR="002D6400" w:rsidRPr="00EB2310" w14:paraId="63612908" w14:textId="77777777" w:rsidTr="002D6400">
        <w:trPr>
          <w:trHeight w:val="69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0CA1052B"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harq-ProcessNumberSizeDCI-1-2-r17</w:t>
            </w:r>
          </w:p>
        </w:tc>
        <w:tc>
          <w:tcPr>
            <w:tcW w:w="932" w:type="dxa"/>
            <w:tcBorders>
              <w:top w:val="nil"/>
              <w:left w:val="nil"/>
              <w:bottom w:val="single" w:sz="4" w:space="0" w:color="auto"/>
              <w:right w:val="single" w:sz="4" w:space="0" w:color="auto"/>
            </w:tcBorders>
            <w:shd w:val="clear" w:color="auto" w:fill="auto"/>
            <w:noWrap/>
            <w:vAlign w:val="center"/>
            <w:hideMark/>
          </w:tcPr>
          <w:p w14:paraId="184FE936"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extension of R16</w:t>
            </w:r>
          </w:p>
        </w:tc>
        <w:tc>
          <w:tcPr>
            <w:tcW w:w="3989" w:type="dxa"/>
            <w:tcBorders>
              <w:top w:val="nil"/>
              <w:left w:val="nil"/>
              <w:bottom w:val="single" w:sz="4" w:space="0" w:color="auto"/>
              <w:right w:val="single" w:sz="4" w:space="0" w:color="auto"/>
            </w:tcBorders>
            <w:shd w:val="clear" w:color="auto" w:fill="auto"/>
            <w:noWrap/>
            <w:vAlign w:val="center"/>
            <w:hideMark/>
          </w:tcPr>
          <w:p w14:paraId="4CB284FF"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harq-ProcessNumberSizeDCI-1-2-r17</w:t>
            </w:r>
          </w:p>
        </w:tc>
        <w:tc>
          <w:tcPr>
            <w:tcW w:w="3074" w:type="dxa"/>
            <w:tcBorders>
              <w:top w:val="nil"/>
              <w:left w:val="nil"/>
              <w:bottom w:val="single" w:sz="4" w:space="0" w:color="auto"/>
              <w:right w:val="single" w:sz="4" w:space="0" w:color="auto"/>
            </w:tcBorders>
            <w:shd w:val="clear" w:color="auto" w:fill="auto"/>
            <w:vAlign w:val="center"/>
            <w:hideMark/>
          </w:tcPr>
          <w:p w14:paraId="77A5164E"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Configure the number of bits for the field "HARQ process number" in DCI format 1_2 (see TS 38.212 , clause 7.3.1).</w:t>
            </w:r>
          </w:p>
        </w:tc>
        <w:tc>
          <w:tcPr>
            <w:tcW w:w="1017" w:type="dxa"/>
            <w:tcBorders>
              <w:top w:val="nil"/>
              <w:left w:val="nil"/>
              <w:bottom w:val="single" w:sz="4" w:space="0" w:color="auto"/>
              <w:right w:val="single" w:sz="4" w:space="0" w:color="auto"/>
            </w:tcBorders>
            <w:shd w:val="clear" w:color="auto" w:fill="auto"/>
            <w:vAlign w:val="center"/>
            <w:hideMark/>
          </w:tcPr>
          <w:p w14:paraId="1355AF37"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eastAsia="fr-FR"/>
              </w:rPr>
              <w:t xml:space="preserve"> </w:t>
            </w:r>
            <w:r w:rsidRPr="00EB2310">
              <w:rPr>
                <w:rFonts w:ascii="Arial" w:eastAsia="Times New Roman" w:hAnsi="Arial" w:cs="Arial"/>
                <w:color w:val="000000"/>
                <w:sz w:val="18"/>
                <w:szCs w:val="18"/>
                <w:lang w:eastAsia="fr-FR"/>
              </w:rPr>
              <w:br/>
            </w:r>
            <w:r w:rsidRPr="00EB2310">
              <w:rPr>
                <w:rFonts w:ascii="Arial" w:eastAsia="Times New Roman" w:hAnsi="Arial" w:cs="Arial"/>
                <w:color w:val="000000"/>
                <w:sz w:val="18"/>
                <w:szCs w:val="18"/>
                <w:lang w:val="fr-FR" w:eastAsia="fr-FR"/>
              </w:rPr>
              <w:t xml:space="preserve">0..5      </w:t>
            </w:r>
          </w:p>
        </w:tc>
        <w:tc>
          <w:tcPr>
            <w:tcW w:w="752" w:type="dxa"/>
            <w:tcBorders>
              <w:top w:val="nil"/>
              <w:left w:val="nil"/>
              <w:bottom w:val="single" w:sz="4" w:space="0" w:color="auto"/>
              <w:right w:val="single" w:sz="4" w:space="0" w:color="auto"/>
            </w:tcBorders>
            <w:shd w:val="clear" w:color="auto" w:fill="auto"/>
            <w:noWrap/>
            <w:vAlign w:val="center"/>
            <w:hideMark/>
          </w:tcPr>
          <w:p w14:paraId="592F94A4"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1166323F"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BWP</w:t>
            </w:r>
          </w:p>
        </w:tc>
        <w:tc>
          <w:tcPr>
            <w:tcW w:w="812" w:type="dxa"/>
            <w:tcBorders>
              <w:top w:val="nil"/>
              <w:left w:val="nil"/>
              <w:bottom w:val="single" w:sz="4" w:space="0" w:color="auto"/>
              <w:right w:val="single" w:sz="4" w:space="0" w:color="auto"/>
            </w:tcBorders>
            <w:shd w:val="clear" w:color="auto" w:fill="auto"/>
            <w:noWrap/>
            <w:vAlign w:val="center"/>
            <w:hideMark/>
          </w:tcPr>
          <w:p w14:paraId="18A24620"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UE-specific</w:t>
            </w:r>
          </w:p>
        </w:tc>
        <w:tc>
          <w:tcPr>
            <w:tcW w:w="1263" w:type="dxa"/>
            <w:tcBorders>
              <w:top w:val="nil"/>
              <w:left w:val="nil"/>
              <w:bottom w:val="single" w:sz="4" w:space="0" w:color="auto"/>
              <w:right w:val="single" w:sz="4" w:space="0" w:color="auto"/>
            </w:tcBorders>
            <w:shd w:val="clear" w:color="auto" w:fill="auto"/>
            <w:noWrap/>
            <w:vAlign w:val="center"/>
            <w:hideMark/>
          </w:tcPr>
          <w:p w14:paraId="2468E5AF"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noWrap/>
            <w:vAlign w:val="center"/>
            <w:hideMark/>
          </w:tcPr>
          <w:p w14:paraId="67403CEB"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 </w:t>
            </w:r>
          </w:p>
        </w:tc>
        <w:tc>
          <w:tcPr>
            <w:tcW w:w="1530" w:type="dxa"/>
            <w:tcBorders>
              <w:top w:val="nil"/>
              <w:left w:val="nil"/>
              <w:bottom w:val="single" w:sz="4" w:space="0" w:color="auto"/>
              <w:right w:val="single" w:sz="4" w:space="0" w:color="auto"/>
            </w:tcBorders>
            <w:shd w:val="clear" w:color="auto" w:fill="auto"/>
            <w:noWrap/>
            <w:vAlign w:val="bottom"/>
            <w:hideMark/>
          </w:tcPr>
          <w:p w14:paraId="266DF51D" w14:textId="77777777" w:rsidR="002D6400" w:rsidRPr="00EB2310" w:rsidRDefault="002D6400" w:rsidP="002D6400">
            <w:pPr>
              <w:autoSpaceDE/>
              <w:autoSpaceDN/>
              <w:adjustRightInd/>
              <w:snapToGrid/>
              <w:spacing w:after="0"/>
              <w:jc w:val="left"/>
              <w:rPr>
                <w:rFonts w:ascii="Calibri" w:eastAsia="Times New Roman" w:hAnsi="Calibri" w:cs="Calibri"/>
                <w:color w:val="00B050"/>
                <w:lang w:val="fr-FR" w:eastAsia="fr-FR"/>
              </w:rPr>
            </w:pPr>
            <w:r w:rsidRPr="00EB2310">
              <w:rPr>
                <w:rFonts w:ascii="Calibri" w:eastAsia="Times New Roman" w:hAnsi="Calibri" w:cs="Calibri"/>
                <w:color w:val="00B050"/>
                <w:lang w:val="fr-FR" w:eastAsia="fr-FR"/>
              </w:rPr>
              <w:t>Stable</w:t>
            </w:r>
          </w:p>
        </w:tc>
      </w:tr>
      <w:tr w:rsidR="002D6400" w:rsidRPr="00EB2310" w14:paraId="30AA7708" w14:textId="77777777" w:rsidTr="002D6400">
        <w:trPr>
          <w:trHeight w:val="69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21700D65"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lastRenderedPageBreak/>
              <w:t>HARQ-ProcessNumberSizeDCI-0-2-r17</w:t>
            </w:r>
          </w:p>
        </w:tc>
        <w:tc>
          <w:tcPr>
            <w:tcW w:w="932" w:type="dxa"/>
            <w:tcBorders>
              <w:top w:val="nil"/>
              <w:left w:val="nil"/>
              <w:bottom w:val="single" w:sz="4" w:space="0" w:color="auto"/>
              <w:right w:val="single" w:sz="4" w:space="0" w:color="auto"/>
            </w:tcBorders>
            <w:shd w:val="clear" w:color="auto" w:fill="auto"/>
            <w:noWrap/>
            <w:vAlign w:val="center"/>
            <w:hideMark/>
          </w:tcPr>
          <w:p w14:paraId="62BEAE56"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extension of R16</w:t>
            </w:r>
          </w:p>
        </w:tc>
        <w:tc>
          <w:tcPr>
            <w:tcW w:w="3989" w:type="dxa"/>
            <w:tcBorders>
              <w:top w:val="nil"/>
              <w:left w:val="nil"/>
              <w:bottom w:val="single" w:sz="4" w:space="0" w:color="auto"/>
              <w:right w:val="single" w:sz="4" w:space="0" w:color="auto"/>
            </w:tcBorders>
            <w:shd w:val="clear" w:color="auto" w:fill="auto"/>
            <w:noWrap/>
            <w:vAlign w:val="center"/>
            <w:hideMark/>
          </w:tcPr>
          <w:p w14:paraId="4833007E"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HARQ-ProcessNumberSizeDCI-0-2-r17</w:t>
            </w:r>
          </w:p>
        </w:tc>
        <w:tc>
          <w:tcPr>
            <w:tcW w:w="3074" w:type="dxa"/>
            <w:tcBorders>
              <w:top w:val="nil"/>
              <w:left w:val="nil"/>
              <w:bottom w:val="single" w:sz="4" w:space="0" w:color="auto"/>
              <w:right w:val="single" w:sz="4" w:space="0" w:color="auto"/>
            </w:tcBorders>
            <w:shd w:val="clear" w:color="auto" w:fill="auto"/>
            <w:vAlign w:val="center"/>
            <w:hideMark/>
          </w:tcPr>
          <w:p w14:paraId="67A6C726"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Configure the number of bits for the field "HARQ process number" in DCI format 0_2 (see TS 38.212 , clause 7.3.1).</w:t>
            </w:r>
          </w:p>
        </w:tc>
        <w:tc>
          <w:tcPr>
            <w:tcW w:w="1017" w:type="dxa"/>
            <w:tcBorders>
              <w:top w:val="nil"/>
              <w:left w:val="nil"/>
              <w:bottom w:val="single" w:sz="4" w:space="0" w:color="auto"/>
              <w:right w:val="single" w:sz="4" w:space="0" w:color="auto"/>
            </w:tcBorders>
            <w:shd w:val="clear" w:color="auto" w:fill="auto"/>
            <w:vAlign w:val="center"/>
            <w:hideMark/>
          </w:tcPr>
          <w:p w14:paraId="0432F3CB"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eastAsia="fr-FR"/>
              </w:rPr>
              <w:t xml:space="preserve"> </w:t>
            </w:r>
            <w:r w:rsidRPr="00EB2310">
              <w:rPr>
                <w:rFonts w:ascii="Arial" w:eastAsia="Times New Roman" w:hAnsi="Arial" w:cs="Arial"/>
                <w:color w:val="000000"/>
                <w:sz w:val="18"/>
                <w:szCs w:val="18"/>
                <w:lang w:eastAsia="fr-FR"/>
              </w:rPr>
              <w:br/>
            </w:r>
            <w:r w:rsidRPr="00EB2310">
              <w:rPr>
                <w:rFonts w:ascii="Arial" w:eastAsia="Times New Roman" w:hAnsi="Arial" w:cs="Arial"/>
                <w:color w:val="000000"/>
                <w:sz w:val="18"/>
                <w:szCs w:val="18"/>
                <w:lang w:val="fr-FR" w:eastAsia="fr-FR"/>
              </w:rPr>
              <w:t xml:space="preserve">0..5      </w:t>
            </w:r>
          </w:p>
        </w:tc>
        <w:tc>
          <w:tcPr>
            <w:tcW w:w="752" w:type="dxa"/>
            <w:tcBorders>
              <w:top w:val="nil"/>
              <w:left w:val="nil"/>
              <w:bottom w:val="single" w:sz="4" w:space="0" w:color="auto"/>
              <w:right w:val="single" w:sz="4" w:space="0" w:color="auto"/>
            </w:tcBorders>
            <w:shd w:val="clear" w:color="auto" w:fill="auto"/>
            <w:noWrap/>
            <w:vAlign w:val="center"/>
            <w:hideMark/>
          </w:tcPr>
          <w:p w14:paraId="31BF774F"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1950CCE5"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BWP</w:t>
            </w:r>
          </w:p>
        </w:tc>
        <w:tc>
          <w:tcPr>
            <w:tcW w:w="812" w:type="dxa"/>
            <w:tcBorders>
              <w:top w:val="nil"/>
              <w:left w:val="nil"/>
              <w:bottom w:val="single" w:sz="4" w:space="0" w:color="auto"/>
              <w:right w:val="single" w:sz="4" w:space="0" w:color="auto"/>
            </w:tcBorders>
            <w:shd w:val="clear" w:color="auto" w:fill="auto"/>
            <w:noWrap/>
            <w:vAlign w:val="center"/>
            <w:hideMark/>
          </w:tcPr>
          <w:p w14:paraId="4BD133B3"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UE-specific</w:t>
            </w:r>
          </w:p>
        </w:tc>
        <w:tc>
          <w:tcPr>
            <w:tcW w:w="1263" w:type="dxa"/>
            <w:tcBorders>
              <w:top w:val="nil"/>
              <w:left w:val="nil"/>
              <w:bottom w:val="single" w:sz="4" w:space="0" w:color="auto"/>
              <w:right w:val="single" w:sz="4" w:space="0" w:color="auto"/>
            </w:tcBorders>
            <w:shd w:val="clear" w:color="auto" w:fill="auto"/>
            <w:noWrap/>
            <w:vAlign w:val="center"/>
            <w:hideMark/>
          </w:tcPr>
          <w:p w14:paraId="33B930F2"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vAlign w:val="center"/>
            <w:hideMark/>
          </w:tcPr>
          <w:p w14:paraId="6297825D"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 xml:space="preserve"> R17: For enhancement on the HARQ process indication, extend the HARQ process ID field up to 5 bits for DCI 0-2                        </w:t>
            </w:r>
          </w:p>
        </w:tc>
        <w:tc>
          <w:tcPr>
            <w:tcW w:w="1530" w:type="dxa"/>
            <w:tcBorders>
              <w:top w:val="nil"/>
              <w:left w:val="nil"/>
              <w:bottom w:val="single" w:sz="4" w:space="0" w:color="auto"/>
              <w:right w:val="single" w:sz="4" w:space="0" w:color="auto"/>
            </w:tcBorders>
            <w:shd w:val="clear" w:color="auto" w:fill="auto"/>
            <w:noWrap/>
            <w:vAlign w:val="bottom"/>
            <w:hideMark/>
          </w:tcPr>
          <w:p w14:paraId="69710A71" w14:textId="77777777" w:rsidR="002D6400" w:rsidRPr="00EB2310" w:rsidRDefault="002D6400" w:rsidP="002D6400">
            <w:pPr>
              <w:autoSpaceDE/>
              <w:autoSpaceDN/>
              <w:adjustRightInd/>
              <w:snapToGrid/>
              <w:spacing w:after="0"/>
              <w:jc w:val="left"/>
              <w:rPr>
                <w:rFonts w:ascii="Calibri" w:eastAsia="Times New Roman" w:hAnsi="Calibri" w:cs="Calibri"/>
                <w:color w:val="00B050"/>
                <w:lang w:val="fr-FR" w:eastAsia="fr-FR"/>
              </w:rPr>
            </w:pPr>
            <w:r w:rsidRPr="00EB2310">
              <w:rPr>
                <w:rFonts w:ascii="Calibri" w:eastAsia="Times New Roman" w:hAnsi="Calibri" w:cs="Calibri"/>
                <w:color w:val="00B050"/>
                <w:lang w:val="fr-FR" w:eastAsia="fr-FR"/>
              </w:rPr>
              <w:t>Stable</w:t>
            </w:r>
          </w:p>
        </w:tc>
      </w:tr>
      <w:tr w:rsidR="002D6400" w:rsidRPr="00EB2310" w14:paraId="503EC65F" w14:textId="77777777" w:rsidTr="002D6400">
        <w:trPr>
          <w:trHeight w:val="69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16A5298D"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HARQ-ProcessNumberSizeDCI-1-1-r17</w:t>
            </w:r>
          </w:p>
        </w:tc>
        <w:tc>
          <w:tcPr>
            <w:tcW w:w="932" w:type="dxa"/>
            <w:tcBorders>
              <w:top w:val="nil"/>
              <w:left w:val="nil"/>
              <w:bottom w:val="single" w:sz="4" w:space="0" w:color="auto"/>
              <w:right w:val="single" w:sz="4" w:space="0" w:color="auto"/>
            </w:tcBorders>
            <w:shd w:val="clear" w:color="auto" w:fill="auto"/>
            <w:noWrap/>
            <w:vAlign w:val="center"/>
            <w:hideMark/>
          </w:tcPr>
          <w:p w14:paraId="5937D02D"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extension of R16</w:t>
            </w:r>
          </w:p>
        </w:tc>
        <w:tc>
          <w:tcPr>
            <w:tcW w:w="3989" w:type="dxa"/>
            <w:tcBorders>
              <w:top w:val="nil"/>
              <w:left w:val="nil"/>
              <w:bottom w:val="single" w:sz="4" w:space="0" w:color="auto"/>
              <w:right w:val="single" w:sz="4" w:space="0" w:color="auto"/>
            </w:tcBorders>
            <w:shd w:val="clear" w:color="auto" w:fill="auto"/>
            <w:noWrap/>
            <w:vAlign w:val="center"/>
            <w:hideMark/>
          </w:tcPr>
          <w:p w14:paraId="4D3A32E7"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HARQ-ProcessNumberSizeDCI-1-1-r17</w:t>
            </w:r>
          </w:p>
        </w:tc>
        <w:tc>
          <w:tcPr>
            <w:tcW w:w="3074" w:type="dxa"/>
            <w:tcBorders>
              <w:top w:val="nil"/>
              <w:left w:val="nil"/>
              <w:bottom w:val="single" w:sz="4" w:space="0" w:color="auto"/>
              <w:right w:val="single" w:sz="4" w:space="0" w:color="auto"/>
            </w:tcBorders>
            <w:shd w:val="clear" w:color="auto" w:fill="auto"/>
            <w:vAlign w:val="center"/>
            <w:hideMark/>
          </w:tcPr>
          <w:p w14:paraId="4CBF989E"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Configure the number of bits for the field "HARQ process number" in DCI format 1_1</w:t>
            </w:r>
          </w:p>
        </w:tc>
        <w:tc>
          <w:tcPr>
            <w:tcW w:w="1017" w:type="dxa"/>
            <w:tcBorders>
              <w:top w:val="nil"/>
              <w:left w:val="nil"/>
              <w:bottom w:val="single" w:sz="4" w:space="0" w:color="auto"/>
              <w:right w:val="single" w:sz="4" w:space="0" w:color="auto"/>
            </w:tcBorders>
            <w:shd w:val="clear" w:color="auto" w:fill="auto"/>
            <w:vAlign w:val="center"/>
            <w:hideMark/>
          </w:tcPr>
          <w:p w14:paraId="6D4EB0EC"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eastAsia="fr-FR"/>
              </w:rPr>
              <w:t xml:space="preserve"> </w:t>
            </w:r>
            <w:r w:rsidRPr="00EB2310">
              <w:rPr>
                <w:rFonts w:ascii="Arial" w:eastAsia="Times New Roman" w:hAnsi="Arial" w:cs="Arial"/>
                <w:color w:val="000000"/>
                <w:sz w:val="18"/>
                <w:szCs w:val="18"/>
                <w:lang w:eastAsia="fr-FR"/>
              </w:rPr>
              <w:br/>
            </w:r>
            <w:r w:rsidRPr="00EB2310">
              <w:rPr>
                <w:rFonts w:ascii="Arial" w:eastAsia="Times New Roman" w:hAnsi="Arial" w:cs="Arial"/>
                <w:color w:val="000000"/>
                <w:sz w:val="18"/>
                <w:szCs w:val="18"/>
                <w:lang w:val="fr-FR" w:eastAsia="fr-FR"/>
              </w:rPr>
              <w:t xml:space="preserve">0..5      </w:t>
            </w:r>
          </w:p>
        </w:tc>
        <w:tc>
          <w:tcPr>
            <w:tcW w:w="752" w:type="dxa"/>
            <w:tcBorders>
              <w:top w:val="nil"/>
              <w:left w:val="nil"/>
              <w:bottom w:val="single" w:sz="4" w:space="0" w:color="auto"/>
              <w:right w:val="single" w:sz="4" w:space="0" w:color="auto"/>
            </w:tcBorders>
            <w:shd w:val="clear" w:color="auto" w:fill="auto"/>
            <w:noWrap/>
            <w:vAlign w:val="center"/>
            <w:hideMark/>
          </w:tcPr>
          <w:p w14:paraId="7EE65188"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64D2BBBA"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BWP</w:t>
            </w:r>
          </w:p>
        </w:tc>
        <w:tc>
          <w:tcPr>
            <w:tcW w:w="812" w:type="dxa"/>
            <w:tcBorders>
              <w:top w:val="nil"/>
              <w:left w:val="nil"/>
              <w:bottom w:val="single" w:sz="4" w:space="0" w:color="auto"/>
              <w:right w:val="single" w:sz="4" w:space="0" w:color="auto"/>
            </w:tcBorders>
            <w:shd w:val="clear" w:color="auto" w:fill="auto"/>
            <w:noWrap/>
            <w:vAlign w:val="center"/>
            <w:hideMark/>
          </w:tcPr>
          <w:p w14:paraId="0378A903"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UE-specific</w:t>
            </w:r>
          </w:p>
        </w:tc>
        <w:tc>
          <w:tcPr>
            <w:tcW w:w="1263" w:type="dxa"/>
            <w:tcBorders>
              <w:top w:val="nil"/>
              <w:left w:val="nil"/>
              <w:bottom w:val="single" w:sz="4" w:space="0" w:color="auto"/>
              <w:right w:val="single" w:sz="4" w:space="0" w:color="auto"/>
            </w:tcBorders>
            <w:shd w:val="clear" w:color="auto" w:fill="auto"/>
            <w:noWrap/>
            <w:vAlign w:val="center"/>
            <w:hideMark/>
          </w:tcPr>
          <w:p w14:paraId="46F894C8"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noWrap/>
            <w:vAlign w:val="center"/>
            <w:hideMark/>
          </w:tcPr>
          <w:p w14:paraId="49709B71"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 </w:t>
            </w:r>
          </w:p>
        </w:tc>
        <w:tc>
          <w:tcPr>
            <w:tcW w:w="1530" w:type="dxa"/>
            <w:tcBorders>
              <w:top w:val="nil"/>
              <w:left w:val="nil"/>
              <w:bottom w:val="single" w:sz="4" w:space="0" w:color="auto"/>
              <w:right w:val="single" w:sz="4" w:space="0" w:color="auto"/>
            </w:tcBorders>
            <w:shd w:val="clear" w:color="auto" w:fill="auto"/>
            <w:noWrap/>
            <w:vAlign w:val="bottom"/>
            <w:hideMark/>
          </w:tcPr>
          <w:p w14:paraId="00080F47" w14:textId="77777777" w:rsidR="002D6400" w:rsidRPr="00EB2310" w:rsidRDefault="002D6400" w:rsidP="002D6400">
            <w:pPr>
              <w:autoSpaceDE/>
              <w:autoSpaceDN/>
              <w:adjustRightInd/>
              <w:snapToGrid/>
              <w:spacing w:after="0"/>
              <w:jc w:val="left"/>
              <w:rPr>
                <w:rFonts w:ascii="Calibri" w:eastAsia="Times New Roman" w:hAnsi="Calibri" w:cs="Calibri"/>
                <w:color w:val="00B050"/>
                <w:lang w:val="fr-FR" w:eastAsia="fr-FR"/>
              </w:rPr>
            </w:pPr>
            <w:r w:rsidRPr="00EB2310">
              <w:rPr>
                <w:rFonts w:ascii="Calibri" w:eastAsia="Times New Roman" w:hAnsi="Calibri" w:cs="Calibri"/>
                <w:color w:val="00B050"/>
                <w:lang w:val="fr-FR" w:eastAsia="fr-FR"/>
              </w:rPr>
              <w:t>Stable</w:t>
            </w:r>
          </w:p>
        </w:tc>
      </w:tr>
      <w:tr w:rsidR="002D6400" w:rsidRPr="00EB2310" w14:paraId="6D37FFDE" w14:textId="77777777" w:rsidTr="002D6400">
        <w:trPr>
          <w:trHeight w:val="69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134D1178"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HARQ-ProcessNumberSizeDCI-0-1-r17</w:t>
            </w:r>
          </w:p>
        </w:tc>
        <w:tc>
          <w:tcPr>
            <w:tcW w:w="932" w:type="dxa"/>
            <w:tcBorders>
              <w:top w:val="nil"/>
              <w:left w:val="nil"/>
              <w:bottom w:val="single" w:sz="4" w:space="0" w:color="auto"/>
              <w:right w:val="single" w:sz="4" w:space="0" w:color="auto"/>
            </w:tcBorders>
            <w:shd w:val="clear" w:color="auto" w:fill="auto"/>
            <w:noWrap/>
            <w:vAlign w:val="center"/>
            <w:hideMark/>
          </w:tcPr>
          <w:p w14:paraId="0EA3D960"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extension of R16</w:t>
            </w:r>
          </w:p>
        </w:tc>
        <w:tc>
          <w:tcPr>
            <w:tcW w:w="3989" w:type="dxa"/>
            <w:tcBorders>
              <w:top w:val="nil"/>
              <w:left w:val="nil"/>
              <w:bottom w:val="single" w:sz="4" w:space="0" w:color="auto"/>
              <w:right w:val="single" w:sz="4" w:space="0" w:color="auto"/>
            </w:tcBorders>
            <w:shd w:val="clear" w:color="auto" w:fill="auto"/>
            <w:noWrap/>
            <w:vAlign w:val="center"/>
            <w:hideMark/>
          </w:tcPr>
          <w:p w14:paraId="3ED6F4DE"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HARQ-ProcessNumberSizeDCI-0-1-r17</w:t>
            </w:r>
          </w:p>
        </w:tc>
        <w:tc>
          <w:tcPr>
            <w:tcW w:w="3074" w:type="dxa"/>
            <w:tcBorders>
              <w:top w:val="nil"/>
              <w:left w:val="nil"/>
              <w:bottom w:val="single" w:sz="4" w:space="0" w:color="auto"/>
              <w:right w:val="single" w:sz="4" w:space="0" w:color="auto"/>
            </w:tcBorders>
            <w:shd w:val="clear" w:color="auto" w:fill="auto"/>
            <w:vAlign w:val="center"/>
            <w:hideMark/>
          </w:tcPr>
          <w:p w14:paraId="577CBCF1"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Configure the number of bits for the field "HARQ process number" in DCI format 0_1</w:t>
            </w:r>
          </w:p>
        </w:tc>
        <w:tc>
          <w:tcPr>
            <w:tcW w:w="1017" w:type="dxa"/>
            <w:tcBorders>
              <w:top w:val="nil"/>
              <w:left w:val="nil"/>
              <w:bottom w:val="single" w:sz="4" w:space="0" w:color="auto"/>
              <w:right w:val="single" w:sz="4" w:space="0" w:color="auto"/>
            </w:tcBorders>
            <w:shd w:val="clear" w:color="auto" w:fill="auto"/>
            <w:vAlign w:val="center"/>
            <w:hideMark/>
          </w:tcPr>
          <w:p w14:paraId="676950A6"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eastAsia="fr-FR"/>
              </w:rPr>
              <w:t xml:space="preserve"> </w:t>
            </w:r>
            <w:r w:rsidRPr="00EB2310">
              <w:rPr>
                <w:rFonts w:ascii="Arial" w:eastAsia="Times New Roman" w:hAnsi="Arial" w:cs="Arial"/>
                <w:color w:val="000000"/>
                <w:sz w:val="18"/>
                <w:szCs w:val="18"/>
                <w:lang w:eastAsia="fr-FR"/>
              </w:rPr>
              <w:br/>
            </w:r>
            <w:r w:rsidRPr="00EB2310">
              <w:rPr>
                <w:rFonts w:ascii="Arial" w:eastAsia="Times New Roman" w:hAnsi="Arial" w:cs="Arial"/>
                <w:color w:val="000000"/>
                <w:sz w:val="18"/>
                <w:szCs w:val="18"/>
                <w:lang w:val="fr-FR" w:eastAsia="fr-FR"/>
              </w:rPr>
              <w:t xml:space="preserve">0..5      </w:t>
            </w:r>
          </w:p>
        </w:tc>
        <w:tc>
          <w:tcPr>
            <w:tcW w:w="752" w:type="dxa"/>
            <w:tcBorders>
              <w:top w:val="nil"/>
              <w:left w:val="nil"/>
              <w:bottom w:val="single" w:sz="4" w:space="0" w:color="auto"/>
              <w:right w:val="single" w:sz="4" w:space="0" w:color="auto"/>
            </w:tcBorders>
            <w:shd w:val="clear" w:color="auto" w:fill="auto"/>
            <w:noWrap/>
            <w:vAlign w:val="center"/>
            <w:hideMark/>
          </w:tcPr>
          <w:p w14:paraId="4E47EE1C"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3886810A"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BWP</w:t>
            </w:r>
          </w:p>
        </w:tc>
        <w:tc>
          <w:tcPr>
            <w:tcW w:w="812" w:type="dxa"/>
            <w:tcBorders>
              <w:top w:val="nil"/>
              <w:left w:val="nil"/>
              <w:bottom w:val="single" w:sz="4" w:space="0" w:color="auto"/>
              <w:right w:val="single" w:sz="4" w:space="0" w:color="auto"/>
            </w:tcBorders>
            <w:shd w:val="clear" w:color="auto" w:fill="auto"/>
            <w:noWrap/>
            <w:vAlign w:val="center"/>
            <w:hideMark/>
          </w:tcPr>
          <w:p w14:paraId="1B112072"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UE-specific</w:t>
            </w:r>
          </w:p>
        </w:tc>
        <w:tc>
          <w:tcPr>
            <w:tcW w:w="1263" w:type="dxa"/>
            <w:tcBorders>
              <w:top w:val="nil"/>
              <w:left w:val="nil"/>
              <w:bottom w:val="single" w:sz="4" w:space="0" w:color="auto"/>
              <w:right w:val="single" w:sz="4" w:space="0" w:color="auto"/>
            </w:tcBorders>
            <w:shd w:val="clear" w:color="auto" w:fill="auto"/>
            <w:noWrap/>
            <w:vAlign w:val="center"/>
            <w:hideMark/>
          </w:tcPr>
          <w:p w14:paraId="7B1677A6"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noWrap/>
            <w:vAlign w:val="center"/>
            <w:hideMark/>
          </w:tcPr>
          <w:p w14:paraId="27F90B06"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 </w:t>
            </w:r>
          </w:p>
        </w:tc>
        <w:tc>
          <w:tcPr>
            <w:tcW w:w="1530" w:type="dxa"/>
            <w:tcBorders>
              <w:top w:val="nil"/>
              <w:left w:val="nil"/>
              <w:bottom w:val="single" w:sz="4" w:space="0" w:color="auto"/>
              <w:right w:val="single" w:sz="4" w:space="0" w:color="auto"/>
            </w:tcBorders>
            <w:shd w:val="clear" w:color="auto" w:fill="auto"/>
            <w:noWrap/>
            <w:vAlign w:val="bottom"/>
            <w:hideMark/>
          </w:tcPr>
          <w:p w14:paraId="1828B86E" w14:textId="77777777" w:rsidR="002D6400" w:rsidRPr="00EB2310" w:rsidRDefault="002D6400" w:rsidP="002D6400">
            <w:pPr>
              <w:autoSpaceDE/>
              <w:autoSpaceDN/>
              <w:adjustRightInd/>
              <w:snapToGrid/>
              <w:spacing w:after="0"/>
              <w:jc w:val="left"/>
              <w:rPr>
                <w:rFonts w:ascii="Calibri" w:eastAsia="Times New Roman" w:hAnsi="Calibri" w:cs="Calibri"/>
                <w:color w:val="00B050"/>
                <w:lang w:val="fr-FR" w:eastAsia="fr-FR"/>
              </w:rPr>
            </w:pPr>
            <w:r w:rsidRPr="00EB2310">
              <w:rPr>
                <w:rFonts w:ascii="Calibri" w:eastAsia="Times New Roman" w:hAnsi="Calibri" w:cs="Calibri"/>
                <w:color w:val="00B050"/>
                <w:lang w:val="fr-FR" w:eastAsia="fr-FR"/>
              </w:rPr>
              <w:t>Stable</w:t>
            </w:r>
          </w:p>
        </w:tc>
      </w:tr>
      <w:tr w:rsidR="002D6400" w:rsidRPr="00EB2310" w14:paraId="219A3468" w14:textId="77777777" w:rsidTr="002D6400">
        <w:trPr>
          <w:trHeight w:val="92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185FD26D"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nrofHARQ-ProcessesForPDSCH-r17</w:t>
            </w:r>
          </w:p>
        </w:tc>
        <w:tc>
          <w:tcPr>
            <w:tcW w:w="932" w:type="dxa"/>
            <w:tcBorders>
              <w:top w:val="nil"/>
              <w:left w:val="nil"/>
              <w:bottom w:val="single" w:sz="4" w:space="0" w:color="auto"/>
              <w:right w:val="single" w:sz="4" w:space="0" w:color="auto"/>
            </w:tcBorders>
            <w:shd w:val="clear" w:color="auto" w:fill="auto"/>
            <w:noWrap/>
            <w:vAlign w:val="center"/>
            <w:hideMark/>
          </w:tcPr>
          <w:p w14:paraId="2F184CEE"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extension of R16</w:t>
            </w:r>
          </w:p>
        </w:tc>
        <w:tc>
          <w:tcPr>
            <w:tcW w:w="3989" w:type="dxa"/>
            <w:tcBorders>
              <w:top w:val="nil"/>
              <w:left w:val="nil"/>
              <w:bottom w:val="single" w:sz="4" w:space="0" w:color="auto"/>
              <w:right w:val="single" w:sz="4" w:space="0" w:color="auto"/>
            </w:tcBorders>
            <w:shd w:val="clear" w:color="auto" w:fill="auto"/>
            <w:noWrap/>
            <w:vAlign w:val="center"/>
            <w:hideMark/>
          </w:tcPr>
          <w:p w14:paraId="524C1C2E"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nrofHARQ-ProcessesForPDSCH-r17</w:t>
            </w:r>
          </w:p>
        </w:tc>
        <w:tc>
          <w:tcPr>
            <w:tcW w:w="3074" w:type="dxa"/>
            <w:tcBorders>
              <w:top w:val="nil"/>
              <w:left w:val="nil"/>
              <w:bottom w:val="single" w:sz="4" w:space="0" w:color="auto"/>
              <w:right w:val="single" w:sz="4" w:space="0" w:color="auto"/>
            </w:tcBorders>
            <w:shd w:val="clear" w:color="auto" w:fill="auto"/>
            <w:vAlign w:val="center"/>
            <w:hideMark/>
          </w:tcPr>
          <w:p w14:paraId="4CE1E2C2"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The number of HARQ processes to be used on the PDSCH of a serving cell. Value n2 corresponds to 2 HARQ processes, value n4 to 4 HARQ processes, and so on. If the field is absent, the UE uses 8 HARQ processes (see TS 38.214 , clause 5.1).</w:t>
            </w:r>
          </w:p>
        </w:tc>
        <w:tc>
          <w:tcPr>
            <w:tcW w:w="1017" w:type="dxa"/>
            <w:tcBorders>
              <w:top w:val="nil"/>
              <w:left w:val="nil"/>
              <w:bottom w:val="single" w:sz="4" w:space="0" w:color="auto"/>
              <w:right w:val="single" w:sz="4" w:space="0" w:color="auto"/>
            </w:tcBorders>
            <w:shd w:val="clear" w:color="auto" w:fill="auto"/>
            <w:noWrap/>
            <w:vAlign w:val="bottom"/>
            <w:hideMark/>
          </w:tcPr>
          <w:p w14:paraId="10C50259"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 xml:space="preserve">{n2, n4, n6, n10, n12, n16, n32} </w:t>
            </w:r>
          </w:p>
        </w:tc>
        <w:tc>
          <w:tcPr>
            <w:tcW w:w="752" w:type="dxa"/>
            <w:tcBorders>
              <w:top w:val="nil"/>
              <w:left w:val="nil"/>
              <w:bottom w:val="single" w:sz="4" w:space="0" w:color="auto"/>
              <w:right w:val="single" w:sz="4" w:space="0" w:color="auto"/>
            </w:tcBorders>
            <w:shd w:val="clear" w:color="auto" w:fill="auto"/>
            <w:noWrap/>
            <w:vAlign w:val="center"/>
            <w:hideMark/>
          </w:tcPr>
          <w:p w14:paraId="70F7C9F3"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6D0B6344"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BWP</w:t>
            </w:r>
          </w:p>
        </w:tc>
        <w:tc>
          <w:tcPr>
            <w:tcW w:w="812" w:type="dxa"/>
            <w:tcBorders>
              <w:top w:val="nil"/>
              <w:left w:val="nil"/>
              <w:bottom w:val="single" w:sz="4" w:space="0" w:color="auto"/>
              <w:right w:val="single" w:sz="4" w:space="0" w:color="auto"/>
            </w:tcBorders>
            <w:shd w:val="clear" w:color="auto" w:fill="auto"/>
            <w:noWrap/>
            <w:vAlign w:val="center"/>
            <w:hideMark/>
          </w:tcPr>
          <w:p w14:paraId="68EC086F"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UE-specific</w:t>
            </w:r>
          </w:p>
        </w:tc>
        <w:tc>
          <w:tcPr>
            <w:tcW w:w="1263" w:type="dxa"/>
            <w:tcBorders>
              <w:top w:val="nil"/>
              <w:left w:val="nil"/>
              <w:bottom w:val="single" w:sz="4" w:space="0" w:color="auto"/>
              <w:right w:val="single" w:sz="4" w:space="0" w:color="auto"/>
            </w:tcBorders>
            <w:shd w:val="clear" w:color="auto" w:fill="auto"/>
            <w:noWrap/>
            <w:vAlign w:val="center"/>
            <w:hideMark/>
          </w:tcPr>
          <w:p w14:paraId="420C7758"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noWrap/>
            <w:vAlign w:val="center"/>
            <w:hideMark/>
          </w:tcPr>
          <w:p w14:paraId="734B4FD2"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The maximal supported HARQ process number is up to 32.</w:t>
            </w:r>
          </w:p>
        </w:tc>
        <w:tc>
          <w:tcPr>
            <w:tcW w:w="1530" w:type="dxa"/>
            <w:tcBorders>
              <w:top w:val="nil"/>
              <w:left w:val="nil"/>
              <w:bottom w:val="single" w:sz="4" w:space="0" w:color="auto"/>
              <w:right w:val="single" w:sz="4" w:space="0" w:color="auto"/>
            </w:tcBorders>
            <w:shd w:val="clear" w:color="auto" w:fill="auto"/>
            <w:noWrap/>
            <w:vAlign w:val="bottom"/>
            <w:hideMark/>
          </w:tcPr>
          <w:p w14:paraId="2B4217DD" w14:textId="77777777" w:rsidR="002D6400" w:rsidRPr="00EB2310" w:rsidRDefault="002D6400" w:rsidP="002D6400">
            <w:pPr>
              <w:autoSpaceDE/>
              <w:autoSpaceDN/>
              <w:adjustRightInd/>
              <w:snapToGrid/>
              <w:spacing w:after="0"/>
              <w:jc w:val="left"/>
              <w:rPr>
                <w:rFonts w:ascii="Calibri" w:eastAsia="Times New Roman" w:hAnsi="Calibri" w:cs="Calibri"/>
                <w:color w:val="00B050"/>
                <w:lang w:val="fr-FR" w:eastAsia="fr-FR"/>
              </w:rPr>
            </w:pPr>
            <w:r w:rsidRPr="00EB2310">
              <w:rPr>
                <w:rFonts w:ascii="Calibri" w:eastAsia="Times New Roman" w:hAnsi="Calibri" w:cs="Calibri"/>
                <w:color w:val="00B050"/>
                <w:lang w:val="fr-FR" w:eastAsia="fr-FR"/>
              </w:rPr>
              <w:t>Stable</w:t>
            </w:r>
          </w:p>
        </w:tc>
      </w:tr>
      <w:tr w:rsidR="002D6400" w:rsidRPr="00EB2310" w14:paraId="7D08CADF" w14:textId="77777777" w:rsidTr="002D6400">
        <w:trPr>
          <w:trHeight w:val="60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33D93952"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nrofHARQ-Processes-r17</w:t>
            </w:r>
          </w:p>
        </w:tc>
        <w:tc>
          <w:tcPr>
            <w:tcW w:w="932" w:type="dxa"/>
            <w:tcBorders>
              <w:top w:val="nil"/>
              <w:left w:val="nil"/>
              <w:bottom w:val="single" w:sz="4" w:space="0" w:color="auto"/>
              <w:right w:val="single" w:sz="4" w:space="0" w:color="auto"/>
            </w:tcBorders>
            <w:shd w:val="clear" w:color="auto" w:fill="auto"/>
            <w:noWrap/>
            <w:vAlign w:val="center"/>
            <w:hideMark/>
          </w:tcPr>
          <w:p w14:paraId="2F78D9D4"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extension of R16</w:t>
            </w:r>
          </w:p>
        </w:tc>
        <w:tc>
          <w:tcPr>
            <w:tcW w:w="3989" w:type="dxa"/>
            <w:tcBorders>
              <w:top w:val="nil"/>
              <w:left w:val="nil"/>
              <w:bottom w:val="single" w:sz="4" w:space="0" w:color="auto"/>
              <w:right w:val="single" w:sz="4" w:space="0" w:color="auto"/>
            </w:tcBorders>
            <w:shd w:val="clear" w:color="auto" w:fill="auto"/>
            <w:noWrap/>
            <w:vAlign w:val="center"/>
            <w:hideMark/>
          </w:tcPr>
          <w:p w14:paraId="4A496817"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nrofHARQ-Processes-r17</w:t>
            </w:r>
          </w:p>
        </w:tc>
        <w:tc>
          <w:tcPr>
            <w:tcW w:w="3074" w:type="dxa"/>
            <w:tcBorders>
              <w:top w:val="nil"/>
              <w:left w:val="nil"/>
              <w:bottom w:val="single" w:sz="4" w:space="0" w:color="auto"/>
              <w:right w:val="single" w:sz="4" w:space="0" w:color="auto"/>
            </w:tcBorders>
            <w:shd w:val="clear" w:color="auto" w:fill="auto"/>
            <w:vAlign w:val="center"/>
            <w:hideMark/>
          </w:tcPr>
          <w:p w14:paraId="7D2B1E88"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The number of HARQ processes configured for UL configured grant. It applies for both Type 1 and Type 2. See TS 38.321 , clause 5.4.1</w:t>
            </w:r>
          </w:p>
        </w:tc>
        <w:tc>
          <w:tcPr>
            <w:tcW w:w="1017" w:type="dxa"/>
            <w:tcBorders>
              <w:top w:val="nil"/>
              <w:left w:val="nil"/>
              <w:bottom w:val="single" w:sz="4" w:space="0" w:color="auto"/>
              <w:right w:val="single" w:sz="4" w:space="0" w:color="auto"/>
            </w:tcBorders>
            <w:shd w:val="clear" w:color="auto" w:fill="auto"/>
            <w:noWrap/>
            <w:vAlign w:val="center"/>
            <w:hideMark/>
          </w:tcPr>
          <w:p w14:paraId="7A3F41FC"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(1..32)</w:t>
            </w:r>
          </w:p>
        </w:tc>
        <w:tc>
          <w:tcPr>
            <w:tcW w:w="752" w:type="dxa"/>
            <w:tcBorders>
              <w:top w:val="nil"/>
              <w:left w:val="nil"/>
              <w:bottom w:val="single" w:sz="4" w:space="0" w:color="auto"/>
              <w:right w:val="single" w:sz="4" w:space="0" w:color="auto"/>
            </w:tcBorders>
            <w:shd w:val="clear" w:color="auto" w:fill="auto"/>
            <w:noWrap/>
            <w:vAlign w:val="center"/>
            <w:hideMark/>
          </w:tcPr>
          <w:p w14:paraId="67D3670B"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3424ECA2"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BWP</w:t>
            </w:r>
          </w:p>
        </w:tc>
        <w:tc>
          <w:tcPr>
            <w:tcW w:w="812" w:type="dxa"/>
            <w:tcBorders>
              <w:top w:val="nil"/>
              <w:left w:val="nil"/>
              <w:bottom w:val="single" w:sz="4" w:space="0" w:color="auto"/>
              <w:right w:val="single" w:sz="4" w:space="0" w:color="auto"/>
            </w:tcBorders>
            <w:shd w:val="clear" w:color="auto" w:fill="auto"/>
            <w:noWrap/>
            <w:vAlign w:val="center"/>
            <w:hideMark/>
          </w:tcPr>
          <w:p w14:paraId="0796E250"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UE-specific</w:t>
            </w:r>
          </w:p>
        </w:tc>
        <w:tc>
          <w:tcPr>
            <w:tcW w:w="1263" w:type="dxa"/>
            <w:tcBorders>
              <w:top w:val="nil"/>
              <w:left w:val="nil"/>
              <w:bottom w:val="single" w:sz="4" w:space="0" w:color="auto"/>
              <w:right w:val="single" w:sz="4" w:space="0" w:color="auto"/>
            </w:tcBorders>
            <w:shd w:val="clear" w:color="auto" w:fill="auto"/>
            <w:noWrap/>
            <w:vAlign w:val="center"/>
            <w:hideMark/>
          </w:tcPr>
          <w:p w14:paraId="4274DA46"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noWrap/>
            <w:vAlign w:val="center"/>
            <w:hideMark/>
          </w:tcPr>
          <w:p w14:paraId="17E686A6"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 </w:t>
            </w:r>
          </w:p>
        </w:tc>
        <w:tc>
          <w:tcPr>
            <w:tcW w:w="1530" w:type="dxa"/>
            <w:tcBorders>
              <w:top w:val="nil"/>
              <w:left w:val="nil"/>
              <w:bottom w:val="single" w:sz="4" w:space="0" w:color="auto"/>
              <w:right w:val="single" w:sz="4" w:space="0" w:color="auto"/>
            </w:tcBorders>
            <w:shd w:val="clear" w:color="auto" w:fill="auto"/>
            <w:noWrap/>
            <w:vAlign w:val="bottom"/>
            <w:hideMark/>
          </w:tcPr>
          <w:p w14:paraId="01C85245" w14:textId="77777777" w:rsidR="002D6400" w:rsidRPr="00EB2310" w:rsidRDefault="002D6400" w:rsidP="002D6400">
            <w:pPr>
              <w:autoSpaceDE/>
              <w:autoSpaceDN/>
              <w:adjustRightInd/>
              <w:snapToGrid/>
              <w:spacing w:after="0"/>
              <w:jc w:val="left"/>
              <w:rPr>
                <w:rFonts w:ascii="Calibri" w:eastAsia="Times New Roman" w:hAnsi="Calibri" w:cs="Calibri"/>
                <w:color w:val="00B050"/>
                <w:lang w:val="fr-FR" w:eastAsia="fr-FR"/>
              </w:rPr>
            </w:pPr>
            <w:r w:rsidRPr="00EB2310">
              <w:rPr>
                <w:rFonts w:ascii="Calibri" w:eastAsia="Times New Roman" w:hAnsi="Calibri" w:cs="Calibri"/>
                <w:color w:val="00B050"/>
                <w:lang w:val="fr-FR" w:eastAsia="fr-FR"/>
              </w:rPr>
              <w:t>Stable</w:t>
            </w:r>
          </w:p>
        </w:tc>
      </w:tr>
      <w:tr w:rsidR="002D6400" w:rsidRPr="00EB2310" w14:paraId="0B7E2DEF" w14:textId="77777777" w:rsidTr="002D6400">
        <w:trPr>
          <w:trHeight w:val="46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555BDADA"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nrofHARQ-Processes-r17</w:t>
            </w:r>
          </w:p>
        </w:tc>
        <w:tc>
          <w:tcPr>
            <w:tcW w:w="932" w:type="dxa"/>
            <w:tcBorders>
              <w:top w:val="nil"/>
              <w:left w:val="nil"/>
              <w:bottom w:val="single" w:sz="4" w:space="0" w:color="auto"/>
              <w:right w:val="single" w:sz="4" w:space="0" w:color="auto"/>
            </w:tcBorders>
            <w:shd w:val="clear" w:color="auto" w:fill="auto"/>
            <w:noWrap/>
            <w:vAlign w:val="center"/>
            <w:hideMark/>
          </w:tcPr>
          <w:p w14:paraId="3FE7C81E"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extension of R16</w:t>
            </w:r>
          </w:p>
        </w:tc>
        <w:tc>
          <w:tcPr>
            <w:tcW w:w="3989" w:type="dxa"/>
            <w:tcBorders>
              <w:top w:val="nil"/>
              <w:left w:val="nil"/>
              <w:bottom w:val="single" w:sz="4" w:space="0" w:color="auto"/>
              <w:right w:val="single" w:sz="4" w:space="0" w:color="auto"/>
            </w:tcBorders>
            <w:shd w:val="clear" w:color="auto" w:fill="auto"/>
            <w:noWrap/>
            <w:vAlign w:val="center"/>
            <w:hideMark/>
          </w:tcPr>
          <w:p w14:paraId="39F50875"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nrofHARQ-Processes-r17</w:t>
            </w:r>
          </w:p>
        </w:tc>
        <w:tc>
          <w:tcPr>
            <w:tcW w:w="3074" w:type="dxa"/>
            <w:tcBorders>
              <w:top w:val="nil"/>
              <w:left w:val="nil"/>
              <w:bottom w:val="single" w:sz="4" w:space="0" w:color="auto"/>
              <w:right w:val="single" w:sz="4" w:space="0" w:color="auto"/>
            </w:tcBorders>
            <w:shd w:val="clear" w:color="auto" w:fill="auto"/>
            <w:vAlign w:val="center"/>
            <w:hideMark/>
          </w:tcPr>
          <w:p w14:paraId="08523704"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eastAsia="fr-FR"/>
              </w:rPr>
            </w:pPr>
            <w:r w:rsidRPr="00EB2310">
              <w:rPr>
                <w:rFonts w:ascii="Arial" w:eastAsia="Times New Roman" w:hAnsi="Arial" w:cs="Arial"/>
                <w:color w:val="000000"/>
                <w:sz w:val="18"/>
                <w:szCs w:val="18"/>
                <w:lang w:eastAsia="fr-FR"/>
              </w:rPr>
              <w:t>Number of configured HARQ processes for SPS DL. see TS 38.321, clause 5.8.1</w:t>
            </w:r>
          </w:p>
        </w:tc>
        <w:tc>
          <w:tcPr>
            <w:tcW w:w="1017" w:type="dxa"/>
            <w:tcBorders>
              <w:top w:val="nil"/>
              <w:left w:val="nil"/>
              <w:bottom w:val="single" w:sz="4" w:space="0" w:color="auto"/>
              <w:right w:val="single" w:sz="4" w:space="0" w:color="auto"/>
            </w:tcBorders>
            <w:shd w:val="clear" w:color="auto" w:fill="auto"/>
            <w:noWrap/>
            <w:vAlign w:val="center"/>
            <w:hideMark/>
          </w:tcPr>
          <w:p w14:paraId="55154501"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(1..32)</w:t>
            </w:r>
          </w:p>
        </w:tc>
        <w:tc>
          <w:tcPr>
            <w:tcW w:w="752" w:type="dxa"/>
            <w:tcBorders>
              <w:top w:val="nil"/>
              <w:left w:val="nil"/>
              <w:bottom w:val="single" w:sz="4" w:space="0" w:color="auto"/>
              <w:right w:val="single" w:sz="4" w:space="0" w:color="auto"/>
            </w:tcBorders>
            <w:shd w:val="clear" w:color="auto" w:fill="auto"/>
            <w:noWrap/>
            <w:vAlign w:val="center"/>
            <w:hideMark/>
          </w:tcPr>
          <w:p w14:paraId="2C052C2E"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5D7C9B01"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BWP</w:t>
            </w:r>
          </w:p>
        </w:tc>
        <w:tc>
          <w:tcPr>
            <w:tcW w:w="812" w:type="dxa"/>
            <w:tcBorders>
              <w:top w:val="nil"/>
              <w:left w:val="nil"/>
              <w:bottom w:val="single" w:sz="4" w:space="0" w:color="auto"/>
              <w:right w:val="single" w:sz="4" w:space="0" w:color="auto"/>
            </w:tcBorders>
            <w:shd w:val="clear" w:color="auto" w:fill="auto"/>
            <w:noWrap/>
            <w:vAlign w:val="center"/>
            <w:hideMark/>
          </w:tcPr>
          <w:p w14:paraId="10535B58"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UE-specific</w:t>
            </w:r>
          </w:p>
        </w:tc>
        <w:tc>
          <w:tcPr>
            <w:tcW w:w="1263" w:type="dxa"/>
            <w:tcBorders>
              <w:top w:val="nil"/>
              <w:left w:val="nil"/>
              <w:bottom w:val="single" w:sz="4" w:space="0" w:color="auto"/>
              <w:right w:val="single" w:sz="4" w:space="0" w:color="auto"/>
            </w:tcBorders>
            <w:shd w:val="clear" w:color="auto" w:fill="auto"/>
            <w:noWrap/>
            <w:vAlign w:val="center"/>
            <w:hideMark/>
          </w:tcPr>
          <w:p w14:paraId="68E3FA9C" w14:textId="77777777" w:rsidR="002D6400" w:rsidRPr="00EB2310" w:rsidRDefault="002D6400" w:rsidP="002D6400">
            <w:pPr>
              <w:autoSpaceDE/>
              <w:autoSpaceDN/>
              <w:adjustRightInd/>
              <w:snapToGrid/>
              <w:spacing w:after="0"/>
              <w:jc w:val="left"/>
              <w:rPr>
                <w:rFonts w:eastAsia="Times New Roman"/>
                <w:color w:val="000000"/>
                <w:lang w:val="fr-FR" w:eastAsia="fr-FR"/>
              </w:rPr>
            </w:pPr>
            <w:r w:rsidRPr="00EB2310">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noWrap/>
            <w:vAlign w:val="center"/>
            <w:hideMark/>
          </w:tcPr>
          <w:p w14:paraId="0D1222FE" w14:textId="77777777" w:rsidR="002D6400" w:rsidRPr="00EB2310"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EB2310">
              <w:rPr>
                <w:rFonts w:ascii="Arial" w:eastAsia="Times New Roman" w:hAnsi="Arial" w:cs="Arial"/>
                <w:color w:val="000000"/>
                <w:sz w:val="18"/>
                <w:szCs w:val="18"/>
                <w:lang w:val="fr-FR" w:eastAsia="fr-FR"/>
              </w:rPr>
              <w:t> </w:t>
            </w:r>
          </w:p>
        </w:tc>
        <w:tc>
          <w:tcPr>
            <w:tcW w:w="1530" w:type="dxa"/>
            <w:tcBorders>
              <w:top w:val="nil"/>
              <w:left w:val="nil"/>
              <w:bottom w:val="single" w:sz="4" w:space="0" w:color="auto"/>
              <w:right w:val="single" w:sz="4" w:space="0" w:color="auto"/>
            </w:tcBorders>
            <w:shd w:val="clear" w:color="auto" w:fill="auto"/>
            <w:noWrap/>
            <w:vAlign w:val="bottom"/>
            <w:hideMark/>
          </w:tcPr>
          <w:p w14:paraId="0BD52878" w14:textId="77777777" w:rsidR="002D6400" w:rsidRPr="00EB2310" w:rsidRDefault="002D6400" w:rsidP="002D6400">
            <w:pPr>
              <w:autoSpaceDE/>
              <w:autoSpaceDN/>
              <w:adjustRightInd/>
              <w:snapToGrid/>
              <w:spacing w:after="0"/>
              <w:jc w:val="left"/>
              <w:rPr>
                <w:rFonts w:ascii="Calibri" w:eastAsia="Times New Roman" w:hAnsi="Calibri" w:cs="Calibri"/>
                <w:color w:val="00B050"/>
                <w:lang w:val="fr-FR" w:eastAsia="fr-FR"/>
              </w:rPr>
            </w:pPr>
            <w:r w:rsidRPr="00EB2310">
              <w:rPr>
                <w:rFonts w:ascii="Calibri" w:eastAsia="Times New Roman" w:hAnsi="Calibri" w:cs="Calibri"/>
                <w:color w:val="00B050"/>
                <w:lang w:val="fr-FR" w:eastAsia="fr-FR"/>
              </w:rPr>
              <w:t>Stable</w:t>
            </w:r>
          </w:p>
        </w:tc>
      </w:tr>
    </w:tbl>
    <w:p w14:paraId="06BC5A0A" w14:textId="77777777" w:rsidR="007D253F" w:rsidRPr="00E61DEB" w:rsidRDefault="007D253F" w:rsidP="007D253F"/>
    <w:p w14:paraId="06BC5A0B" w14:textId="69851222" w:rsidR="00DD15F7" w:rsidRPr="00E61DEB" w:rsidRDefault="00DD15F7" w:rsidP="00DD15F7">
      <w:pPr>
        <w:pStyle w:val="Titre2"/>
        <w:rPr>
          <w:sz w:val="22"/>
        </w:rPr>
      </w:pPr>
      <w:bookmarkStart w:id="17" w:name="_Toc82188774"/>
      <w:r w:rsidRPr="00E61DEB">
        <w:rPr>
          <w:sz w:val="22"/>
        </w:rPr>
        <w:t>Company views</w:t>
      </w:r>
      <w:bookmarkEnd w:id="17"/>
      <w:r w:rsidRPr="00E61DEB">
        <w:rPr>
          <w:sz w:val="22"/>
        </w:rPr>
        <w:t xml:space="preserve"> </w:t>
      </w:r>
    </w:p>
    <w:p w14:paraId="0BC292FC" w14:textId="491862CC" w:rsidR="008D0C44" w:rsidRPr="00E61DEB" w:rsidRDefault="008D0C44" w:rsidP="007A0E55">
      <w:pPr>
        <w:rPr>
          <w:rFonts w:eastAsia="SimSun"/>
          <w:b/>
          <w:lang w:eastAsia="zh-CN"/>
        </w:rPr>
      </w:pPr>
    </w:p>
    <w:p w14:paraId="06BC5A0C" w14:textId="4E9A7B79" w:rsidR="003B5392" w:rsidRPr="00E61DEB" w:rsidRDefault="004F66CC" w:rsidP="003B5392">
      <w:pPr>
        <w:pStyle w:val="DraftProposal"/>
        <w:numPr>
          <w:ilvl w:val="0"/>
          <w:numId w:val="0"/>
        </w:numPr>
        <w:rPr>
          <w:rFonts w:ascii="Times New Roman" w:hAnsi="Times New Roman" w:cs="Times New Roman"/>
        </w:rPr>
      </w:pPr>
      <w:r w:rsidRPr="00E61DEB">
        <w:rPr>
          <w:rFonts w:ascii="Times New Roman" w:eastAsiaTheme="minorEastAsia" w:hAnsi="Times New Roman" w:cs="Times New Roman"/>
          <w:bCs w:val="0"/>
          <w:highlight w:val="yellow"/>
        </w:rPr>
        <w:t>C</w:t>
      </w:r>
      <w:r w:rsidRPr="00E61DEB">
        <w:rPr>
          <w:rFonts w:ascii="Times New Roman" w:hAnsi="Times New Roman" w:cs="Times New Roman"/>
          <w:highlight w:val="yellow"/>
        </w:rPr>
        <w:t>ompanies are encouraged to provide comments on RRC parameters list (section 4.1):</w:t>
      </w:r>
    </w:p>
    <w:tbl>
      <w:tblPr>
        <w:tblStyle w:val="Grilledutableau"/>
        <w:tblW w:w="4973" w:type="pct"/>
        <w:tblLook w:val="04A0" w:firstRow="1" w:lastRow="0" w:firstColumn="1" w:lastColumn="0" w:noHBand="0" w:noVBand="1"/>
      </w:tblPr>
      <w:tblGrid>
        <w:gridCol w:w="3662"/>
        <w:gridCol w:w="16347"/>
      </w:tblGrid>
      <w:tr w:rsidR="003B5392" w:rsidRPr="00E61DEB" w14:paraId="06BC5A0F" w14:textId="77777777" w:rsidTr="003D5F4F">
        <w:tc>
          <w:tcPr>
            <w:tcW w:w="915" w:type="pct"/>
            <w:shd w:val="clear" w:color="auto" w:fill="00B0F0"/>
          </w:tcPr>
          <w:p w14:paraId="06BC5A0D" w14:textId="77777777" w:rsidR="003B5392" w:rsidRPr="00E61DEB" w:rsidRDefault="003B5392" w:rsidP="006612F0">
            <w:pPr>
              <w:rPr>
                <w:b/>
                <w:color w:val="FFFFFF" w:themeColor="background1"/>
              </w:rPr>
            </w:pPr>
            <w:r w:rsidRPr="00E61DEB">
              <w:rPr>
                <w:b/>
                <w:color w:val="FFFFFF" w:themeColor="background1"/>
              </w:rPr>
              <w:lastRenderedPageBreak/>
              <w:t>Companies</w:t>
            </w:r>
          </w:p>
        </w:tc>
        <w:tc>
          <w:tcPr>
            <w:tcW w:w="4085" w:type="pct"/>
            <w:shd w:val="clear" w:color="auto" w:fill="00B0F0"/>
          </w:tcPr>
          <w:p w14:paraId="06BC5A0E" w14:textId="77777777" w:rsidR="003B5392" w:rsidRPr="00E61DEB" w:rsidRDefault="003B5392" w:rsidP="006612F0">
            <w:pPr>
              <w:rPr>
                <w:b/>
                <w:color w:val="FFFFFF" w:themeColor="background1"/>
              </w:rPr>
            </w:pPr>
            <w:r w:rsidRPr="00E61DEB">
              <w:rPr>
                <w:b/>
                <w:color w:val="FFFFFF" w:themeColor="background1"/>
              </w:rPr>
              <w:t xml:space="preserve">Comments </w:t>
            </w:r>
          </w:p>
        </w:tc>
      </w:tr>
      <w:tr w:rsidR="00320741" w:rsidRPr="00E61DEB" w14:paraId="06BC5A16" w14:textId="77777777" w:rsidTr="003D5F4F">
        <w:tc>
          <w:tcPr>
            <w:tcW w:w="915" w:type="pct"/>
          </w:tcPr>
          <w:p w14:paraId="06BC5A10" w14:textId="3AB8F6D4" w:rsidR="00320741" w:rsidRPr="00E61DEB" w:rsidRDefault="00D161C6" w:rsidP="00320741">
            <w:pPr>
              <w:rPr>
                <w:bCs/>
                <w:lang w:eastAsia="zh-CN"/>
              </w:rPr>
            </w:pPr>
            <w:r>
              <w:rPr>
                <w:bCs/>
                <w:lang w:eastAsia="zh-CN"/>
              </w:rPr>
              <w:t>Nokia</w:t>
            </w:r>
          </w:p>
        </w:tc>
        <w:tc>
          <w:tcPr>
            <w:tcW w:w="4085" w:type="pct"/>
          </w:tcPr>
          <w:p w14:paraId="167D304F" w14:textId="77777777" w:rsidR="00D161C6" w:rsidRDefault="00D161C6" w:rsidP="00D161C6">
            <w:pPr>
              <w:numPr>
                <w:ilvl w:val="0"/>
                <w:numId w:val="37"/>
              </w:numPr>
              <w:autoSpaceDE/>
              <w:autoSpaceDN/>
              <w:adjustRightInd/>
              <w:snapToGrid/>
              <w:spacing w:after="0"/>
              <w:rPr>
                <w:rFonts w:ascii="Calibri" w:hAnsi="Calibri" w:cs="Calibri"/>
              </w:rPr>
            </w:pPr>
            <w:r>
              <w:rPr>
                <w:rFonts w:ascii="Calibri" w:hAnsi="Calibri" w:cs="Calibri"/>
              </w:rPr>
              <w:t>Row 25 contains the configuration of the number of HARQ for DL, but there is no corresponding line for UL configuration (at least we have agreement that DCI format 0-1 is also supported for extension of HARQ processes). Is the line for UL HARQ missing?</w:t>
            </w:r>
          </w:p>
          <w:p w14:paraId="5BB2F29B" w14:textId="77777777" w:rsidR="00D161C6" w:rsidRDefault="00D161C6" w:rsidP="00D161C6">
            <w:pPr>
              <w:numPr>
                <w:ilvl w:val="0"/>
                <w:numId w:val="37"/>
              </w:numPr>
              <w:autoSpaceDE/>
              <w:autoSpaceDN/>
              <w:adjustRightInd/>
              <w:snapToGrid/>
              <w:spacing w:after="0"/>
              <w:rPr>
                <w:rFonts w:ascii="Calibri" w:hAnsi="Calibri" w:cs="Calibri"/>
              </w:rPr>
            </w:pPr>
            <w:r>
              <w:rPr>
                <w:rFonts w:ascii="Calibri" w:hAnsi="Calibri" w:cs="Calibri"/>
              </w:rPr>
              <w:t xml:space="preserve">Rows 26+27 are indicated to have the same parameter name in specifications, while the descriptor seems to indicate that these are for </w:t>
            </w:r>
            <w:r>
              <w:rPr>
                <w:rFonts w:ascii="Calibri" w:hAnsi="Calibri" w:cs="Calibri"/>
                <w:lang w:val="en-GB"/>
              </w:rPr>
              <w:t>UL configured grant and DL SPS respectively. I would suggest that they are given unique names.</w:t>
            </w:r>
          </w:p>
          <w:p w14:paraId="7B120F14" w14:textId="77777777" w:rsidR="00D161C6" w:rsidRDefault="00D161C6" w:rsidP="00D161C6">
            <w:pPr>
              <w:numPr>
                <w:ilvl w:val="0"/>
                <w:numId w:val="37"/>
              </w:numPr>
              <w:autoSpaceDE/>
              <w:autoSpaceDN/>
              <w:adjustRightInd/>
              <w:snapToGrid/>
              <w:spacing w:after="0"/>
              <w:rPr>
                <w:rFonts w:ascii="Calibri" w:hAnsi="Calibri" w:cs="Calibri"/>
              </w:rPr>
            </w:pPr>
            <w:r>
              <w:rPr>
                <w:rFonts w:ascii="Calibri" w:hAnsi="Calibri" w:cs="Calibri"/>
                <w:lang w:val="en-GB"/>
              </w:rPr>
              <w:t xml:space="preserve">Row 29 seems to have lost its “WI code” and “subfeature group” - perhaps we can find it again </w:t>
            </w:r>
            <w:r>
              <w:rPr>
                <w:rFonts w:ascii="Segoe UI Emoji" w:hAnsi="Segoe UI Emoji"/>
                <w:lang w:val="en-GB"/>
              </w:rPr>
              <w:t>😊</w:t>
            </w:r>
            <w:r>
              <w:rPr>
                <w:rFonts w:ascii="Calibri" w:hAnsi="Calibri" w:cs="Calibri"/>
                <w:lang w:val="en-GB"/>
              </w:rPr>
              <w:t>? Or is this because this feature is rather a RAN2 feature – in which case we should rather not have RRC parameters for this. After all, what is important for RAN1 is the knowledge of whether a specific HARQ process is feed-back disabled or not.</w:t>
            </w:r>
          </w:p>
          <w:p w14:paraId="7ED96C3F" w14:textId="77777777" w:rsidR="00D161C6" w:rsidRDefault="00D161C6" w:rsidP="00D161C6">
            <w:pPr>
              <w:rPr>
                <w:rFonts w:ascii="Calibri" w:hAnsi="Calibri" w:cs="Calibri"/>
              </w:rPr>
            </w:pPr>
          </w:p>
          <w:p w14:paraId="06BC5A15" w14:textId="196F393E" w:rsidR="00320741" w:rsidRPr="00512287" w:rsidRDefault="00320741" w:rsidP="00512287">
            <w:pPr>
              <w:rPr>
                <w:bCs/>
              </w:rPr>
            </w:pPr>
          </w:p>
        </w:tc>
      </w:tr>
      <w:tr w:rsidR="00EC56C9" w:rsidRPr="00E61DEB" w14:paraId="06BC5A19" w14:textId="77777777" w:rsidTr="003D5F4F">
        <w:tc>
          <w:tcPr>
            <w:tcW w:w="915" w:type="pct"/>
          </w:tcPr>
          <w:p w14:paraId="06BC5A17" w14:textId="54961C7C" w:rsidR="00EC56C9" w:rsidRPr="00E61DEB" w:rsidRDefault="0026690F" w:rsidP="00EC56C9">
            <w:pPr>
              <w:rPr>
                <w:bCs/>
                <w:lang w:eastAsia="zh-CN"/>
              </w:rPr>
            </w:pPr>
            <w:r>
              <w:rPr>
                <w:bCs/>
                <w:lang w:eastAsia="zh-CN"/>
              </w:rPr>
              <w:t>Ericsson</w:t>
            </w:r>
          </w:p>
        </w:tc>
        <w:tc>
          <w:tcPr>
            <w:tcW w:w="4085" w:type="pct"/>
          </w:tcPr>
          <w:p w14:paraId="19630329" w14:textId="77777777" w:rsidR="0026690F" w:rsidRDefault="0026690F" w:rsidP="0026690F">
            <w:pPr>
              <w:rPr>
                <w:sz w:val="24"/>
                <w:szCs w:val="24"/>
                <w:u w:val="single"/>
              </w:rPr>
            </w:pPr>
            <w:r>
              <w:rPr>
                <w:u w:val="single"/>
              </w:rPr>
              <w:t>Regarding the configuration of the number of HARQ processes for DL and UL:</w:t>
            </w:r>
          </w:p>
          <w:p w14:paraId="067CECD4" w14:textId="77777777" w:rsidR="0026690F" w:rsidRDefault="0026690F" w:rsidP="0026690F"/>
          <w:p w14:paraId="01962596" w14:textId="77777777" w:rsidR="0026690F" w:rsidRDefault="0026690F" w:rsidP="0026690F">
            <w:r>
              <w:t>In the UE features discussion for NR NTN it has been agreed to have separate UE capabilities for 32 HARQ processes in DL and UL. This is different from legacy where 16 processes are mandatory in both UL and DL.</w:t>
            </w:r>
          </w:p>
          <w:p w14:paraId="782C912E" w14:textId="77777777" w:rsidR="0026690F" w:rsidRDefault="0026690F" w:rsidP="0026690F"/>
          <w:p w14:paraId="60CA7990" w14:textId="77777777" w:rsidR="0026690F" w:rsidRDefault="0026690F" w:rsidP="0026690F">
            <w:r>
              <w:t xml:space="preserve">The RAN2 guideline </w:t>
            </w:r>
            <w:bookmarkStart w:id="18" w:name="_Ref83273940"/>
            <w:r>
              <w:t>R1-2001513 (Guidelines for UE capability definitions</w:t>
            </w:r>
            <w:bookmarkEnd w:id="18"/>
            <w:r>
              <w:t>) states the following:</w:t>
            </w:r>
          </w:p>
          <w:p w14:paraId="52A66540" w14:textId="77777777" w:rsidR="0026690F" w:rsidRDefault="0026690F" w:rsidP="0026690F"/>
          <w:p w14:paraId="54871D38" w14:textId="77777777" w:rsidR="0026690F" w:rsidRDefault="0026690F" w:rsidP="0026690F">
            <w:pPr>
              <w:ind w:left="567"/>
              <w:rPr>
                <w:rFonts w:ascii="Calibri" w:hAnsi="Calibri" w:cs="Calibri"/>
                <w:b/>
                <w:bCs/>
                <w:sz w:val="24"/>
                <w:szCs w:val="24"/>
              </w:rPr>
            </w:pPr>
            <w:r>
              <w:rPr>
                <w:b/>
                <w:bCs/>
              </w:rPr>
              <w:t>5          Avoid defining functionality that has no RRC configuration but is dependent on capability bits.</w:t>
            </w:r>
          </w:p>
          <w:p w14:paraId="5E78C66F" w14:textId="77777777" w:rsidR="0026690F" w:rsidRDefault="0026690F" w:rsidP="0026690F">
            <w:pPr>
              <w:ind w:left="567"/>
            </w:pPr>
            <w:r>
              <w:t xml:space="preserve">The specification should not be written so that the network determines what configuration it can use for a UE implicitly by the reported UE capabilities. Instead, the gNB should always configure the UE explicitly by DL RRC signalling, respecting  the reported capabilities. </w:t>
            </w:r>
          </w:p>
          <w:p w14:paraId="5A61690A" w14:textId="77777777" w:rsidR="0026690F" w:rsidRDefault="0026690F" w:rsidP="0026690F">
            <w:pPr>
              <w:rPr>
                <w:rFonts w:ascii="Calibri" w:hAnsi="Calibri" w:cs="Calibri"/>
              </w:rPr>
            </w:pPr>
          </w:p>
          <w:p w14:paraId="660780DE" w14:textId="77777777" w:rsidR="0026690F" w:rsidRDefault="0026690F" w:rsidP="0026690F">
            <w:pPr>
              <w:rPr>
                <w:sz w:val="24"/>
                <w:szCs w:val="24"/>
              </w:rPr>
            </w:pPr>
            <w:r>
              <w:t>Therefore an RRC parameter should be added for configuration of the number of HARQ processes also for UL, to be able to configure 32 processes in one direction and 16 in the other direction.</w:t>
            </w:r>
          </w:p>
          <w:p w14:paraId="06BC5A18" w14:textId="5271954F" w:rsidR="006228E5" w:rsidRPr="00512287" w:rsidRDefault="006228E5" w:rsidP="00512287">
            <w:pPr>
              <w:rPr>
                <w:rFonts w:eastAsiaTheme="minorHAnsi"/>
                <w:bCs/>
              </w:rPr>
            </w:pPr>
          </w:p>
        </w:tc>
      </w:tr>
      <w:tr w:rsidR="000621C9" w:rsidRPr="00E61DEB" w14:paraId="06BC5A1C" w14:textId="77777777" w:rsidTr="003D5F4F">
        <w:tc>
          <w:tcPr>
            <w:tcW w:w="915" w:type="pct"/>
          </w:tcPr>
          <w:p w14:paraId="06BC5A1A" w14:textId="3F5C1AB1" w:rsidR="000621C9" w:rsidRPr="00E61DEB" w:rsidRDefault="00164CC9" w:rsidP="006612F0">
            <w:pPr>
              <w:rPr>
                <w:color w:val="000000"/>
                <w:szCs w:val="21"/>
                <w:lang w:eastAsia="zh-CN"/>
              </w:rPr>
            </w:pPr>
            <w:r>
              <w:rPr>
                <w:color w:val="000000"/>
                <w:szCs w:val="21"/>
                <w:lang w:eastAsia="zh-CN"/>
              </w:rPr>
              <w:t>Nokia</w:t>
            </w:r>
          </w:p>
        </w:tc>
        <w:tc>
          <w:tcPr>
            <w:tcW w:w="4085" w:type="pct"/>
          </w:tcPr>
          <w:p w14:paraId="65FA5BC7" w14:textId="77777777" w:rsidR="000621C9" w:rsidRDefault="00164CC9" w:rsidP="000621C9">
            <w:pPr>
              <w:pStyle w:val="Paragraphedeliste"/>
              <w:adjustRightInd w:val="0"/>
              <w:snapToGrid w:val="0"/>
              <w:spacing w:after="120"/>
              <w:ind w:left="0" w:firstLineChars="150" w:firstLine="330"/>
              <w:rPr>
                <w:rFonts w:ascii="Calibri" w:hAnsi="Calibri"/>
                <w:szCs w:val="22"/>
              </w:rPr>
            </w:pPr>
            <w:r>
              <w:rPr>
                <w:rFonts w:ascii="Calibri" w:hAnsi="Calibri"/>
                <w:szCs w:val="22"/>
              </w:rPr>
              <w:t>However, given that current operation for UL is that we have 16 processes, it may be appropriate if we only have the options of n16 and n32 values</w:t>
            </w:r>
          </w:p>
          <w:p w14:paraId="1EF409D2" w14:textId="77777777" w:rsidR="00B71B48" w:rsidRDefault="00B71B48" w:rsidP="000621C9">
            <w:pPr>
              <w:pStyle w:val="Paragraphedeliste"/>
              <w:adjustRightInd w:val="0"/>
              <w:snapToGrid w:val="0"/>
              <w:spacing w:after="120"/>
              <w:ind w:left="0" w:firstLineChars="150" w:firstLine="330"/>
              <w:rPr>
                <w:rFonts w:ascii="Calibri" w:hAnsi="Calibri"/>
                <w:szCs w:val="22"/>
              </w:rPr>
            </w:pPr>
          </w:p>
          <w:p w14:paraId="5B2E3906" w14:textId="77777777" w:rsidR="00B71B48" w:rsidRDefault="00B71B48" w:rsidP="00B71B48">
            <w:pPr>
              <w:rPr>
                <w:rFonts w:ascii="Calibri" w:hAnsi="Calibri" w:cs="Calibri"/>
              </w:rPr>
            </w:pPr>
            <w:r>
              <w:rPr>
                <w:rFonts w:ascii="Calibri" w:hAnsi="Calibri" w:cs="Calibri"/>
              </w:rPr>
              <w:t>One minor nitpicking detail – the description uses n2 and n4. I would suggest to use the following:</w:t>
            </w:r>
          </w:p>
          <w:p w14:paraId="174E7638" w14:textId="77777777" w:rsidR="00B71B48" w:rsidRDefault="00B71B48" w:rsidP="00B71B48">
            <w:pPr>
              <w:rPr>
                <w:rFonts w:ascii="Calibri" w:hAnsi="Calibri" w:cs="Calibri"/>
              </w:rPr>
            </w:pPr>
          </w:p>
          <w:p w14:paraId="381A106B" w14:textId="77777777" w:rsidR="00B71B48" w:rsidRDefault="00B71B48" w:rsidP="00B71B48">
            <w:pPr>
              <w:rPr>
                <w:rFonts w:ascii="Calibri" w:hAnsi="Calibri" w:cs="Calibri"/>
              </w:rPr>
            </w:pPr>
            <w:r>
              <w:rPr>
                <w:rFonts w:ascii="Arial" w:hAnsi="Arial" w:cs="Arial"/>
                <w:color w:val="FF0000"/>
                <w:sz w:val="18"/>
                <w:szCs w:val="18"/>
              </w:rPr>
              <w:t>The number of HARQ processes to be used on the PUSCH of a serving cell. Value n16 corresponds to 16 HARQ processes, value n32 to 32 HARQ processes. If the field is absent, the UE uses 16 UL HARQ processes (see TS 38.214 , clause X.Y).</w:t>
            </w:r>
          </w:p>
          <w:p w14:paraId="06BC5A1B" w14:textId="509FD67B" w:rsidR="00B71B48" w:rsidRPr="00E61DEB" w:rsidRDefault="00B71B48" w:rsidP="000621C9">
            <w:pPr>
              <w:pStyle w:val="Paragraphedeliste"/>
              <w:adjustRightInd w:val="0"/>
              <w:snapToGrid w:val="0"/>
              <w:spacing w:after="120"/>
              <w:ind w:left="0" w:firstLineChars="150" w:firstLine="330"/>
              <w:rPr>
                <w:rFonts w:cs="Times New Roman"/>
                <w:color w:val="000000"/>
              </w:rPr>
            </w:pPr>
          </w:p>
        </w:tc>
      </w:tr>
      <w:tr w:rsidR="0004452E" w:rsidRPr="00E61DEB" w14:paraId="16713977" w14:textId="77777777" w:rsidTr="003D5F4F">
        <w:tc>
          <w:tcPr>
            <w:tcW w:w="915" w:type="pct"/>
          </w:tcPr>
          <w:p w14:paraId="17D44EE4" w14:textId="0E5DE2CE" w:rsidR="0004452E" w:rsidRPr="00E61DEB" w:rsidRDefault="00872201" w:rsidP="0004452E">
            <w:pPr>
              <w:rPr>
                <w:color w:val="000000"/>
                <w:szCs w:val="21"/>
                <w:lang w:eastAsia="zh-CN"/>
              </w:rPr>
            </w:pPr>
            <w:r>
              <w:rPr>
                <w:color w:val="000000"/>
                <w:szCs w:val="21"/>
                <w:lang w:eastAsia="zh-CN"/>
              </w:rPr>
              <w:lastRenderedPageBreak/>
              <w:t>Apple</w:t>
            </w:r>
          </w:p>
        </w:tc>
        <w:tc>
          <w:tcPr>
            <w:tcW w:w="4085" w:type="pct"/>
          </w:tcPr>
          <w:p w14:paraId="0ACDECA7" w14:textId="77777777" w:rsidR="00872201" w:rsidRDefault="00872201" w:rsidP="00872201">
            <w:pPr>
              <w:rPr>
                <w:rFonts w:eastAsia="Times New Roman"/>
                <w:sz w:val="24"/>
                <w:szCs w:val="24"/>
              </w:rPr>
            </w:pPr>
            <w:r>
              <w:rPr>
                <w:rFonts w:eastAsia="Times New Roman"/>
              </w:rPr>
              <w:t>Regarding the parameters "nrofHARQ-ProcessesForPDSCH-r17” and "nrofHARQ-ProcessesForPUSCH-r17”, it is more flexible to introduce some possible values between 16 and 32. I could see several values below 16 for nrofHARQ-ProcessesForPDSCH-r17. As per the additional values to add, we are open, but may be 20, 24, 28 could be considered.</w:t>
            </w:r>
          </w:p>
          <w:p w14:paraId="46E33B92" w14:textId="0CCF7793" w:rsidR="0004452E" w:rsidRPr="00E61DEB" w:rsidRDefault="0004452E" w:rsidP="0004452E">
            <w:pPr>
              <w:pStyle w:val="Paragraphedeliste"/>
              <w:adjustRightInd w:val="0"/>
              <w:snapToGrid w:val="0"/>
              <w:spacing w:after="120"/>
              <w:ind w:left="0"/>
              <w:rPr>
                <w:rFonts w:cs="Times New Roman"/>
                <w:color w:val="000000"/>
              </w:rPr>
            </w:pPr>
          </w:p>
        </w:tc>
      </w:tr>
      <w:tr w:rsidR="008528F4" w:rsidRPr="00E61DEB" w14:paraId="3BBBA48D" w14:textId="77777777" w:rsidTr="003D5F4F">
        <w:tc>
          <w:tcPr>
            <w:tcW w:w="915" w:type="pct"/>
          </w:tcPr>
          <w:p w14:paraId="463C8CCD" w14:textId="7FF8A1FA" w:rsidR="008528F4" w:rsidRPr="00E61DEB" w:rsidRDefault="004C15B6" w:rsidP="008528F4">
            <w:pPr>
              <w:rPr>
                <w:rFonts w:eastAsiaTheme="minorHAnsi"/>
                <w:bCs/>
              </w:rPr>
            </w:pPr>
            <w:r>
              <w:rPr>
                <w:rFonts w:eastAsiaTheme="minorHAnsi"/>
                <w:bCs/>
              </w:rPr>
              <w:t>Moderator</w:t>
            </w:r>
          </w:p>
        </w:tc>
        <w:tc>
          <w:tcPr>
            <w:tcW w:w="4085" w:type="pct"/>
          </w:tcPr>
          <w:p w14:paraId="6B1E0DDD" w14:textId="77777777" w:rsidR="004C15B6" w:rsidRPr="004C15B6" w:rsidRDefault="004C15B6" w:rsidP="004C15B6">
            <w:pPr>
              <w:rPr>
                <w:rFonts w:eastAsia="Times New Roman"/>
              </w:rPr>
            </w:pPr>
            <w:r w:rsidRPr="004C15B6">
              <w:rPr>
                <w:rFonts w:eastAsia="Times New Roman"/>
              </w:rPr>
              <w:t>The value range {n2, n4, n6, n10, n12, n16, n32}, was discussed and agreed in previous meeting.</w:t>
            </w:r>
          </w:p>
          <w:p w14:paraId="7B06C8F3" w14:textId="77777777" w:rsidR="004C15B6" w:rsidRPr="004C15B6" w:rsidRDefault="004C15B6" w:rsidP="004C15B6">
            <w:pPr>
              <w:rPr>
                <w:rFonts w:eastAsia="Times New Roman"/>
              </w:rPr>
            </w:pPr>
          </w:p>
          <w:p w14:paraId="4E58013F" w14:textId="77777777" w:rsidR="004C15B6" w:rsidRPr="004C15B6" w:rsidRDefault="004C15B6" w:rsidP="004C15B6">
            <w:pPr>
              <w:rPr>
                <w:rFonts w:eastAsia="Times New Roman"/>
              </w:rPr>
            </w:pPr>
            <w:r w:rsidRPr="004C15B6">
              <w:rPr>
                <w:rFonts w:eastAsia="Times New Roman"/>
              </w:rPr>
              <w:t>With max RTT up to 25.77 ms in LEO 600 km scenario, 28 HARQ processes are sufficient to avoid HARQ stalling</w:t>
            </w:r>
          </w:p>
          <w:p w14:paraId="2134A82D" w14:textId="77777777" w:rsidR="004C15B6" w:rsidRPr="004C15B6" w:rsidRDefault="004C15B6" w:rsidP="004C15B6">
            <w:pPr>
              <w:rPr>
                <w:rFonts w:eastAsia="Times New Roman"/>
              </w:rPr>
            </w:pPr>
            <w:r w:rsidRPr="004C15B6">
              <w:rPr>
                <w:rFonts w:eastAsia="Times New Roman"/>
              </w:rPr>
              <w:t xml:space="preserve">With max RTT up to 541.46 ms in GEO 35786 km scenario, 32 HARQ processes only marginally avoid HARQ stalling. In case of 32 HARQ processes are used, the maximum peak rate due to HARQ stalling is reduced by about 94%, whereas with 16 HARQ processes it is reduced by 97%.  </w:t>
            </w:r>
          </w:p>
          <w:p w14:paraId="7C249B76" w14:textId="77777777" w:rsidR="004C15B6" w:rsidRPr="004C15B6" w:rsidRDefault="004C15B6" w:rsidP="004C15B6">
            <w:pPr>
              <w:rPr>
                <w:rFonts w:eastAsia="Times New Roman"/>
              </w:rPr>
            </w:pPr>
          </w:p>
          <w:p w14:paraId="236D0B42" w14:textId="77777777" w:rsidR="004C15B6" w:rsidRPr="004C15B6" w:rsidRDefault="004C15B6" w:rsidP="004C15B6">
            <w:pPr>
              <w:rPr>
                <w:rFonts w:eastAsia="Times New Roman"/>
              </w:rPr>
            </w:pPr>
            <w:r w:rsidRPr="004C15B6">
              <w:rPr>
                <w:rFonts w:eastAsia="Times New Roman"/>
              </w:rPr>
              <w:t>I think Chunxuan you ‘re referring to other scenario lower than LEO 600 km?</w:t>
            </w:r>
          </w:p>
          <w:p w14:paraId="2955B387" w14:textId="77777777" w:rsidR="004C15B6" w:rsidRPr="004C15B6" w:rsidRDefault="004C15B6" w:rsidP="004C15B6">
            <w:pPr>
              <w:rPr>
                <w:rFonts w:eastAsia="Times New Roman"/>
              </w:rPr>
            </w:pPr>
            <w:r w:rsidRPr="004C15B6">
              <w:rPr>
                <w:rFonts w:eastAsia="Times New Roman"/>
              </w:rPr>
              <w:t>I think for time being we cannot change the values already agreed since 106-bis-e. maybe if relevant, other intermediate values could be discussed during R17 maintenance phase.</w:t>
            </w:r>
          </w:p>
          <w:p w14:paraId="1BF25BE2" w14:textId="23C26C69" w:rsidR="008528F4" w:rsidRPr="00E61DEB" w:rsidRDefault="008528F4" w:rsidP="008528F4">
            <w:pPr>
              <w:pStyle w:val="Paragraphedeliste"/>
              <w:adjustRightInd w:val="0"/>
              <w:snapToGrid w:val="0"/>
              <w:spacing w:after="120"/>
              <w:ind w:left="0"/>
              <w:rPr>
                <w:rFonts w:cs="Times New Roman"/>
                <w:color w:val="000000"/>
              </w:rPr>
            </w:pPr>
          </w:p>
        </w:tc>
      </w:tr>
      <w:tr w:rsidR="0004452E" w:rsidRPr="00E61DEB" w14:paraId="606E9E8B" w14:textId="77777777" w:rsidTr="003D5F4F">
        <w:tc>
          <w:tcPr>
            <w:tcW w:w="915" w:type="pct"/>
          </w:tcPr>
          <w:p w14:paraId="102356E5" w14:textId="77777777" w:rsidR="0004452E" w:rsidRPr="00E61DEB" w:rsidRDefault="0004452E" w:rsidP="0004452E">
            <w:pPr>
              <w:rPr>
                <w:rFonts w:eastAsiaTheme="minorHAnsi"/>
                <w:bCs/>
              </w:rPr>
            </w:pPr>
          </w:p>
        </w:tc>
        <w:tc>
          <w:tcPr>
            <w:tcW w:w="4085" w:type="pct"/>
          </w:tcPr>
          <w:p w14:paraId="36C937CE" w14:textId="77777777" w:rsidR="0004452E" w:rsidRPr="00E61DEB" w:rsidRDefault="0004452E" w:rsidP="0004452E">
            <w:pPr>
              <w:pStyle w:val="Paragraphedeliste"/>
              <w:adjustRightInd w:val="0"/>
              <w:snapToGrid w:val="0"/>
              <w:spacing w:after="120"/>
              <w:ind w:left="0"/>
              <w:rPr>
                <w:rFonts w:cs="Times New Roman"/>
                <w:color w:val="000000"/>
              </w:rPr>
            </w:pPr>
          </w:p>
        </w:tc>
      </w:tr>
    </w:tbl>
    <w:p w14:paraId="06BC5A1D" w14:textId="74D7B647" w:rsidR="003B5392" w:rsidRPr="00E61DEB" w:rsidRDefault="003B5392" w:rsidP="007D253F"/>
    <w:p w14:paraId="477E573E" w14:textId="4A51C334" w:rsidR="002B7F48" w:rsidRPr="00E61DEB" w:rsidRDefault="002B7F48" w:rsidP="00FC05D5">
      <w:pPr>
        <w:pStyle w:val="Titre2"/>
        <w:rPr>
          <w:sz w:val="22"/>
        </w:rPr>
      </w:pPr>
      <w:bookmarkStart w:id="19" w:name="_Toc82188775"/>
      <w:r w:rsidRPr="00E61DEB">
        <w:rPr>
          <w:sz w:val="22"/>
        </w:rPr>
        <w:t>Updated list of RRC parameters based on company views (First round of email discussions)</w:t>
      </w:r>
      <w:bookmarkEnd w:id="19"/>
    </w:p>
    <w:tbl>
      <w:tblPr>
        <w:tblW w:w="5000" w:type="pct"/>
        <w:tblLook w:val="04A0" w:firstRow="1" w:lastRow="0" w:firstColumn="1" w:lastColumn="0" w:noHBand="0" w:noVBand="1"/>
      </w:tblPr>
      <w:tblGrid>
        <w:gridCol w:w="5164"/>
        <w:gridCol w:w="2296"/>
        <w:gridCol w:w="3068"/>
        <w:gridCol w:w="894"/>
        <w:gridCol w:w="957"/>
        <w:gridCol w:w="1339"/>
        <w:gridCol w:w="1461"/>
        <w:gridCol w:w="4939"/>
      </w:tblGrid>
      <w:tr w:rsidR="00084E1D" w:rsidRPr="001D638A" w14:paraId="33E7A757" w14:textId="77777777" w:rsidTr="00206606">
        <w:trPr>
          <w:trHeight w:val="900"/>
          <w:tblHeader/>
        </w:trPr>
        <w:tc>
          <w:tcPr>
            <w:tcW w:w="1284"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2E33F244" w14:textId="77777777" w:rsidR="001D638A" w:rsidRPr="001D638A" w:rsidRDefault="001D638A" w:rsidP="001D638A">
            <w:pPr>
              <w:autoSpaceDE/>
              <w:autoSpaceDN/>
              <w:adjustRightInd/>
              <w:snapToGrid/>
              <w:spacing w:after="0"/>
              <w:jc w:val="left"/>
              <w:rPr>
                <w:rFonts w:ascii="Arial" w:eastAsia="Times New Roman" w:hAnsi="Arial" w:cs="Arial"/>
                <w:b/>
                <w:bCs/>
                <w:color w:val="FFFFFF"/>
                <w:sz w:val="20"/>
                <w:szCs w:val="20"/>
              </w:rPr>
            </w:pPr>
            <w:r w:rsidRPr="001D638A">
              <w:rPr>
                <w:rFonts w:ascii="Arial" w:eastAsia="Times New Roman" w:hAnsi="Arial" w:cs="Arial"/>
                <w:b/>
                <w:bCs/>
                <w:color w:val="FFFFFF"/>
                <w:sz w:val="20"/>
                <w:szCs w:val="20"/>
              </w:rPr>
              <w:t>Parameter name in the text</w:t>
            </w:r>
          </w:p>
        </w:tc>
        <w:tc>
          <w:tcPr>
            <w:tcW w:w="571" w:type="pct"/>
            <w:tcBorders>
              <w:top w:val="single" w:sz="4" w:space="0" w:color="auto"/>
              <w:left w:val="nil"/>
              <w:bottom w:val="single" w:sz="4" w:space="0" w:color="auto"/>
              <w:right w:val="single" w:sz="4" w:space="0" w:color="auto"/>
            </w:tcBorders>
            <w:shd w:val="clear" w:color="000000" w:fill="00B0F0"/>
            <w:vAlign w:val="center"/>
            <w:hideMark/>
          </w:tcPr>
          <w:p w14:paraId="19E1DCA5" w14:textId="77777777" w:rsidR="001D638A" w:rsidRPr="001D638A" w:rsidRDefault="001D638A" w:rsidP="001D638A">
            <w:pPr>
              <w:autoSpaceDE/>
              <w:autoSpaceDN/>
              <w:adjustRightInd/>
              <w:snapToGrid/>
              <w:spacing w:after="0"/>
              <w:jc w:val="left"/>
              <w:rPr>
                <w:rFonts w:ascii="Arial" w:eastAsia="Times New Roman" w:hAnsi="Arial" w:cs="Arial"/>
                <w:b/>
                <w:bCs/>
                <w:color w:val="FFFFFF"/>
                <w:sz w:val="20"/>
                <w:szCs w:val="20"/>
              </w:rPr>
            </w:pPr>
            <w:r w:rsidRPr="001D638A">
              <w:rPr>
                <w:rFonts w:ascii="Arial" w:eastAsia="Times New Roman" w:hAnsi="Arial" w:cs="Arial"/>
                <w:b/>
                <w:bCs/>
                <w:color w:val="FFFFFF"/>
                <w:sz w:val="20"/>
                <w:szCs w:val="20"/>
              </w:rPr>
              <w:t>Description</w:t>
            </w:r>
          </w:p>
        </w:tc>
        <w:tc>
          <w:tcPr>
            <w:tcW w:w="762" w:type="pct"/>
            <w:tcBorders>
              <w:top w:val="single" w:sz="4" w:space="0" w:color="auto"/>
              <w:left w:val="nil"/>
              <w:bottom w:val="single" w:sz="4" w:space="0" w:color="auto"/>
              <w:right w:val="single" w:sz="4" w:space="0" w:color="auto"/>
            </w:tcBorders>
            <w:shd w:val="clear" w:color="000000" w:fill="00B0F0"/>
            <w:vAlign w:val="center"/>
            <w:hideMark/>
          </w:tcPr>
          <w:p w14:paraId="08DA536D" w14:textId="77777777" w:rsidR="001D638A" w:rsidRPr="001D638A" w:rsidRDefault="001D638A" w:rsidP="001D638A">
            <w:pPr>
              <w:autoSpaceDE/>
              <w:autoSpaceDN/>
              <w:adjustRightInd/>
              <w:snapToGrid/>
              <w:spacing w:after="0"/>
              <w:jc w:val="left"/>
              <w:rPr>
                <w:rFonts w:ascii="Arial" w:eastAsia="Times New Roman" w:hAnsi="Arial" w:cs="Arial"/>
                <w:b/>
                <w:bCs/>
                <w:color w:val="FFFFFF"/>
                <w:sz w:val="20"/>
                <w:szCs w:val="20"/>
              </w:rPr>
            </w:pPr>
            <w:r w:rsidRPr="001D638A">
              <w:rPr>
                <w:rFonts w:ascii="Arial" w:eastAsia="Times New Roman" w:hAnsi="Arial" w:cs="Arial"/>
                <w:b/>
                <w:bCs/>
                <w:color w:val="FFFFFF"/>
                <w:sz w:val="20"/>
                <w:szCs w:val="20"/>
              </w:rPr>
              <w:t>Value range</w:t>
            </w:r>
          </w:p>
        </w:tc>
        <w:tc>
          <w:tcPr>
            <w:tcW w:w="222" w:type="pct"/>
            <w:tcBorders>
              <w:top w:val="single" w:sz="4" w:space="0" w:color="auto"/>
              <w:left w:val="nil"/>
              <w:bottom w:val="single" w:sz="4" w:space="0" w:color="auto"/>
              <w:right w:val="single" w:sz="4" w:space="0" w:color="auto"/>
            </w:tcBorders>
            <w:shd w:val="clear" w:color="000000" w:fill="00B0F0"/>
            <w:vAlign w:val="center"/>
            <w:hideMark/>
          </w:tcPr>
          <w:p w14:paraId="3ABF39E4" w14:textId="77777777" w:rsidR="001D638A" w:rsidRPr="001D638A" w:rsidRDefault="001D638A" w:rsidP="001D638A">
            <w:pPr>
              <w:autoSpaceDE/>
              <w:autoSpaceDN/>
              <w:adjustRightInd/>
              <w:snapToGrid/>
              <w:spacing w:after="0"/>
              <w:jc w:val="left"/>
              <w:rPr>
                <w:rFonts w:ascii="Arial" w:eastAsia="Times New Roman" w:hAnsi="Arial" w:cs="Arial"/>
                <w:b/>
                <w:bCs/>
                <w:color w:val="FFFFFF"/>
                <w:sz w:val="20"/>
                <w:szCs w:val="20"/>
              </w:rPr>
            </w:pPr>
            <w:r w:rsidRPr="001D638A">
              <w:rPr>
                <w:rFonts w:ascii="Arial" w:eastAsia="Times New Roman" w:hAnsi="Arial" w:cs="Arial"/>
                <w:b/>
                <w:bCs/>
                <w:color w:val="FFFFFF"/>
                <w:sz w:val="20"/>
                <w:szCs w:val="20"/>
              </w:rPr>
              <w:t>Default value aspect</w:t>
            </w:r>
          </w:p>
        </w:tc>
        <w:tc>
          <w:tcPr>
            <w:tcW w:w="238" w:type="pct"/>
            <w:tcBorders>
              <w:top w:val="single" w:sz="4" w:space="0" w:color="auto"/>
              <w:left w:val="nil"/>
              <w:bottom w:val="single" w:sz="4" w:space="0" w:color="auto"/>
              <w:right w:val="single" w:sz="4" w:space="0" w:color="auto"/>
            </w:tcBorders>
            <w:shd w:val="clear" w:color="000000" w:fill="00B0F0"/>
            <w:vAlign w:val="center"/>
            <w:hideMark/>
          </w:tcPr>
          <w:p w14:paraId="551CA9A2" w14:textId="77777777" w:rsidR="001D638A" w:rsidRPr="001D638A" w:rsidRDefault="001D638A" w:rsidP="001D638A">
            <w:pPr>
              <w:autoSpaceDE/>
              <w:autoSpaceDN/>
              <w:adjustRightInd/>
              <w:snapToGrid/>
              <w:spacing w:after="0"/>
              <w:jc w:val="left"/>
              <w:rPr>
                <w:rFonts w:ascii="Arial" w:eastAsia="Times New Roman" w:hAnsi="Arial" w:cs="Arial"/>
                <w:b/>
                <w:bCs/>
                <w:color w:val="FFFFFF"/>
                <w:sz w:val="20"/>
                <w:szCs w:val="20"/>
              </w:rPr>
            </w:pPr>
            <w:r w:rsidRPr="001D638A">
              <w:rPr>
                <w:rFonts w:ascii="Arial" w:eastAsia="Times New Roman" w:hAnsi="Arial" w:cs="Arial"/>
                <w:b/>
                <w:bCs/>
                <w:color w:val="FFFFFF"/>
                <w:sz w:val="20"/>
                <w:szCs w:val="20"/>
              </w:rPr>
              <w:t>Per (UE, cell, TRP, …)</w:t>
            </w:r>
          </w:p>
        </w:tc>
        <w:tc>
          <w:tcPr>
            <w:tcW w:w="333" w:type="pct"/>
            <w:tcBorders>
              <w:top w:val="single" w:sz="4" w:space="0" w:color="auto"/>
              <w:left w:val="nil"/>
              <w:bottom w:val="single" w:sz="4" w:space="0" w:color="auto"/>
              <w:right w:val="single" w:sz="4" w:space="0" w:color="auto"/>
            </w:tcBorders>
            <w:shd w:val="clear" w:color="000000" w:fill="00B0F0"/>
            <w:vAlign w:val="center"/>
            <w:hideMark/>
          </w:tcPr>
          <w:p w14:paraId="47A48278" w14:textId="77777777" w:rsidR="001D638A" w:rsidRPr="001D638A" w:rsidRDefault="001D638A" w:rsidP="001D638A">
            <w:pPr>
              <w:autoSpaceDE/>
              <w:autoSpaceDN/>
              <w:adjustRightInd/>
              <w:snapToGrid/>
              <w:spacing w:after="0"/>
              <w:jc w:val="left"/>
              <w:rPr>
                <w:rFonts w:ascii="Arial" w:eastAsia="Times New Roman" w:hAnsi="Arial" w:cs="Arial"/>
                <w:b/>
                <w:bCs/>
                <w:color w:val="FFFFFF"/>
                <w:sz w:val="20"/>
                <w:szCs w:val="20"/>
              </w:rPr>
            </w:pPr>
            <w:r w:rsidRPr="001D638A">
              <w:rPr>
                <w:rFonts w:ascii="Arial" w:eastAsia="Times New Roman" w:hAnsi="Arial" w:cs="Arial"/>
                <w:b/>
                <w:bCs/>
                <w:color w:val="FFFFFF"/>
                <w:sz w:val="20"/>
                <w:szCs w:val="20"/>
              </w:rPr>
              <w:t>UE-specific or Cell-specific</w:t>
            </w:r>
          </w:p>
        </w:tc>
        <w:tc>
          <w:tcPr>
            <w:tcW w:w="363" w:type="pct"/>
            <w:tcBorders>
              <w:top w:val="single" w:sz="4" w:space="0" w:color="auto"/>
              <w:left w:val="nil"/>
              <w:bottom w:val="single" w:sz="4" w:space="0" w:color="auto"/>
              <w:right w:val="single" w:sz="4" w:space="0" w:color="auto"/>
            </w:tcBorders>
            <w:shd w:val="clear" w:color="000000" w:fill="00B0F0"/>
            <w:vAlign w:val="center"/>
            <w:hideMark/>
          </w:tcPr>
          <w:p w14:paraId="0D2E0E89" w14:textId="77777777" w:rsidR="001D638A" w:rsidRPr="001D638A" w:rsidRDefault="001D638A" w:rsidP="001D638A">
            <w:pPr>
              <w:autoSpaceDE/>
              <w:autoSpaceDN/>
              <w:adjustRightInd/>
              <w:snapToGrid/>
              <w:spacing w:after="0"/>
              <w:jc w:val="left"/>
              <w:rPr>
                <w:rFonts w:ascii="Arial" w:eastAsia="Times New Roman" w:hAnsi="Arial" w:cs="Arial"/>
                <w:b/>
                <w:bCs/>
                <w:color w:val="FFFFFF"/>
                <w:sz w:val="20"/>
                <w:szCs w:val="20"/>
              </w:rPr>
            </w:pPr>
            <w:r w:rsidRPr="001D638A">
              <w:rPr>
                <w:rFonts w:ascii="Arial" w:eastAsia="Times New Roman" w:hAnsi="Arial" w:cs="Arial"/>
                <w:b/>
                <w:bCs/>
                <w:color w:val="FFFFFF"/>
                <w:sz w:val="20"/>
                <w:szCs w:val="20"/>
              </w:rPr>
              <w:t>Specification</w:t>
            </w:r>
          </w:p>
        </w:tc>
        <w:tc>
          <w:tcPr>
            <w:tcW w:w="1227" w:type="pct"/>
            <w:tcBorders>
              <w:top w:val="single" w:sz="4" w:space="0" w:color="auto"/>
              <w:left w:val="nil"/>
              <w:bottom w:val="single" w:sz="4" w:space="0" w:color="auto"/>
              <w:right w:val="single" w:sz="4" w:space="0" w:color="auto"/>
            </w:tcBorders>
            <w:shd w:val="clear" w:color="000000" w:fill="00B0F0"/>
            <w:vAlign w:val="center"/>
            <w:hideMark/>
          </w:tcPr>
          <w:p w14:paraId="3AF0688C" w14:textId="77777777" w:rsidR="001D638A" w:rsidRPr="001D638A" w:rsidRDefault="001D638A" w:rsidP="001D638A">
            <w:pPr>
              <w:autoSpaceDE/>
              <w:autoSpaceDN/>
              <w:adjustRightInd/>
              <w:snapToGrid/>
              <w:spacing w:after="0"/>
              <w:jc w:val="left"/>
              <w:rPr>
                <w:rFonts w:ascii="Arial" w:eastAsia="Times New Roman" w:hAnsi="Arial" w:cs="Arial"/>
                <w:b/>
                <w:bCs/>
                <w:color w:val="FFFFFF"/>
                <w:sz w:val="20"/>
                <w:szCs w:val="20"/>
              </w:rPr>
            </w:pPr>
            <w:r w:rsidRPr="001D638A">
              <w:rPr>
                <w:rFonts w:ascii="Arial" w:eastAsia="Times New Roman" w:hAnsi="Arial" w:cs="Arial"/>
                <w:b/>
                <w:bCs/>
                <w:color w:val="FFFFFF"/>
                <w:sz w:val="20"/>
                <w:szCs w:val="20"/>
              </w:rPr>
              <w:t>Comment</w:t>
            </w:r>
          </w:p>
        </w:tc>
      </w:tr>
      <w:tr w:rsidR="00084E1D" w:rsidRPr="001D638A" w14:paraId="11B3C0FF" w14:textId="77777777" w:rsidTr="00084E1D">
        <w:trPr>
          <w:trHeight w:val="690"/>
        </w:trPr>
        <w:tc>
          <w:tcPr>
            <w:tcW w:w="1284" w:type="pct"/>
            <w:tcBorders>
              <w:top w:val="nil"/>
              <w:left w:val="single" w:sz="4" w:space="0" w:color="auto"/>
              <w:bottom w:val="single" w:sz="4" w:space="0" w:color="auto"/>
              <w:right w:val="single" w:sz="4" w:space="0" w:color="auto"/>
            </w:tcBorders>
            <w:shd w:val="clear" w:color="auto" w:fill="auto"/>
            <w:noWrap/>
            <w:vAlign w:val="center"/>
            <w:hideMark/>
          </w:tcPr>
          <w:p w14:paraId="39366160"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harq-ProcessNumberSizeDCI-1-2-r17</w:t>
            </w:r>
          </w:p>
        </w:tc>
        <w:tc>
          <w:tcPr>
            <w:tcW w:w="571" w:type="pct"/>
            <w:tcBorders>
              <w:top w:val="nil"/>
              <w:left w:val="nil"/>
              <w:bottom w:val="single" w:sz="4" w:space="0" w:color="auto"/>
              <w:right w:val="single" w:sz="4" w:space="0" w:color="auto"/>
            </w:tcBorders>
            <w:shd w:val="clear" w:color="auto" w:fill="auto"/>
            <w:vAlign w:val="center"/>
            <w:hideMark/>
          </w:tcPr>
          <w:p w14:paraId="764268DA"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Configure the number of bits for the field "HARQ process number" in DCI format 1_2 (see TS 38.212 , clause 7.3.1).</w:t>
            </w:r>
          </w:p>
        </w:tc>
        <w:tc>
          <w:tcPr>
            <w:tcW w:w="762" w:type="pct"/>
            <w:tcBorders>
              <w:top w:val="nil"/>
              <w:left w:val="nil"/>
              <w:bottom w:val="single" w:sz="4" w:space="0" w:color="auto"/>
              <w:right w:val="single" w:sz="4" w:space="0" w:color="auto"/>
            </w:tcBorders>
            <w:shd w:val="clear" w:color="auto" w:fill="auto"/>
            <w:vAlign w:val="center"/>
            <w:hideMark/>
          </w:tcPr>
          <w:p w14:paraId="6CBD7040"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 xml:space="preserve"> </w:t>
            </w:r>
            <w:r w:rsidRPr="001D638A">
              <w:rPr>
                <w:rFonts w:ascii="Arial" w:eastAsia="Times New Roman" w:hAnsi="Arial" w:cs="Arial"/>
                <w:color w:val="000000"/>
                <w:sz w:val="18"/>
                <w:szCs w:val="18"/>
              </w:rPr>
              <w:br/>
              <w:t xml:space="preserve">0..5      </w:t>
            </w:r>
          </w:p>
        </w:tc>
        <w:tc>
          <w:tcPr>
            <w:tcW w:w="222" w:type="pct"/>
            <w:tcBorders>
              <w:top w:val="nil"/>
              <w:left w:val="nil"/>
              <w:bottom w:val="single" w:sz="4" w:space="0" w:color="auto"/>
              <w:right w:val="single" w:sz="4" w:space="0" w:color="auto"/>
            </w:tcBorders>
            <w:shd w:val="clear" w:color="auto" w:fill="auto"/>
            <w:noWrap/>
            <w:vAlign w:val="center"/>
            <w:hideMark/>
          </w:tcPr>
          <w:p w14:paraId="3A88273C"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1455F680"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BWP</w:t>
            </w:r>
          </w:p>
        </w:tc>
        <w:tc>
          <w:tcPr>
            <w:tcW w:w="333" w:type="pct"/>
            <w:tcBorders>
              <w:top w:val="nil"/>
              <w:left w:val="nil"/>
              <w:bottom w:val="single" w:sz="4" w:space="0" w:color="auto"/>
              <w:right w:val="single" w:sz="4" w:space="0" w:color="auto"/>
            </w:tcBorders>
            <w:shd w:val="clear" w:color="auto" w:fill="auto"/>
            <w:noWrap/>
            <w:vAlign w:val="center"/>
            <w:hideMark/>
          </w:tcPr>
          <w:p w14:paraId="40DE4DD6"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UE-specific</w:t>
            </w:r>
          </w:p>
        </w:tc>
        <w:tc>
          <w:tcPr>
            <w:tcW w:w="363" w:type="pct"/>
            <w:tcBorders>
              <w:top w:val="nil"/>
              <w:left w:val="nil"/>
              <w:bottom w:val="single" w:sz="4" w:space="0" w:color="auto"/>
              <w:right w:val="single" w:sz="4" w:space="0" w:color="auto"/>
            </w:tcBorders>
            <w:shd w:val="clear" w:color="auto" w:fill="auto"/>
            <w:noWrap/>
            <w:vAlign w:val="center"/>
            <w:hideMark/>
          </w:tcPr>
          <w:p w14:paraId="2B5CF392"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38.331</w:t>
            </w:r>
          </w:p>
        </w:tc>
        <w:tc>
          <w:tcPr>
            <w:tcW w:w="1227" w:type="pct"/>
            <w:tcBorders>
              <w:top w:val="nil"/>
              <w:left w:val="nil"/>
              <w:bottom w:val="single" w:sz="4" w:space="0" w:color="auto"/>
              <w:right w:val="single" w:sz="4" w:space="0" w:color="auto"/>
            </w:tcBorders>
            <w:shd w:val="clear" w:color="auto" w:fill="auto"/>
            <w:noWrap/>
            <w:vAlign w:val="center"/>
            <w:hideMark/>
          </w:tcPr>
          <w:p w14:paraId="27F8DFF0"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 </w:t>
            </w:r>
          </w:p>
        </w:tc>
      </w:tr>
      <w:tr w:rsidR="00084E1D" w:rsidRPr="001D638A" w14:paraId="3BE9FAB6" w14:textId="77777777" w:rsidTr="00084E1D">
        <w:trPr>
          <w:trHeight w:val="690"/>
        </w:trPr>
        <w:tc>
          <w:tcPr>
            <w:tcW w:w="1284" w:type="pct"/>
            <w:tcBorders>
              <w:top w:val="nil"/>
              <w:left w:val="single" w:sz="4" w:space="0" w:color="auto"/>
              <w:bottom w:val="single" w:sz="4" w:space="0" w:color="auto"/>
              <w:right w:val="single" w:sz="4" w:space="0" w:color="auto"/>
            </w:tcBorders>
            <w:shd w:val="clear" w:color="auto" w:fill="auto"/>
            <w:noWrap/>
            <w:vAlign w:val="center"/>
            <w:hideMark/>
          </w:tcPr>
          <w:p w14:paraId="37FFC310"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lastRenderedPageBreak/>
              <w:t>HARQ-ProcessNumberSizeDCI-0-2-r17</w:t>
            </w:r>
          </w:p>
        </w:tc>
        <w:tc>
          <w:tcPr>
            <w:tcW w:w="571" w:type="pct"/>
            <w:tcBorders>
              <w:top w:val="nil"/>
              <w:left w:val="nil"/>
              <w:bottom w:val="single" w:sz="4" w:space="0" w:color="auto"/>
              <w:right w:val="single" w:sz="4" w:space="0" w:color="auto"/>
            </w:tcBorders>
            <w:shd w:val="clear" w:color="auto" w:fill="auto"/>
            <w:vAlign w:val="center"/>
            <w:hideMark/>
          </w:tcPr>
          <w:p w14:paraId="69EB2124"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Configure the number of bits for the field "HARQ process number" in DCI format 0_2 (see TS 38.212 , clause 7.3.1).</w:t>
            </w:r>
          </w:p>
        </w:tc>
        <w:tc>
          <w:tcPr>
            <w:tcW w:w="762" w:type="pct"/>
            <w:tcBorders>
              <w:top w:val="nil"/>
              <w:left w:val="nil"/>
              <w:bottom w:val="single" w:sz="4" w:space="0" w:color="auto"/>
              <w:right w:val="single" w:sz="4" w:space="0" w:color="auto"/>
            </w:tcBorders>
            <w:shd w:val="clear" w:color="auto" w:fill="auto"/>
            <w:vAlign w:val="center"/>
            <w:hideMark/>
          </w:tcPr>
          <w:p w14:paraId="7C63443B"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 xml:space="preserve"> </w:t>
            </w:r>
            <w:r w:rsidRPr="001D638A">
              <w:rPr>
                <w:rFonts w:ascii="Arial" w:eastAsia="Times New Roman" w:hAnsi="Arial" w:cs="Arial"/>
                <w:color w:val="000000"/>
                <w:sz w:val="18"/>
                <w:szCs w:val="18"/>
              </w:rPr>
              <w:br/>
              <w:t xml:space="preserve">0..5      </w:t>
            </w:r>
          </w:p>
        </w:tc>
        <w:tc>
          <w:tcPr>
            <w:tcW w:w="222" w:type="pct"/>
            <w:tcBorders>
              <w:top w:val="nil"/>
              <w:left w:val="nil"/>
              <w:bottom w:val="single" w:sz="4" w:space="0" w:color="auto"/>
              <w:right w:val="single" w:sz="4" w:space="0" w:color="auto"/>
            </w:tcBorders>
            <w:shd w:val="clear" w:color="auto" w:fill="auto"/>
            <w:noWrap/>
            <w:vAlign w:val="center"/>
            <w:hideMark/>
          </w:tcPr>
          <w:p w14:paraId="073D89B1"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5ED80153"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BWP</w:t>
            </w:r>
          </w:p>
        </w:tc>
        <w:tc>
          <w:tcPr>
            <w:tcW w:w="333" w:type="pct"/>
            <w:tcBorders>
              <w:top w:val="nil"/>
              <w:left w:val="nil"/>
              <w:bottom w:val="single" w:sz="4" w:space="0" w:color="auto"/>
              <w:right w:val="single" w:sz="4" w:space="0" w:color="auto"/>
            </w:tcBorders>
            <w:shd w:val="clear" w:color="auto" w:fill="auto"/>
            <w:noWrap/>
            <w:vAlign w:val="center"/>
            <w:hideMark/>
          </w:tcPr>
          <w:p w14:paraId="1FB7A592"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UE-specific</w:t>
            </w:r>
          </w:p>
        </w:tc>
        <w:tc>
          <w:tcPr>
            <w:tcW w:w="363" w:type="pct"/>
            <w:tcBorders>
              <w:top w:val="nil"/>
              <w:left w:val="nil"/>
              <w:bottom w:val="single" w:sz="4" w:space="0" w:color="auto"/>
              <w:right w:val="single" w:sz="4" w:space="0" w:color="auto"/>
            </w:tcBorders>
            <w:shd w:val="clear" w:color="auto" w:fill="auto"/>
            <w:noWrap/>
            <w:vAlign w:val="center"/>
            <w:hideMark/>
          </w:tcPr>
          <w:p w14:paraId="63579267"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38.331</w:t>
            </w:r>
          </w:p>
        </w:tc>
        <w:tc>
          <w:tcPr>
            <w:tcW w:w="1227" w:type="pct"/>
            <w:tcBorders>
              <w:top w:val="nil"/>
              <w:left w:val="nil"/>
              <w:bottom w:val="single" w:sz="4" w:space="0" w:color="auto"/>
              <w:right w:val="single" w:sz="4" w:space="0" w:color="auto"/>
            </w:tcBorders>
            <w:shd w:val="clear" w:color="auto" w:fill="auto"/>
            <w:vAlign w:val="center"/>
            <w:hideMark/>
          </w:tcPr>
          <w:p w14:paraId="31985462"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 xml:space="preserve"> R17: For enhancement on the HARQ process indication, extend the HARQ process ID field up to 5 bits for DCI 0-2                        </w:t>
            </w:r>
          </w:p>
        </w:tc>
      </w:tr>
      <w:tr w:rsidR="00084E1D" w:rsidRPr="001D638A" w14:paraId="34574E01" w14:textId="77777777" w:rsidTr="00084E1D">
        <w:trPr>
          <w:trHeight w:val="690"/>
        </w:trPr>
        <w:tc>
          <w:tcPr>
            <w:tcW w:w="1284" w:type="pct"/>
            <w:tcBorders>
              <w:top w:val="nil"/>
              <w:left w:val="single" w:sz="4" w:space="0" w:color="auto"/>
              <w:bottom w:val="single" w:sz="4" w:space="0" w:color="auto"/>
              <w:right w:val="single" w:sz="4" w:space="0" w:color="auto"/>
            </w:tcBorders>
            <w:shd w:val="clear" w:color="auto" w:fill="auto"/>
            <w:noWrap/>
            <w:vAlign w:val="center"/>
            <w:hideMark/>
          </w:tcPr>
          <w:p w14:paraId="1A43DA0F"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HARQ-ProcessNumberSizeDCI-1-1-r17</w:t>
            </w:r>
          </w:p>
        </w:tc>
        <w:tc>
          <w:tcPr>
            <w:tcW w:w="571" w:type="pct"/>
            <w:tcBorders>
              <w:top w:val="nil"/>
              <w:left w:val="nil"/>
              <w:bottom w:val="single" w:sz="4" w:space="0" w:color="auto"/>
              <w:right w:val="single" w:sz="4" w:space="0" w:color="auto"/>
            </w:tcBorders>
            <w:shd w:val="clear" w:color="auto" w:fill="auto"/>
            <w:vAlign w:val="center"/>
            <w:hideMark/>
          </w:tcPr>
          <w:p w14:paraId="38111EEE"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Configure the number of bits for the field "HARQ process number" in DCI format 1_1</w:t>
            </w:r>
          </w:p>
        </w:tc>
        <w:tc>
          <w:tcPr>
            <w:tcW w:w="762" w:type="pct"/>
            <w:tcBorders>
              <w:top w:val="nil"/>
              <w:left w:val="nil"/>
              <w:bottom w:val="single" w:sz="4" w:space="0" w:color="auto"/>
              <w:right w:val="single" w:sz="4" w:space="0" w:color="auto"/>
            </w:tcBorders>
            <w:shd w:val="clear" w:color="auto" w:fill="auto"/>
            <w:vAlign w:val="center"/>
            <w:hideMark/>
          </w:tcPr>
          <w:p w14:paraId="03DC741F"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 xml:space="preserve"> </w:t>
            </w:r>
            <w:r w:rsidRPr="001D638A">
              <w:rPr>
                <w:rFonts w:ascii="Arial" w:eastAsia="Times New Roman" w:hAnsi="Arial" w:cs="Arial"/>
                <w:color w:val="000000"/>
                <w:sz w:val="18"/>
                <w:szCs w:val="18"/>
              </w:rPr>
              <w:br/>
              <w:t>5</w:t>
            </w:r>
          </w:p>
        </w:tc>
        <w:tc>
          <w:tcPr>
            <w:tcW w:w="222" w:type="pct"/>
            <w:tcBorders>
              <w:top w:val="nil"/>
              <w:left w:val="nil"/>
              <w:bottom w:val="single" w:sz="4" w:space="0" w:color="auto"/>
              <w:right w:val="single" w:sz="4" w:space="0" w:color="auto"/>
            </w:tcBorders>
            <w:shd w:val="clear" w:color="auto" w:fill="auto"/>
            <w:noWrap/>
            <w:vAlign w:val="center"/>
            <w:hideMark/>
          </w:tcPr>
          <w:p w14:paraId="3B5F6CB4"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56DA0C02"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BWP</w:t>
            </w:r>
          </w:p>
        </w:tc>
        <w:tc>
          <w:tcPr>
            <w:tcW w:w="333" w:type="pct"/>
            <w:tcBorders>
              <w:top w:val="nil"/>
              <w:left w:val="nil"/>
              <w:bottom w:val="single" w:sz="4" w:space="0" w:color="auto"/>
              <w:right w:val="single" w:sz="4" w:space="0" w:color="auto"/>
            </w:tcBorders>
            <w:shd w:val="clear" w:color="auto" w:fill="auto"/>
            <w:noWrap/>
            <w:vAlign w:val="center"/>
            <w:hideMark/>
          </w:tcPr>
          <w:p w14:paraId="060B81AC"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UE-specific</w:t>
            </w:r>
          </w:p>
        </w:tc>
        <w:tc>
          <w:tcPr>
            <w:tcW w:w="363" w:type="pct"/>
            <w:tcBorders>
              <w:top w:val="nil"/>
              <w:left w:val="nil"/>
              <w:bottom w:val="single" w:sz="4" w:space="0" w:color="auto"/>
              <w:right w:val="single" w:sz="4" w:space="0" w:color="auto"/>
            </w:tcBorders>
            <w:shd w:val="clear" w:color="auto" w:fill="auto"/>
            <w:noWrap/>
            <w:vAlign w:val="center"/>
            <w:hideMark/>
          </w:tcPr>
          <w:p w14:paraId="027A47E7"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38.331</w:t>
            </w:r>
          </w:p>
        </w:tc>
        <w:tc>
          <w:tcPr>
            <w:tcW w:w="1227" w:type="pct"/>
            <w:tcBorders>
              <w:top w:val="nil"/>
              <w:left w:val="nil"/>
              <w:bottom w:val="single" w:sz="4" w:space="0" w:color="auto"/>
              <w:right w:val="single" w:sz="4" w:space="0" w:color="auto"/>
            </w:tcBorders>
            <w:shd w:val="clear" w:color="auto" w:fill="auto"/>
            <w:noWrap/>
            <w:vAlign w:val="center"/>
            <w:hideMark/>
          </w:tcPr>
          <w:p w14:paraId="28252709"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 </w:t>
            </w:r>
          </w:p>
        </w:tc>
      </w:tr>
      <w:tr w:rsidR="00084E1D" w:rsidRPr="001D638A" w14:paraId="194E794F" w14:textId="77777777" w:rsidTr="00084E1D">
        <w:trPr>
          <w:trHeight w:val="460"/>
        </w:trPr>
        <w:tc>
          <w:tcPr>
            <w:tcW w:w="1284" w:type="pct"/>
            <w:tcBorders>
              <w:top w:val="nil"/>
              <w:left w:val="single" w:sz="4" w:space="0" w:color="auto"/>
              <w:bottom w:val="single" w:sz="4" w:space="0" w:color="auto"/>
              <w:right w:val="single" w:sz="4" w:space="0" w:color="auto"/>
            </w:tcBorders>
            <w:shd w:val="clear" w:color="auto" w:fill="auto"/>
            <w:noWrap/>
            <w:vAlign w:val="center"/>
            <w:hideMark/>
          </w:tcPr>
          <w:p w14:paraId="14583CA8"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HARQ-ProcessNumberSizeDCI-0-1-r17</w:t>
            </w:r>
          </w:p>
        </w:tc>
        <w:tc>
          <w:tcPr>
            <w:tcW w:w="571" w:type="pct"/>
            <w:tcBorders>
              <w:top w:val="nil"/>
              <w:left w:val="nil"/>
              <w:bottom w:val="single" w:sz="4" w:space="0" w:color="auto"/>
              <w:right w:val="single" w:sz="4" w:space="0" w:color="auto"/>
            </w:tcBorders>
            <w:shd w:val="clear" w:color="auto" w:fill="auto"/>
            <w:vAlign w:val="center"/>
            <w:hideMark/>
          </w:tcPr>
          <w:p w14:paraId="181BA6AA"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Configure the number of bits for the field "HARQ process number" in DCI format 0_1</w:t>
            </w:r>
          </w:p>
        </w:tc>
        <w:tc>
          <w:tcPr>
            <w:tcW w:w="762" w:type="pct"/>
            <w:tcBorders>
              <w:top w:val="nil"/>
              <w:left w:val="nil"/>
              <w:bottom w:val="single" w:sz="4" w:space="0" w:color="auto"/>
              <w:right w:val="single" w:sz="4" w:space="0" w:color="auto"/>
            </w:tcBorders>
            <w:shd w:val="clear" w:color="auto" w:fill="auto"/>
            <w:vAlign w:val="center"/>
            <w:hideMark/>
          </w:tcPr>
          <w:p w14:paraId="77D592FC"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5</w:t>
            </w:r>
          </w:p>
        </w:tc>
        <w:tc>
          <w:tcPr>
            <w:tcW w:w="222" w:type="pct"/>
            <w:tcBorders>
              <w:top w:val="nil"/>
              <w:left w:val="nil"/>
              <w:bottom w:val="single" w:sz="4" w:space="0" w:color="auto"/>
              <w:right w:val="single" w:sz="4" w:space="0" w:color="auto"/>
            </w:tcBorders>
            <w:shd w:val="clear" w:color="auto" w:fill="auto"/>
            <w:noWrap/>
            <w:vAlign w:val="center"/>
            <w:hideMark/>
          </w:tcPr>
          <w:p w14:paraId="5774B579"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3362BA66"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BWP</w:t>
            </w:r>
          </w:p>
        </w:tc>
        <w:tc>
          <w:tcPr>
            <w:tcW w:w="333" w:type="pct"/>
            <w:tcBorders>
              <w:top w:val="nil"/>
              <w:left w:val="nil"/>
              <w:bottom w:val="single" w:sz="4" w:space="0" w:color="auto"/>
              <w:right w:val="single" w:sz="4" w:space="0" w:color="auto"/>
            </w:tcBorders>
            <w:shd w:val="clear" w:color="auto" w:fill="auto"/>
            <w:noWrap/>
            <w:vAlign w:val="center"/>
            <w:hideMark/>
          </w:tcPr>
          <w:p w14:paraId="6D95B3EB"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UE-specific</w:t>
            </w:r>
          </w:p>
        </w:tc>
        <w:tc>
          <w:tcPr>
            <w:tcW w:w="363" w:type="pct"/>
            <w:tcBorders>
              <w:top w:val="nil"/>
              <w:left w:val="nil"/>
              <w:bottom w:val="single" w:sz="4" w:space="0" w:color="auto"/>
              <w:right w:val="single" w:sz="4" w:space="0" w:color="auto"/>
            </w:tcBorders>
            <w:shd w:val="clear" w:color="auto" w:fill="auto"/>
            <w:noWrap/>
            <w:vAlign w:val="center"/>
            <w:hideMark/>
          </w:tcPr>
          <w:p w14:paraId="2324288C"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38.331</w:t>
            </w:r>
          </w:p>
        </w:tc>
        <w:tc>
          <w:tcPr>
            <w:tcW w:w="1227" w:type="pct"/>
            <w:tcBorders>
              <w:top w:val="nil"/>
              <w:left w:val="nil"/>
              <w:bottom w:val="single" w:sz="4" w:space="0" w:color="auto"/>
              <w:right w:val="single" w:sz="4" w:space="0" w:color="auto"/>
            </w:tcBorders>
            <w:shd w:val="clear" w:color="auto" w:fill="auto"/>
            <w:noWrap/>
            <w:vAlign w:val="center"/>
            <w:hideMark/>
          </w:tcPr>
          <w:p w14:paraId="3D34452C"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 </w:t>
            </w:r>
          </w:p>
        </w:tc>
      </w:tr>
      <w:tr w:rsidR="00084E1D" w:rsidRPr="001D638A" w14:paraId="0B91A4A4" w14:textId="77777777" w:rsidTr="00084E1D">
        <w:trPr>
          <w:trHeight w:val="920"/>
        </w:trPr>
        <w:tc>
          <w:tcPr>
            <w:tcW w:w="1284" w:type="pct"/>
            <w:tcBorders>
              <w:top w:val="nil"/>
              <w:left w:val="single" w:sz="4" w:space="0" w:color="auto"/>
              <w:bottom w:val="single" w:sz="4" w:space="0" w:color="auto"/>
              <w:right w:val="single" w:sz="4" w:space="0" w:color="auto"/>
            </w:tcBorders>
            <w:shd w:val="clear" w:color="auto" w:fill="auto"/>
            <w:noWrap/>
            <w:vAlign w:val="center"/>
            <w:hideMark/>
          </w:tcPr>
          <w:p w14:paraId="72909ABF"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nrofHARQ-ProcessesForPDSCH-r17</w:t>
            </w:r>
          </w:p>
        </w:tc>
        <w:tc>
          <w:tcPr>
            <w:tcW w:w="571" w:type="pct"/>
            <w:tcBorders>
              <w:top w:val="nil"/>
              <w:left w:val="nil"/>
              <w:bottom w:val="single" w:sz="4" w:space="0" w:color="auto"/>
              <w:right w:val="single" w:sz="4" w:space="0" w:color="auto"/>
            </w:tcBorders>
            <w:shd w:val="clear" w:color="auto" w:fill="auto"/>
            <w:vAlign w:val="center"/>
            <w:hideMark/>
          </w:tcPr>
          <w:p w14:paraId="308D836E"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The number of HARQ processes to be used on the PDSCH of a serving cell. Value n2 corresponds to 2 HARQ processes, value n4 to 4 HARQ processes, and so on. If the field is absent, the UE uses 8 HARQ processes (see TS 38.214 , clause 5.1).</w:t>
            </w:r>
          </w:p>
        </w:tc>
        <w:tc>
          <w:tcPr>
            <w:tcW w:w="762" w:type="pct"/>
            <w:tcBorders>
              <w:top w:val="nil"/>
              <w:left w:val="nil"/>
              <w:bottom w:val="single" w:sz="4" w:space="0" w:color="auto"/>
              <w:right w:val="single" w:sz="4" w:space="0" w:color="auto"/>
            </w:tcBorders>
            <w:shd w:val="clear" w:color="auto" w:fill="auto"/>
            <w:noWrap/>
            <w:vAlign w:val="bottom"/>
            <w:hideMark/>
          </w:tcPr>
          <w:p w14:paraId="3FF7D81F"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 xml:space="preserve">{n2, n4, n6, n10, n12, n16, n32} </w:t>
            </w:r>
          </w:p>
        </w:tc>
        <w:tc>
          <w:tcPr>
            <w:tcW w:w="222" w:type="pct"/>
            <w:tcBorders>
              <w:top w:val="nil"/>
              <w:left w:val="nil"/>
              <w:bottom w:val="single" w:sz="4" w:space="0" w:color="auto"/>
              <w:right w:val="single" w:sz="4" w:space="0" w:color="auto"/>
            </w:tcBorders>
            <w:shd w:val="clear" w:color="auto" w:fill="auto"/>
            <w:noWrap/>
            <w:vAlign w:val="center"/>
            <w:hideMark/>
          </w:tcPr>
          <w:p w14:paraId="222AE9D7"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6359A902"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BWP</w:t>
            </w:r>
          </w:p>
        </w:tc>
        <w:tc>
          <w:tcPr>
            <w:tcW w:w="333" w:type="pct"/>
            <w:tcBorders>
              <w:top w:val="nil"/>
              <w:left w:val="nil"/>
              <w:bottom w:val="single" w:sz="4" w:space="0" w:color="auto"/>
              <w:right w:val="single" w:sz="4" w:space="0" w:color="auto"/>
            </w:tcBorders>
            <w:shd w:val="clear" w:color="auto" w:fill="auto"/>
            <w:noWrap/>
            <w:vAlign w:val="center"/>
            <w:hideMark/>
          </w:tcPr>
          <w:p w14:paraId="01B58BA5"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UE-specific</w:t>
            </w:r>
          </w:p>
        </w:tc>
        <w:tc>
          <w:tcPr>
            <w:tcW w:w="363" w:type="pct"/>
            <w:tcBorders>
              <w:top w:val="nil"/>
              <w:left w:val="nil"/>
              <w:bottom w:val="single" w:sz="4" w:space="0" w:color="auto"/>
              <w:right w:val="single" w:sz="4" w:space="0" w:color="auto"/>
            </w:tcBorders>
            <w:shd w:val="clear" w:color="auto" w:fill="auto"/>
            <w:noWrap/>
            <w:vAlign w:val="center"/>
            <w:hideMark/>
          </w:tcPr>
          <w:p w14:paraId="2CBAEB38"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38.331</w:t>
            </w:r>
          </w:p>
        </w:tc>
        <w:tc>
          <w:tcPr>
            <w:tcW w:w="1227" w:type="pct"/>
            <w:tcBorders>
              <w:top w:val="nil"/>
              <w:left w:val="nil"/>
              <w:bottom w:val="single" w:sz="4" w:space="0" w:color="auto"/>
              <w:right w:val="single" w:sz="4" w:space="0" w:color="auto"/>
            </w:tcBorders>
            <w:shd w:val="clear" w:color="auto" w:fill="auto"/>
            <w:noWrap/>
            <w:vAlign w:val="center"/>
            <w:hideMark/>
          </w:tcPr>
          <w:p w14:paraId="19DE989E"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The maximal supported HARQ process number is up to 32.</w:t>
            </w:r>
          </w:p>
        </w:tc>
      </w:tr>
      <w:tr w:rsidR="00084E1D" w:rsidRPr="001D638A" w14:paraId="1CF723E8" w14:textId="77777777" w:rsidTr="00084E1D">
        <w:trPr>
          <w:trHeight w:val="920"/>
        </w:trPr>
        <w:tc>
          <w:tcPr>
            <w:tcW w:w="1284" w:type="pct"/>
            <w:tcBorders>
              <w:top w:val="nil"/>
              <w:left w:val="single" w:sz="4" w:space="0" w:color="auto"/>
              <w:bottom w:val="single" w:sz="4" w:space="0" w:color="auto"/>
              <w:right w:val="single" w:sz="4" w:space="0" w:color="auto"/>
            </w:tcBorders>
            <w:shd w:val="clear" w:color="auto" w:fill="auto"/>
            <w:noWrap/>
            <w:vAlign w:val="center"/>
            <w:hideMark/>
          </w:tcPr>
          <w:p w14:paraId="6D65E6BD"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nrofHARQ-ProcessesForPUSCH-r17</w:t>
            </w:r>
          </w:p>
        </w:tc>
        <w:tc>
          <w:tcPr>
            <w:tcW w:w="571" w:type="pct"/>
            <w:tcBorders>
              <w:top w:val="nil"/>
              <w:left w:val="nil"/>
              <w:bottom w:val="single" w:sz="4" w:space="0" w:color="auto"/>
              <w:right w:val="single" w:sz="4" w:space="0" w:color="auto"/>
            </w:tcBorders>
            <w:shd w:val="clear" w:color="auto" w:fill="auto"/>
            <w:vAlign w:val="center"/>
            <w:hideMark/>
          </w:tcPr>
          <w:p w14:paraId="7951E594"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The number of HARQ processes to be used on the PUSCH of a serving cell. Value n16 corresponds to 16 HARQ processes, value n32 to 32 HARQ processes. If the field is absent, the UE uses 16 UL HARQ processes (see TS 38.214 , clause X.Y).</w:t>
            </w:r>
          </w:p>
        </w:tc>
        <w:tc>
          <w:tcPr>
            <w:tcW w:w="762" w:type="pct"/>
            <w:tcBorders>
              <w:top w:val="nil"/>
              <w:left w:val="nil"/>
              <w:bottom w:val="single" w:sz="4" w:space="0" w:color="auto"/>
              <w:right w:val="single" w:sz="4" w:space="0" w:color="auto"/>
            </w:tcBorders>
            <w:shd w:val="clear" w:color="auto" w:fill="auto"/>
            <w:noWrap/>
            <w:vAlign w:val="bottom"/>
            <w:hideMark/>
          </w:tcPr>
          <w:p w14:paraId="55E167F5"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 xml:space="preserve">{ n16, n32} </w:t>
            </w:r>
          </w:p>
        </w:tc>
        <w:tc>
          <w:tcPr>
            <w:tcW w:w="222" w:type="pct"/>
            <w:tcBorders>
              <w:top w:val="nil"/>
              <w:left w:val="nil"/>
              <w:bottom w:val="single" w:sz="4" w:space="0" w:color="auto"/>
              <w:right w:val="single" w:sz="4" w:space="0" w:color="auto"/>
            </w:tcBorders>
            <w:shd w:val="clear" w:color="auto" w:fill="auto"/>
            <w:noWrap/>
            <w:vAlign w:val="center"/>
            <w:hideMark/>
          </w:tcPr>
          <w:p w14:paraId="435E1252"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0AF1B859"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BWP</w:t>
            </w:r>
          </w:p>
        </w:tc>
        <w:tc>
          <w:tcPr>
            <w:tcW w:w="333" w:type="pct"/>
            <w:tcBorders>
              <w:top w:val="nil"/>
              <w:left w:val="nil"/>
              <w:bottom w:val="single" w:sz="4" w:space="0" w:color="auto"/>
              <w:right w:val="single" w:sz="4" w:space="0" w:color="auto"/>
            </w:tcBorders>
            <w:shd w:val="clear" w:color="auto" w:fill="auto"/>
            <w:noWrap/>
            <w:vAlign w:val="center"/>
            <w:hideMark/>
          </w:tcPr>
          <w:p w14:paraId="7639D8AA"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UE-specific</w:t>
            </w:r>
          </w:p>
        </w:tc>
        <w:tc>
          <w:tcPr>
            <w:tcW w:w="363" w:type="pct"/>
            <w:tcBorders>
              <w:top w:val="nil"/>
              <w:left w:val="nil"/>
              <w:bottom w:val="single" w:sz="4" w:space="0" w:color="auto"/>
              <w:right w:val="single" w:sz="4" w:space="0" w:color="auto"/>
            </w:tcBorders>
            <w:shd w:val="clear" w:color="auto" w:fill="auto"/>
            <w:noWrap/>
            <w:vAlign w:val="center"/>
            <w:hideMark/>
          </w:tcPr>
          <w:p w14:paraId="2439E3A7"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38.331</w:t>
            </w:r>
          </w:p>
        </w:tc>
        <w:tc>
          <w:tcPr>
            <w:tcW w:w="1227" w:type="pct"/>
            <w:tcBorders>
              <w:top w:val="nil"/>
              <w:left w:val="nil"/>
              <w:bottom w:val="single" w:sz="4" w:space="0" w:color="auto"/>
              <w:right w:val="single" w:sz="4" w:space="0" w:color="auto"/>
            </w:tcBorders>
            <w:shd w:val="clear" w:color="auto" w:fill="auto"/>
            <w:noWrap/>
            <w:vAlign w:val="center"/>
            <w:hideMark/>
          </w:tcPr>
          <w:p w14:paraId="5BDF34BD"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The maximal supported HARQ process number is up to 32.</w:t>
            </w:r>
          </w:p>
        </w:tc>
      </w:tr>
      <w:tr w:rsidR="00084E1D" w:rsidRPr="001D638A" w14:paraId="616D424E" w14:textId="77777777" w:rsidTr="00084E1D">
        <w:trPr>
          <w:trHeight w:val="600"/>
        </w:trPr>
        <w:tc>
          <w:tcPr>
            <w:tcW w:w="1284" w:type="pct"/>
            <w:tcBorders>
              <w:top w:val="nil"/>
              <w:left w:val="single" w:sz="4" w:space="0" w:color="auto"/>
              <w:bottom w:val="single" w:sz="4" w:space="0" w:color="auto"/>
              <w:right w:val="single" w:sz="4" w:space="0" w:color="auto"/>
            </w:tcBorders>
            <w:shd w:val="clear" w:color="auto" w:fill="auto"/>
            <w:noWrap/>
            <w:vAlign w:val="center"/>
            <w:hideMark/>
          </w:tcPr>
          <w:p w14:paraId="50294EAD"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lastRenderedPageBreak/>
              <w:t>nrofHARQ-Processes-r17</w:t>
            </w:r>
          </w:p>
        </w:tc>
        <w:tc>
          <w:tcPr>
            <w:tcW w:w="571" w:type="pct"/>
            <w:tcBorders>
              <w:top w:val="nil"/>
              <w:left w:val="nil"/>
              <w:bottom w:val="single" w:sz="4" w:space="0" w:color="auto"/>
              <w:right w:val="single" w:sz="4" w:space="0" w:color="auto"/>
            </w:tcBorders>
            <w:shd w:val="clear" w:color="auto" w:fill="auto"/>
            <w:vAlign w:val="center"/>
            <w:hideMark/>
          </w:tcPr>
          <w:p w14:paraId="5BBC230E"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The number of HARQ processes configured for UL configured grant. It applies for both Type 1 and Type 2. See TS 38.321 , clause 5.4.1</w:t>
            </w:r>
          </w:p>
        </w:tc>
        <w:tc>
          <w:tcPr>
            <w:tcW w:w="762" w:type="pct"/>
            <w:tcBorders>
              <w:top w:val="nil"/>
              <w:left w:val="nil"/>
              <w:bottom w:val="single" w:sz="4" w:space="0" w:color="auto"/>
              <w:right w:val="single" w:sz="4" w:space="0" w:color="auto"/>
            </w:tcBorders>
            <w:shd w:val="clear" w:color="auto" w:fill="auto"/>
            <w:noWrap/>
            <w:vAlign w:val="center"/>
            <w:hideMark/>
          </w:tcPr>
          <w:p w14:paraId="5B99B29E"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1..32</w:t>
            </w:r>
          </w:p>
        </w:tc>
        <w:tc>
          <w:tcPr>
            <w:tcW w:w="222" w:type="pct"/>
            <w:tcBorders>
              <w:top w:val="nil"/>
              <w:left w:val="nil"/>
              <w:bottom w:val="single" w:sz="4" w:space="0" w:color="auto"/>
              <w:right w:val="single" w:sz="4" w:space="0" w:color="auto"/>
            </w:tcBorders>
            <w:shd w:val="clear" w:color="auto" w:fill="auto"/>
            <w:noWrap/>
            <w:vAlign w:val="center"/>
            <w:hideMark/>
          </w:tcPr>
          <w:p w14:paraId="32662BC5"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14A9EC47"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BWP</w:t>
            </w:r>
          </w:p>
        </w:tc>
        <w:tc>
          <w:tcPr>
            <w:tcW w:w="333" w:type="pct"/>
            <w:tcBorders>
              <w:top w:val="nil"/>
              <w:left w:val="nil"/>
              <w:bottom w:val="single" w:sz="4" w:space="0" w:color="auto"/>
              <w:right w:val="single" w:sz="4" w:space="0" w:color="auto"/>
            </w:tcBorders>
            <w:shd w:val="clear" w:color="auto" w:fill="auto"/>
            <w:noWrap/>
            <w:vAlign w:val="center"/>
            <w:hideMark/>
          </w:tcPr>
          <w:p w14:paraId="55DA0CC0"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UE-specific</w:t>
            </w:r>
          </w:p>
        </w:tc>
        <w:tc>
          <w:tcPr>
            <w:tcW w:w="363" w:type="pct"/>
            <w:tcBorders>
              <w:top w:val="nil"/>
              <w:left w:val="nil"/>
              <w:bottom w:val="single" w:sz="4" w:space="0" w:color="auto"/>
              <w:right w:val="single" w:sz="4" w:space="0" w:color="auto"/>
            </w:tcBorders>
            <w:shd w:val="clear" w:color="auto" w:fill="auto"/>
            <w:noWrap/>
            <w:vAlign w:val="center"/>
            <w:hideMark/>
          </w:tcPr>
          <w:p w14:paraId="2927FAFE"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38.331</w:t>
            </w:r>
          </w:p>
        </w:tc>
        <w:tc>
          <w:tcPr>
            <w:tcW w:w="1227" w:type="pct"/>
            <w:tcBorders>
              <w:top w:val="nil"/>
              <w:left w:val="nil"/>
              <w:bottom w:val="single" w:sz="4" w:space="0" w:color="auto"/>
              <w:right w:val="single" w:sz="4" w:space="0" w:color="auto"/>
            </w:tcBorders>
            <w:shd w:val="clear" w:color="auto" w:fill="auto"/>
            <w:noWrap/>
            <w:vAlign w:val="center"/>
            <w:hideMark/>
          </w:tcPr>
          <w:p w14:paraId="7DD4A28F"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 </w:t>
            </w:r>
          </w:p>
        </w:tc>
      </w:tr>
      <w:tr w:rsidR="00084E1D" w:rsidRPr="001D638A" w14:paraId="2AC407E4" w14:textId="77777777" w:rsidTr="00084E1D">
        <w:trPr>
          <w:trHeight w:val="460"/>
        </w:trPr>
        <w:tc>
          <w:tcPr>
            <w:tcW w:w="1284" w:type="pct"/>
            <w:tcBorders>
              <w:top w:val="nil"/>
              <w:left w:val="single" w:sz="4" w:space="0" w:color="auto"/>
              <w:bottom w:val="single" w:sz="4" w:space="0" w:color="auto"/>
              <w:right w:val="single" w:sz="4" w:space="0" w:color="auto"/>
            </w:tcBorders>
            <w:shd w:val="clear" w:color="auto" w:fill="auto"/>
            <w:noWrap/>
            <w:vAlign w:val="center"/>
            <w:hideMark/>
          </w:tcPr>
          <w:p w14:paraId="37959C01"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nrofHARQ-Processes-r17</w:t>
            </w:r>
          </w:p>
        </w:tc>
        <w:tc>
          <w:tcPr>
            <w:tcW w:w="571" w:type="pct"/>
            <w:tcBorders>
              <w:top w:val="nil"/>
              <w:left w:val="nil"/>
              <w:bottom w:val="single" w:sz="4" w:space="0" w:color="auto"/>
              <w:right w:val="single" w:sz="4" w:space="0" w:color="auto"/>
            </w:tcBorders>
            <w:shd w:val="clear" w:color="auto" w:fill="auto"/>
            <w:vAlign w:val="center"/>
            <w:hideMark/>
          </w:tcPr>
          <w:p w14:paraId="018E9AE6"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Number of configured HARQ processes for SPS DL. see TS 38.321, clause 5.8.1</w:t>
            </w:r>
          </w:p>
        </w:tc>
        <w:tc>
          <w:tcPr>
            <w:tcW w:w="762" w:type="pct"/>
            <w:tcBorders>
              <w:top w:val="nil"/>
              <w:left w:val="nil"/>
              <w:bottom w:val="single" w:sz="4" w:space="0" w:color="auto"/>
              <w:right w:val="single" w:sz="4" w:space="0" w:color="auto"/>
            </w:tcBorders>
            <w:shd w:val="clear" w:color="auto" w:fill="auto"/>
            <w:noWrap/>
            <w:vAlign w:val="center"/>
            <w:hideMark/>
          </w:tcPr>
          <w:p w14:paraId="56D91670"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1..32</w:t>
            </w:r>
          </w:p>
        </w:tc>
        <w:tc>
          <w:tcPr>
            <w:tcW w:w="222" w:type="pct"/>
            <w:tcBorders>
              <w:top w:val="nil"/>
              <w:left w:val="nil"/>
              <w:bottom w:val="single" w:sz="4" w:space="0" w:color="auto"/>
              <w:right w:val="single" w:sz="4" w:space="0" w:color="auto"/>
            </w:tcBorders>
            <w:shd w:val="clear" w:color="auto" w:fill="auto"/>
            <w:noWrap/>
            <w:vAlign w:val="center"/>
            <w:hideMark/>
          </w:tcPr>
          <w:p w14:paraId="613E98F5"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397EE53E"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BWP</w:t>
            </w:r>
          </w:p>
        </w:tc>
        <w:tc>
          <w:tcPr>
            <w:tcW w:w="333" w:type="pct"/>
            <w:tcBorders>
              <w:top w:val="nil"/>
              <w:left w:val="nil"/>
              <w:bottom w:val="single" w:sz="4" w:space="0" w:color="auto"/>
              <w:right w:val="single" w:sz="4" w:space="0" w:color="auto"/>
            </w:tcBorders>
            <w:shd w:val="clear" w:color="auto" w:fill="auto"/>
            <w:noWrap/>
            <w:vAlign w:val="center"/>
            <w:hideMark/>
          </w:tcPr>
          <w:p w14:paraId="542D4720"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UE-specific</w:t>
            </w:r>
          </w:p>
        </w:tc>
        <w:tc>
          <w:tcPr>
            <w:tcW w:w="363" w:type="pct"/>
            <w:tcBorders>
              <w:top w:val="nil"/>
              <w:left w:val="nil"/>
              <w:bottom w:val="single" w:sz="4" w:space="0" w:color="auto"/>
              <w:right w:val="single" w:sz="4" w:space="0" w:color="auto"/>
            </w:tcBorders>
            <w:shd w:val="clear" w:color="auto" w:fill="auto"/>
            <w:noWrap/>
            <w:vAlign w:val="center"/>
            <w:hideMark/>
          </w:tcPr>
          <w:p w14:paraId="680E7B07"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38.331</w:t>
            </w:r>
          </w:p>
        </w:tc>
        <w:tc>
          <w:tcPr>
            <w:tcW w:w="1227" w:type="pct"/>
            <w:tcBorders>
              <w:top w:val="nil"/>
              <w:left w:val="nil"/>
              <w:bottom w:val="single" w:sz="4" w:space="0" w:color="auto"/>
              <w:right w:val="single" w:sz="4" w:space="0" w:color="auto"/>
            </w:tcBorders>
            <w:shd w:val="clear" w:color="auto" w:fill="auto"/>
            <w:noWrap/>
            <w:vAlign w:val="center"/>
            <w:hideMark/>
          </w:tcPr>
          <w:p w14:paraId="0E92A4AC"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 </w:t>
            </w:r>
          </w:p>
        </w:tc>
      </w:tr>
      <w:tr w:rsidR="00084E1D" w:rsidRPr="001D638A" w14:paraId="2E563016" w14:textId="77777777" w:rsidTr="00084E1D">
        <w:trPr>
          <w:trHeight w:val="1380"/>
        </w:trPr>
        <w:tc>
          <w:tcPr>
            <w:tcW w:w="1284" w:type="pct"/>
            <w:tcBorders>
              <w:top w:val="nil"/>
              <w:left w:val="single" w:sz="4" w:space="0" w:color="auto"/>
              <w:bottom w:val="single" w:sz="4" w:space="0" w:color="auto"/>
              <w:right w:val="single" w:sz="4" w:space="0" w:color="auto"/>
            </w:tcBorders>
            <w:shd w:val="clear" w:color="auto" w:fill="auto"/>
            <w:noWrap/>
            <w:vAlign w:val="center"/>
            <w:hideMark/>
          </w:tcPr>
          <w:p w14:paraId="3D6F9284"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HARQ-feedbackEnablingforSPSactive-r17</w:t>
            </w:r>
          </w:p>
        </w:tc>
        <w:tc>
          <w:tcPr>
            <w:tcW w:w="571" w:type="pct"/>
            <w:tcBorders>
              <w:top w:val="nil"/>
              <w:left w:val="nil"/>
              <w:bottom w:val="single" w:sz="4" w:space="0" w:color="auto"/>
              <w:right w:val="single" w:sz="4" w:space="0" w:color="auto"/>
            </w:tcBorders>
            <w:shd w:val="clear" w:color="auto" w:fill="auto"/>
            <w:vAlign w:val="center"/>
            <w:hideMark/>
          </w:tcPr>
          <w:p w14:paraId="7C549FE0"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If enabled, UE reports ACK/NACK for the first SPS PDSCH after activation, regardless of if HARQ feedback is enabled or disabled corresponding to the first SPS PDSCH after activation</w:t>
            </w:r>
            <w:r w:rsidRPr="001D638A">
              <w:rPr>
                <w:rFonts w:ascii="Arial" w:eastAsia="Times New Roman" w:hAnsi="Arial" w:cs="Arial"/>
                <w:color w:val="000000"/>
                <w:sz w:val="18"/>
                <w:szCs w:val="18"/>
              </w:rPr>
              <w:br/>
              <w:t>Otherwise, UE follows configuration of HARQ feedback enabled/disabled corresponding to the first SPS PDSCH after activation</w:t>
            </w:r>
          </w:p>
        </w:tc>
        <w:tc>
          <w:tcPr>
            <w:tcW w:w="762" w:type="pct"/>
            <w:tcBorders>
              <w:top w:val="nil"/>
              <w:left w:val="nil"/>
              <w:bottom w:val="single" w:sz="4" w:space="0" w:color="auto"/>
              <w:right w:val="single" w:sz="4" w:space="0" w:color="auto"/>
            </w:tcBorders>
            <w:shd w:val="clear" w:color="auto" w:fill="auto"/>
            <w:noWrap/>
            <w:vAlign w:val="center"/>
            <w:hideMark/>
          </w:tcPr>
          <w:p w14:paraId="558650FB"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BOOLEAN</w:t>
            </w:r>
          </w:p>
        </w:tc>
        <w:tc>
          <w:tcPr>
            <w:tcW w:w="222" w:type="pct"/>
            <w:tcBorders>
              <w:top w:val="nil"/>
              <w:left w:val="nil"/>
              <w:bottom w:val="single" w:sz="4" w:space="0" w:color="auto"/>
              <w:right w:val="single" w:sz="4" w:space="0" w:color="auto"/>
            </w:tcBorders>
            <w:shd w:val="clear" w:color="auto" w:fill="auto"/>
            <w:noWrap/>
            <w:vAlign w:val="center"/>
            <w:hideMark/>
          </w:tcPr>
          <w:p w14:paraId="1CDD89B9"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79F93E31"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BWP</w:t>
            </w:r>
          </w:p>
        </w:tc>
        <w:tc>
          <w:tcPr>
            <w:tcW w:w="333" w:type="pct"/>
            <w:tcBorders>
              <w:top w:val="nil"/>
              <w:left w:val="nil"/>
              <w:bottom w:val="single" w:sz="4" w:space="0" w:color="auto"/>
              <w:right w:val="single" w:sz="4" w:space="0" w:color="auto"/>
            </w:tcBorders>
            <w:shd w:val="clear" w:color="auto" w:fill="auto"/>
            <w:noWrap/>
            <w:vAlign w:val="center"/>
            <w:hideMark/>
          </w:tcPr>
          <w:p w14:paraId="69D3E2A5"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UE-specific</w:t>
            </w:r>
          </w:p>
        </w:tc>
        <w:tc>
          <w:tcPr>
            <w:tcW w:w="363" w:type="pct"/>
            <w:tcBorders>
              <w:top w:val="nil"/>
              <w:left w:val="nil"/>
              <w:bottom w:val="single" w:sz="4" w:space="0" w:color="auto"/>
              <w:right w:val="single" w:sz="4" w:space="0" w:color="auto"/>
            </w:tcBorders>
            <w:shd w:val="clear" w:color="auto" w:fill="auto"/>
            <w:noWrap/>
            <w:vAlign w:val="center"/>
            <w:hideMark/>
          </w:tcPr>
          <w:p w14:paraId="00AAD619"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38.331</w:t>
            </w:r>
          </w:p>
        </w:tc>
        <w:tc>
          <w:tcPr>
            <w:tcW w:w="1227" w:type="pct"/>
            <w:tcBorders>
              <w:top w:val="nil"/>
              <w:left w:val="nil"/>
              <w:bottom w:val="single" w:sz="4" w:space="0" w:color="auto"/>
              <w:right w:val="single" w:sz="4" w:space="0" w:color="auto"/>
            </w:tcBorders>
            <w:shd w:val="clear" w:color="auto" w:fill="auto"/>
            <w:noWrap/>
            <w:vAlign w:val="center"/>
            <w:hideMark/>
          </w:tcPr>
          <w:p w14:paraId="34E41DC0"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 </w:t>
            </w:r>
          </w:p>
        </w:tc>
      </w:tr>
      <w:tr w:rsidR="00084E1D" w:rsidRPr="001D638A" w14:paraId="18546975" w14:textId="77777777" w:rsidTr="00084E1D">
        <w:trPr>
          <w:trHeight w:val="1400"/>
        </w:trPr>
        <w:tc>
          <w:tcPr>
            <w:tcW w:w="1284" w:type="pct"/>
            <w:tcBorders>
              <w:top w:val="nil"/>
              <w:left w:val="single" w:sz="4" w:space="0" w:color="auto"/>
              <w:bottom w:val="single" w:sz="4" w:space="0" w:color="auto"/>
              <w:right w:val="single" w:sz="4" w:space="0" w:color="auto"/>
            </w:tcBorders>
            <w:shd w:val="clear" w:color="auto" w:fill="auto"/>
            <w:noWrap/>
            <w:vAlign w:val="center"/>
            <w:hideMark/>
          </w:tcPr>
          <w:p w14:paraId="3B7F7919"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HARQ-feedbackEnabling-disablingperHARQprocess-r17</w:t>
            </w:r>
          </w:p>
        </w:tc>
        <w:tc>
          <w:tcPr>
            <w:tcW w:w="571" w:type="pct"/>
            <w:tcBorders>
              <w:top w:val="nil"/>
              <w:left w:val="nil"/>
              <w:bottom w:val="single" w:sz="4" w:space="0" w:color="auto"/>
              <w:right w:val="single" w:sz="4" w:space="0" w:color="auto"/>
            </w:tcBorders>
            <w:shd w:val="clear" w:color="auto" w:fill="auto"/>
            <w:vAlign w:val="center"/>
            <w:hideMark/>
          </w:tcPr>
          <w:p w14:paraId="24557FA6"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To enble/disable the HARQ-feedback per HARQ process</w:t>
            </w:r>
          </w:p>
        </w:tc>
        <w:tc>
          <w:tcPr>
            <w:tcW w:w="762" w:type="pct"/>
            <w:tcBorders>
              <w:top w:val="nil"/>
              <w:left w:val="nil"/>
              <w:bottom w:val="single" w:sz="4" w:space="0" w:color="auto"/>
              <w:right w:val="single" w:sz="4" w:space="0" w:color="auto"/>
            </w:tcBorders>
            <w:shd w:val="clear" w:color="auto" w:fill="auto"/>
            <w:vAlign w:val="center"/>
            <w:hideMark/>
          </w:tcPr>
          <w:p w14:paraId="7F0ED114"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Bitmap with corresponding length determined by max(nrofHARQ-ProcessesForPDSCH-r17, nrofHARQ-Processes-r17)</w:t>
            </w:r>
          </w:p>
        </w:tc>
        <w:tc>
          <w:tcPr>
            <w:tcW w:w="222" w:type="pct"/>
            <w:tcBorders>
              <w:top w:val="nil"/>
              <w:left w:val="nil"/>
              <w:bottom w:val="single" w:sz="4" w:space="0" w:color="auto"/>
              <w:right w:val="single" w:sz="4" w:space="0" w:color="auto"/>
            </w:tcBorders>
            <w:shd w:val="clear" w:color="auto" w:fill="auto"/>
            <w:noWrap/>
            <w:vAlign w:val="center"/>
            <w:hideMark/>
          </w:tcPr>
          <w:p w14:paraId="7677DAEF"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6F16E79A"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BWP</w:t>
            </w:r>
          </w:p>
        </w:tc>
        <w:tc>
          <w:tcPr>
            <w:tcW w:w="333" w:type="pct"/>
            <w:tcBorders>
              <w:top w:val="nil"/>
              <w:left w:val="nil"/>
              <w:bottom w:val="single" w:sz="4" w:space="0" w:color="auto"/>
              <w:right w:val="single" w:sz="4" w:space="0" w:color="auto"/>
            </w:tcBorders>
            <w:shd w:val="clear" w:color="auto" w:fill="auto"/>
            <w:noWrap/>
            <w:vAlign w:val="center"/>
            <w:hideMark/>
          </w:tcPr>
          <w:p w14:paraId="5CBFE49F"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UE-specific</w:t>
            </w:r>
          </w:p>
        </w:tc>
        <w:tc>
          <w:tcPr>
            <w:tcW w:w="363" w:type="pct"/>
            <w:tcBorders>
              <w:top w:val="nil"/>
              <w:left w:val="nil"/>
              <w:bottom w:val="single" w:sz="4" w:space="0" w:color="auto"/>
              <w:right w:val="single" w:sz="4" w:space="0" w:color="auto"/>
            </w:tcBorders>
            <w:shd w:val="clear" w:color="auto" w:fill="auto"/>
            <w:noWrap/>
            <w:vAlign w:val="center"/>
            <w:hideMark/>
          </w:tcPr>
          <w:p w14:paraId="48B29455" w14:textId="77777777" w:rsidR="001D638A" w:rsidRPr="001D638A" w:rsidRDefault="001D638A" w:rsidP="001D638A">
            <w:pPr>
              <w:autoSpaceDE/>
              <w:autoSpaceDN/>
              <w:adjustRightInd/>
              <w:snapToGrid/>
              <w:spacing w:after="0"/>
              <w:jc w:val="left"/>
              <w:rPr>
                <w:rFonts w:eastAsia="Times New Roman"/>
                <w:color w:val="000000"/>
              </w:rPr>
            </w:pPr>
            <w:r w:rsidRPr="001D638A">
              <w:rPr>
                <w:rFonts w:eastAsia="Times New Roman"/>
                <w:color w:val="000000"/>
              </w:rPr>
              <w:t>38.331</w:t>
            </w:r>
          </w:p>
        </w:tc>
        <w:tc>
          <w:tcPr>
            <w:tcW w:w="1227" w:type="pct"/>
            <w:tcBorders>
              <w:top w:val="nil"/>
              <w:left w:val="nil"/>
              <w:bottom w:val="single" w:sz="4" w:space="0" w:color="auto"/>
              <w:right w:val="single" w:sz="4" w:space="0" w:color="auto"/>
            </w:tcBorders>
            <w:shd w:val="clear" w:color="auto" w:fill="auto"/>
            <w:noWrap/>
            <w:vAlign w:val="center"/>
            <w:hideMark/>
          </w:tcPr>
          <w:p w14:paraId="05F1624A" w14:textId="77777777" w:rsidR="001D638A" w:rsidRPr="001D638A" w:rsidRDefault="001D638A" w:rsidP="001D638A">
            <w:pPr>
              <w:autoSpaceDE/>
              <w:autoSpaceDN/>
              <w:adjustRightInd/>
              <w:snapToGrid/>
              <w:spacing w:after="0"/>
              <w:jc w:val="left"/>
              <w:rPr>
                <w:rFonts w:ascii="Arial" w:eastAsia="Times New Roman" w:hAnsi="Arial" w:cs="Arial"/>
                <w:color w:val="000000"/>
                <w:sz w:val="18"/>
                <w:szCs w:val="18"/>
              </w:rPr>
            </w:pPr>
            <w:r w:rsidRPr="001D638A">
              <w:rPr>
                <w:rFonts w:ascii="Arial" w:eastAsia="Times New Roman" w:hAnsi="Arial" w:cs="Arial"/>
                <w:color w:val="000000"/>
                <w:sz w:val="18"/>
                <w:szCs w:val="18"/>
              </w:rPr>
              <w:t> </w:t>
            </w:r>
          </w:p>
        </w:tc>
      </w:tr>
    </w:tbl>
    <w:p w14:paraId="3DBA9162" w14:textId="36012768" w:rsidR="003D22FD" w:rsidRPr="00E61DEB" w:rsidRDefault="003D22FD" w:rsidP="003D22FD"/>
    <w:p w14:paraId="5D371C6E" w14:textId="77777777" w:rsidR="00EB2310" w:rsidRPr="00B02C20" w:rsidRDefault="00EB2310" w:rsidP="00B02C20"/>
    <w:p w14:paraId="7A4E09CC" w14:textId="77777777" w:rsidR="00FC05D5" w:rsidRPr="00E61DEB" w:rsidRDefault="00FC05D5" w:rsidP="007D253F"/>
    <w:p w14:paraId="06BC5A1E" w14:textId="77777777" w:rsidR="00E302D0" w:rsidRPr="00E61DEB" w:rsidRDefault="00E302D0" w:rsidP="00E302D0">
      <w:pPr>
        <w:pStyle w:val="Titre1"/>
        <w:rPr>
          <w:sz w:val="22"/>
          <w:szCs w:val="22"/>
        </w:rPr>
      </w:pPr>
      <w:bookmarkStart w:id="20" w:name="_Toc79484740"/>
      <w:bookmarkStart w:id="21" w:name="_Toc82188777"/>
      <w:r w:rsidRPr="00E61DEB">
        <w:rPr>
          <w:sz w:val="22"/>
          <w:szCs w:val="22"/>
        </w:rPr>
        <w:lastRenderedPageBreak/>
        <w:t>Others</w:t>
      </w:r>
      <w:bookmarkEnd w:id="20"/>
      <w:bookmarkEnd w:id="21"/>
    </w:p>
    <w:p w14:paraId="06BC5A1F" w14:textId="77777777" w:rsidR="003B5392" w:rsidRPr="00E61DEB" w:rsidRDefault="003B5392" w:rsidP="003B5392">
      <w:pPr>
        <w:pStyle w:val="Titre2"/>
        <w:rPr>
          <w:sz w:val="22"/>
        </w:rPr>
      </w:pPr>
      <w:bookmarkStart w:id="22" w:name="_Toc82188778"/>
      <w:r w:rsidRPr="00E61DEB">
        <w:rPr>
          <w:sz w:val="22"/>
        </w:rPr>
        <w:t>Related RRC parameters</w:t>
      </w:r>
      <w:bookmarkEnd w:id="22"/>
    </w:p>
    <w:p w14:paraId="06BC5A20" w14:textId="4FA90578" w:rsidR="003B5392" w:rsidRPr="00E61DEB" w:rsidRDefault="00273AEA" w:rsidP="003B5392">
      <w:r w:rsidRPr="00E61DEB">
        <w:t>Based on the agreements to date (up to RAN1#106-</w:t>
      </w:r>
      <w:r w:rsidR="00512287">
        <w:t>bis-</w:t>
      </w:r>
      <w:r w:rsidRPr="00E61DEB">
        <w:t>e) and the companies pro</w:t>
      </w:r>
      <w:r w:rsidR="00512287">
        <w:t>posals submitted to RAN1#107</w:t>
      </w:r>
      <w:r w:rsidRPr="00E61DEB">
        <w:t>-e</w:t>
      </w:r>
      <w:r w:rsidR="00512287">
        <w:t xml:space="preserve">, an updated </w:t>
      </w:r>
      <w:r w:rsidR="00D939A5" w:rsidRPr="00E61DEB">
        <w:t>list of RRC parameters related to the polarization indication in NR NTN is given within the following table:</w:t>
      </w:r>
    </w:p>
    <w:p w14:paraId="06BC5A3A" w14:textId="08F6B6FD" w:rsidR="003B5392" w:rsidRDefault="003B5392" w:rsidP="003B5392">
      <w:pPr>
        <w:pStyle w:val="DraftProposal"/>
        <w:numPr>
          <w:ilvl w:val="0"/>
          <w:numId w:val="0"/>
        </w:numPr>
        <w:rPr>
          <w:rFonts w:ascii="Times New Roman" w:eastAsiaTheme="minorEastAsia" w:hAnsi="Times New Roman" w:cs="Times New Roman"/>
          <w:b w:val="0"/>
          <w:bCs w:val="0"/>
        </w:rPr>
      </w:pPr>
    </w:p>
    <w:tbl>
      <w:tblPr>
        <w:tblW w:w="20123" w:type="dxa"/>
        <w:tblInd w:w="-5" w:type="dxa"/>
        <w:tblCellMar>
          <w:left w:w="70" w:type="dxa"/>
          <w:right w:w="70" w:type="dxa"/>
        </w:tblCellMar>
        <w:tblLook w:val="04A0" w:firstRow="1" w:lastRow="0" w:firstColumn="1" w:lastColumn="0" w:noHBand="0" w:noVBand="1"/>
      </w:tblPr>
      <w:tblGrid>
        <w:gridCol w:w="3989"/>
        <w:gridCol w:w="1018"/>
        <w:gridCol w:w="3989"/>
        <w:gridCol w:w="2849"/>
        <w:gridCol w:w="1017"/>
        <w:gridCol w:w="818"/>
        <w:gridCol w:w="636"/>
        <w:gridCol w:w="885"/>
        <w:gridCol w:w="1385"/>
        <w:gridCol w:w="2007"/>
        <w:gridCol w:w="1530"/>
      </w:tblGrid>
      <w:tr w:rsidR="002D6400" w:rsidRPr="00B010A3" w14:paraId="5B8A2E4F" w14:textId="77777777" w:rsidTr="002D6400">
        <w:trPr>
          <w:trHeight w:val="520"/>
        </w:trPr>
        <w:tc>
          <w:tcPr>
            <w:tcW w:w="3989"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85E10F1" w14:textId="77777777" w:rsidR="002D6400" w:rsidRPr="00B010A3" w:rsidRDefault="002D6400" w:rsidP="002D6400">
            <w:pPr>
              <w:autoSpaceDE/>
              <w:autoSpaceDN/>
              <w:adjustRightInd/>
              <w:snapToGrid/>
              <w:spacing w:after="0"/>
              <w:jc w:val="left"/>
              <w:rPr>
                <w:rFonts w:ascii="Arial" w:eastAsia="Times New Roman" w:hAnsi="Arial" w:cs="Arial"/>
                <w:b/>
                <w:bCs/>
                <w:color w:val="FFFFFF"/>
                <w:sz w:val="20"/>
                <w:szCs w:val="20"/>
                <w:lang w:eastAsia="fr-FR"/>
              </w:rPr>
            </w:pPr>
            <w:r w:rsidRPr="00B010A3">
              <w:rPr>
                <w:rFonts w:ascii="Arial" w:eastAsia="Times New Roman" w:hAnsi="Arial" w:cs="Arial"/>
                <w:b/>
                <w:bCs/>
                <w:color w:val="FFFFFF"/>
                <w:sz w:val="20"/>
                <w:szCs w:val="20"/>
                <w:lang w:eastAsia="fr-FR"/>
              </w:rPr>
              <w:t>Parameter name in the spec</w:t>
            </w:r>
          </w:p>
        </w:tc>
        <w:tc>
          <w:tcPr>
            <w:tcW w:w="932" w:type="dxa"/>
            <w:tcBorders>
              <w:top w:val="single" w:sz="4" w:space="0" w:color="auto"/>
              <w:left w:val="nil"/>
              <w:bottom w:val="single" w:sz="4" w:space="0" w:color="auto"/>
              <w:right w:val="single" w:sz="4" w:space="0" w:color="auto"/>
            </w:tcBorders>
            <w:shd w:val="clear" w:color="000000" w:fill="00B0F0"/>
            <w:vAlign w:val="center"/>
            <w:hideMark/>
          </w:tcPr>
          <w:p w14:paraId="4BBCF7F1" w14:textId="77777777" w:rsidR="002D6400" w:rsidRPr="00B010A3" w:rsidRDefault="002D6400" w:rsidP="002D6400">
            <w:pPr>
              <w:autoSpaceDE/>
              <w:autoSpaceDN/>
              <w:adjustRightInd/>
              <w:snapToGrid/>
              <w:spacing w:after="0"/>
              <w:jc w:val="left"/>
              <w:rPr>
                <w:rFonts w:ascii="Arial" w:eastAsia="Times New Roman" w:hAnsi="Arial" w:cs="Arial"/>
                <w:b/>
                <w:bCs/>
                <w:color w:val="FFFFFF"/>
                <w:sz w:val="20"/>
                <w:szCs w:val="20"/>
                <w:lang w:val="fr-FR" w:eastAsia="fr-FR"/>
              </w:rPr>
            </w:pPr>
            <w:r w:rsidRPr="00B010A3">
              <w:rPr>
                <w:rFonts w:ascii="Arial" w:eastAsia="Times New Roman" w:hAnsi="Arial" w:cs="Arial"/>
                <w:b/>
                <w:bCs/>
                <w:color w:val="FFFFFF"/>
                <w:sz w:val="20"/>
                <w:szCs w:val="20"/>
                <w:lang w:val="fr-FR" w:eastAsia="fr-FR"/>
              </w:rPr>
              <w:t>New or existing?</w:t>
            </w:r>
          </w:p>
        </w:tc>
        <w:tc>
          <w:tcPr>
            <w:tcW w:w="3989" w:type="dxa"/>
            <w:tcBorders>
              <w:top w:val="single" w:sz="4" w:space="0" w:color="auto"/>
              <w:left w:val="nil"/>
              <w:bottom w:val="single" w:sz="4" w:space="0" w:color="auto"/>
              <w:right w:val="single" w:sz="4" w:space="0" w:color="auto"/>
            </w:tcBorders>
            <w:shd w:val="clear" w:color="000000" w:fill="00B0F0"/>
            <w:vAlign w:val="center"/>
            <w:hideMark/>
          </w:tcPr>
          <w:p w14:paraId="2B80C546" w14:textId="77777777" w:rsidR="002D6400" w:rsidRPr="00B010A3" w:rsidRDefault="002D6400" w:rsidP="002D6400">
            <w:pPr>
              <w:autoSpaceDE/>
              <w:autoSpaceDN/>
              <w:adjustRightInd/>
              <w:snapToGrid/>
              <w:spacing w:after="0"/>
              <w:jc w:val="left"/>
              <w:rPr>
                <w:rFonts w:ascii="Arial" w:eastAsia="Times New Roman" w:hAnsi="Arial" w:cs="Arial"/>
                <w:b/>
                <w:bCs/>
                <w:color w:val="FFFFFF"/>
                <w:sz w:val="20"/>
                <w:szCs w:val="20"/>
                <w:lang w:eastAsia="fr-FR"/>
              </w:rPr>
            </w:pPr>
            <w:r w:rsidRPr="00B010A3">
              <w:rPr>
                <w:rFonts w:ascii="Arial" w:eastAsia="Times New Roman" w:hAnsi="Arial" w:cs="Arial"/>
                <w:b/>
                <w:bCs/>
                <w:color w:val="FFFFFF"/>
                <w:sz w:val="20"/>
                <w:szCs w:val="20"/>
                <w:lang w:eastAsia="fr-FR"/>
              </w:rPr>
              <w:t>Parameter name in the text</w:t>
            </w:r>
          </w:p>
        </w:tc>
        <w:tc>
          <w:tcPr>
            <w:tcW w:w="3074" w:type="dxa"/>
            <w:tcBorders>
              <w:top w:val="single" w:sz="4" w:space="0" w:color="auto"/>
              <w:left w:val="nil"/>
              <w:bottom w:val="single" w:sz="4" w:space="0" w:color="auto"/>
              <w:right w:val="single" w:sz="4" w:space="0" w:color="auto"/>
            </w:tcBorders>
            <w:shd w:val="clear" w:color="000000" w:fill="00B0F0"/>
            <w:vAlign w:val="center"/>
            <w:hideMark/>
          </w:tcPr>
          <w:p w14:paraId="061CD76A" w14:textId="77777777" w:rsidR="002D6400" w:rsidRPr="00B010A3" w:rsidRDefault="002D6400" w:rsidP="002D6400">
            <w:pPr>
              <w:autoSpaceDE/>
              <w:autoSpaceDN/>
              <w:adjustRightInd/>
              <w:snapToGrid/>
              <w:spacing w:after="0"/>
              <w:jc w:val="left"/>
              <w:rPr>
                <w:rFonts w:ascii="Arial" w:eastAsia="Times New Roman" w:hAnsi="Arial" w:cs="Arial"/>
                <w:b/>
                <w:bCs/>
                <w:color w:val="FFFFFF"/>
                <w:sz w:val="20"/>
                <w:szCs w:val="20"/>
                <w:lang w:val="fr-FR" w:eastAsia="fr-FR"/>
              </w:rPr>
            </w:pPr>
            <w:r w:rsidRPr="00B010A3">
              <w:rPr>
                <w:rFonts w:ascii="Arial" w:eastAsia="Times New Roman" w:hAnsi="Arial" w:cs="Arial"/>
                <w:b/>
                <w:bCs/>
                <w:color w:val="FFFFFF"/>
                <w:sz w:val="20"/>
                <w:szCs w:val="20"/>
                <w:lang w:val="fr-FR" w:eastAsia="fr-FR"/>
              </w:rPr>
              <w:t>Description</w:t>
            </w:r>
          </w:p>
        </w:tc>
        <w:tc>
          <w:tcPr>
            <w:tcW w:w="1017" w:type="dxa"/>
            <w:tcBorders>
              <w:top w:val="single" w:sz="4" w:space="0" w:color="auto"/>
              <w:left w:val="nil"/>
              <w:bottom w:val="single" w:sz="4" w:space="0" w:color="auto"/>
              <w:right w:val="single" w:sz="4" w:space="0" w:color="auto"/>
            </w:tcBorders>
            <w:shd w:val="clear" w:color="000000" w:fill="00B0F0"/>
            <w:vAlign w:val="center"/>
            <w:hideMark/>
          </w:tcPr>
          <w:p w14:paraId="1B80ADD7" w14:textId="77777777" w:rsidR="002D6400" w:rsidRPr="00B010A3" w:rsidRDefault="002D6400" w:rsidP="002D6400">
            <w:pPr>
              <w:autoSpaceDE/>
              <w:autoSpaceDN/>
              <w:adjustRightInd/>
              <w:snapToGrid/>
              <w:spacing w:after="0"/>
              <w:jc w:val="left"/>
              <w:rPr>
                <w:rFonts w:ascii="Arial" w:eastAsia="Times New Roman" w:hAnsi="Arial" w:cs="Arial"/>
                <w:b/>
                <w:bCs/>
                <w:color w:val="FFFFFF"/>
                <w:sz w:val="20"/>
                <w:szCs w:val="20"/>
                <w:lang w:val="fr-FR" w:eastAsia="fr-FR"/>
              </w:rPr>
            </w:pPr>
            <w:r w:rsidRPr="00B010A3">
              <w:rPr>
                <w:rFonts w:ascii="Arial" w:eastAsia="Times New Roman" w:hAnsi="Arial" w:cs="Arial"/>
                <w:b/>
                <w:bCs/>
                <w:color w:val="FFFFFF"/>
                <w:sz w:val="20"/>
                <w:szCs w:val="20"/>
                <w:lang w:val="fr-FR" w:eastAsia="fr-FR"/>
              </w:rPr>
              <w:t>Value range</w:t>
            </w:r>
          </w:p>
        </w:tc>
        <w:tc>
          <w:tcPr>
            <w:tcW w:w="752" w:type="dxa"/>
            <w:tcBorders>
              <w:top w:val="single" w:sz="4" w:space="0" w:color="auto"/>
              <w:left w:val="nil"/>
              <w:bottom w:val="single" w:sz="4" w:space="0" w:color="auto"/>
              <w:right w:val="single" w:sz="4" w:space="0" w:color="auto"/>
            </w:tcBorders>
            <w:shd w:val="clear" w:color="000000" w:fill="00B0F0"/>
            <w:vAlign w:val="center"/>
            <w:hideMark/>
          </w:tcPr>
          <w:p w14:paraId="3299CAA7" w14:textId="77777777" w:rsidR="002D6400" w:rsidRPr="00B010A3" w:rsidRDefault="002D6400" w:rsidP="002D6400">
            <w:pPr>
              <w:autoSpaceDE/>
              <w:autoSpaceDN/>
              <w:adjustRightInd/>
              <w:snapToGrid/>
              <w:spacing w:after="0"/>
              <w:jc w:val="left"/>
              <w:rPr>
                <w:rFonts w:ascii="Arial" w:eastAsia="Times New Roman" w:hAnsi="Arial" w:cs="Arial"/>
                <w:b/>
                <w:bCs/>
                <w:color w:val="FFFFFF"/>
                <w:sz w:val="20"/>
                <w:szCs w:val="20"/>
                <w:lang w:val="fr-FR" w:eastAsia="fr-FR"/>
              </w:rPr>
            </w:pPr>
            <w:r w:rsidRPr="00B010A3">
              <w:rPr>
                <w:rFonts w:ascii="Arial" w:eastAsia="Times New Roman" w:hAnsi="Arial" w:cs="Arial"/>
                <w:b/>
                <w:bCs/>
                <w:color w:val="FFFFFF"/>
                <w:sz w:val="20"/>
                <w:szCs w:val="20"/>
                <w:lang w:val="fr-FR" w:eastAsia="fr-FR"/>
              </w:rPr>
              <w:t>Default value aspect</w:t>
            </w:r>
          </w:p>
        </w:tc>
        <w:tc>
          <w:tcPr>
            <w:tcW w:w="636" w:type="dxa"/>
            <w:tcBorders>
              <w:top w:val="single" w:sz="4" w:space="0" w:color="auto"/>
              <w:left w:val="nil"/>
              <w:bottom w:val="single" w:sz="4" w:space="0" w:color="auto"/>
              <w:right w:val="single" w:sz="4" w:space="0" w:color="auto"/>
            </w:tcBorders>
            <w:shd w:val="clear" w:color="000000" w:fill="00B0F0"/>
            <w:vAlign w:val="center"/>
            <w:hideMark/>
          </w:tcPr>
          <w:p w14:paraId="51002F53" w14:textId="77777777" w:rsidR="002D6400" w:rsidRPr="00B010A3" w:rsidRDefault="002D6400" w:rsidP="002D6400">
            <w:pPr>
              <w:autoSpaceDE/>
              <w:autoSpaceDN/>
              <w:adjustRightInd/>
              <w:snapToGrid/>
              <w:spacing w:after="0"/>
              <w:jc w:val="left"/>
              <w:rPr>
                <w:rFonts w:ascii="Arial" w:eastAsia="Times New Roman" w:hAnsi="Arial" w:cs="Arial"/>
                <w:b/>
                <w:bCs/>
                <w:color w:val="FFFFFF"/>
                <w:sz w:val="20"/>
                <w:szCs w:val="20"/>
                <w:lang w:val="fr-FR" w:eastAsia="fr-FR"/>
              </w:rPr>
            </w:pPr>
            <w:r w:rsidRPr="00B010A3">
              <w:rPr>
                <w:rFonts w:ascii="Arial" w:eastAsia="Times New Roman" w:hAnsi="Arial" w:cs="Arial"/>
                <w:b/>
                <w:bCs/>
                <w:color w:val="FFFFFF"/>
                <w:sz w:val="20"/>
                <w:szCs w:val="20"/>
                <w:lang w:val="fr-FR" w:eastAsia="fr-FR"/>
              </w:rPr>
              <w:t>Per (UE, cell, TRP, …)</w:t>
            </w:r>
          </w:p>
        </w:tc>
        <w:tc>
          <w:tcPr>
            <w:tcW w:w="812" w:type="dxa"/>
            <w:tcBorders>
              <w:top w:val="single" w:sz="4" w:space="0" w:color="auto"/>
              <w:left w:val="nil"/>
              <w:bottom w:val="single" w:sz="4" w:space="0" w:color="auto"/>
              <w:right w:val="single" w:sz="4" w:space="0" w:color="auto"/>
            </w:tcBorders>
            <w:shd w:val="clear" w:color="000000" w:fill="00B0F0"/>
            <w:vAlign w:val="center"/>
            <w:hideMark/>
          </w:tcPr>
          <w:p w14:paraId="0F246802" w14:textId="77777777" w:rsidR="002D6400" w:rsidRPr="00B010A3" w:rsidRDefault="002D6400" w:rsidP="002D6400">
            <w:pPr>
              <w:autoSpaceDE/>
              <w:autoSpaceDN/>
              <w:adjustRightInd/>
              <w:snapToGrid/>
              <w:spacing w:after="0"/>
              <w:jc w:val="left"/>
              <w:rPr>
                <w:rFonts w:ascii="Arial" w:eastAsia="Times New Roman" w:hAnsi="Arial" w:cs="Arial"/>
                <w:b/>
                <w:bCs/>
                <w:color w:val="FFFFFF"/>
                <w:sz w:val="20"/>
                <w:szCs w:val="20"/>
                <w:lang w:eastAsia="fr-FR"/>
              </w:rPr>
            </w:pPr>
            <w:r w:rsidRPr="00B010A3">
              <w:rPr>
                <w:rFonts w:ascii="Arial" w:eastAsia="Times New Roman" w:hAnsi="Arial" w:cs="Arial"/>
                <w:b/>
                <w:bCs/>
                <w:color w:val="FFFFFF"/>
                <w:sz w:val="20"/>
                <w:szCs w:val="20"/>
                <w:lang w:eastAsia="fr-FR"/>
              </w:rPr>
              <w:t>UE-specific or Cell-specific</w:t>
            </w:r>
          </w:p>
        </w:tc>
        <w:tc>
          <w:tcPr>
            <w:tcW w:w="1263" w:type="dxa"/>
            <w:tcBorders>
              <w:top w:val="single" w:sz="4" w:space="0" w:color="auto"/>
              <w:left w:val="nil"/>
              <w:bottom w:val="single" w:sz="4" w:space="0" w:color="auto"/>
              <w:right w:val="single" w:sz="4" w:space="0" w:color="auto"/>
            </w:tcBorders>
            <w:shd w:val="clear" w:color="000000" w:fill="00B0F0"/>
            <w:vAlign w:val="center"/>
            <w:hideMark/>
          </w:tcPr>
          <w:p w14:paraId="02B6DAF0" w14:textId="77777777" w:rsidR="002D6400" w:rsidRPr="00B010A3" w:rsidRDefault="002D6400" w:rsidP="002D6400">
            <w:pPr>
              <w:autoSpaceDE/>
              <w:autoSpaceDN/>
              <w:adjustRightInd/>
              <w:snapToGrid/>
              <w:spacing w:after="0"/>
              <w:jc w:val="left"/>
              <w:rPr>
                <w:rFonts w:ascii="Arial" w:eastAsia="Times New Roman" w:hAnsi="Arial" w:cs="Arial"/>
                <w:b/>
                <w:bCs/>
                <w:color w:val="FFFFFF"/>
                <w:sz w:val="20"/>
                <w:szCs w:val="20"/>
                <w:lang w:val="fr-FR" w:eastAsia="fr-FR"/>
              </w:rPr>
            </w:pPr>
            <w:r w:rsidRPr="00B010A3">
              <w:rPr>
                <w:rFonts w:ascii="Arial" w:eastAsia="Times New Roman" w:hAnsi="Arial" w:cs="Arial"/>
                <w:b/>
                <w:bCs/>
                <w:color w:val="FFFFFF"/>
                <w:sz w:val="20"/>
                <w:szCs w:val="20"/>
                <w:lang w:val="fr-FR" w:eastAsia="fr-FR"/>
              </w:rPr>
              <w:t>Specification</w:t>
            </w:r>
          </w:p>
        </w:tc>
        <w:tc>
          <w:tcPr>
            <w:tcW w:w="2129" w:type="dxa"/>
            <w:tcBorders>
              <w:top w:val="single" w:sz="4" w:space="0" w:color="auto"/>
              <w:left w:val="nil"/>
              <w:bottom w:val="single" w:sz="4" w:space="0" w:color="auto"/>
              <w:right w:val="single" w:sz="4" w:space="0" w:color="auto"/>
            </w:tcBorders>
            <w:shd w:val="clear" w:color="000000" w:fill="00B0F0"/>
            <w:vAlign w:val="center"/>
            <w:hideMark/>
          </w:tcPr>
          <w:p w14:paraId="3BF9E43B" w14:textId="77777777" w:rsidR="002D6400" w:rsidRPr="00B010A3" w:rsidRDefault="002D6400" w:rsidP="002D6400">
            <w:pPr>
              <w:autoSpaceDE/>
              <w:autoSpaceDN/>
              <w:adjustRightInd/>
              <w:snapToGrid/>
              <w:spacing w:after="0"/>
              <w:jc w:val="left"/>
              <w:rPr>
                <w:rFonts w:ascii="Arial" w:eastAsia="Times New Roman" w:hAnsi="Arial" w:cs="Arial"/>
                <w:b/>
                <w:bCs/>
                <w:color w:val="FFFFFF"/>
                <w:sz w:val="20"/>
                <w:szCs w:val="20"/>
                <w:lang w:val="fr-FR" w:eastAsia="fr-FR"/>
              </w:rPr>
            </w:pPr>
            <w:r w:rsidRPr="00B010A3">
              <w:rPr>
                <w:rFonts w:ascii="Arial" w:eastAsia="Times New Roman" w:hAnsi="Arial" w:cs="Arial"/>
                <w:b/>
                <w:bCs/>
                <w:color w:val="FFFFFF"/>
                <w:sz w:val="20"/>
                <w:szCs w:val="20"/>
                <w:lang w:val="fr-FR" w:eastAsia="fr-FR"/>
              </w:rPr>
              <w:t>Comment</w:t>
            </w:r>
          </w:p>
        </w:tc>
        <w:tc>
          <w:tcPr>
            <w:tcW w:w="1530" w:type="dxa"/>
            <w:tcBorders>
              <w:top w:val="single" w:sz="4" w:space="0" w:color="auto"/>
              <w:left w:val="nil"/>
              <w:bottom w:val="single" w:sz="4" w:space="0" w:color="auto"/>
              <w:right w:val="single" w:sz="4" w:space="0" w:color="auto"/>
            </w:tcBorders>
            <w:shd w:val="clear" w:color="000000" w:fill="00B0F0"/>
            <w:vAlign w:val="center"/>
            <w:hideMark/>
          </w:tcPr>
          <w:p w14:paraId="7CB58A5E" w14:textId="77777777" w:rsidR="002D6400" w:rsidRPr="00B010A3" w:rsidRDefault="002D6400" w:rsidP="002D6400">
            <w:pPr>
              <w:autoSpaceDE/>
              <w:autoSpaceDN/>
              <w:adjustRightInd/>
              <w:snapToGrid/>
              <w:spacing w:after="0"/>
              <w:jc w:val="left"/>
              <w:rPr>
                <w:rFonts w:ascii="Arial" w:eastAsia="Times New Roman" w:hAnsi="Arial" w:cs="Arial"/>
                <w:b/>
                <w:bCs/>
                <w:color w:val="FFFFFF"/>
                <w:sz w:val="20"/>
                <w:szCs w:val="20"/>
                <w:lang w:val="fr-FR" w:eastAsia="fr-FR"/>
              </w:rPr>
            </w:pPr>
            <w:r w:rsidRPr="00B010A3">
              <w:rPr>
                <w:rFonts w:ascii="Arial" w:eastAsia="Times New Roman" w:hAnsi="Arial" w:cs="Arial"/>
                <w:b/>
                <w:bCs/>
                <w:color w:val="FFFFFF"/>
                <w:sz w:val="20"/>
                <w:szCs w:val="20"/>
                <w:lang w:val="fr-FR" w:eastAsia="fr-FR"/>
              </w:rPr>
              <w:t>Status</w:t>
            </w:r>
          </w:p>
        </w:tc>
      </w:tr>
      <w:tr w:rsidR="002D6400" w:rsidRPr="00B010A3" w14:paraId="6A5C2C1D" w14:textId="77777777" w:rsidTr="002D6400">
        <w:trPr>
          <w:trHeight w:val="84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5F1F77C5" w14:textId="77777777" w:rsidR="002D6400" w:rsidRPr="00B010A3"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B010A3">
              <w:rPr>
                <w:rFonts w:ascii="Arial" w:eastAsia="Times New Roman" w:hAnsi="Arial" w:cs="Arial"/>
                <w:color w:val="000000"/>
                <w:sz w:val="18"/>
                <w:szCs w:val="18"/>
                <w:lang w:val="fr-FR" w:eastAsia="fr-FR"/>
              </w:rPr>
              <w:t>ntnPolarizationDL</w:t>
            </w:r>
          </w:p>
        </w:tc>
        <w:tc>
          <w:tcPr>
            <w:tcW w:w="932" w:type="dxa"/>
            <w:tcBorders>
              <w:top w:val="nil"/>
              <w:left w:val="nil"/>
              <w:bottom w:val="single" w:sz="4" w:space="0" w:color="auto"/>
              <w:right w:val="single" w:sz="4" w:space="0" w:color="auto"/>
            </w:tcBorders>
            <w:shd w:val="clear" w:color="auto" w:fill="auto"/>
            <w:noWrap/>
            <w:vAlign w:val="center"/>
            <w:hideMark/>
          </w:tcPr>
          <w:p w14:paraId="5542B00F" w14:textId="77777777" w:rsidR="002D6400" w:rsidRPr="00B010A3"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B010A3">
              <w:rPr>
                <w:rFonts w:ascii="Arial" w:eastAsia="Times New Roman" w:hAnsi="Arial" w:cs="Arial"/>
                <w:color w:val="000000"/>
                <w:sz w:val="18"/>
                <w:szCs w:val="18"/>
                <w:lang w:val="fr-FR" w:eastAsia="fr-FR"/>
              </w:rPr>
              <w:t>New</w:t>
            </w:r>
          </w:p>
        </w:tc>
        <w:tc>
          <w:tcPr>
            <w:tcW w:w="3989" w:type="dxa"/>
            <w:tcBorders>
              <w:top w:val="nil"/>
              <w:left w:val="nil"/>
              <w:bottom w:val="single" w:sz="4" w:space="0" w:color="auto"/>
              <w:right w:val="single" w:sz="4" w:space="0" w:color="auto"/>
            </w:tcBorders>
            <w:shd w:val="clear" w:color="auto" w:fill="auto"/>
            <w:noWrap/>
            <w:vAlign w:val="center"/>
            <w:hideMark/>
          </w:tcPr>
          <w:p w14:paraId="7A691413" w14:textId="77777777" w:rsidR="002D6400" w:rsidRPr="00B010A3"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B010A3">
              <w:rPr>
                <w:rFonts w:ascii="Arial" w:eastAsia="Times New Roman" w:hAnsi="Arial" w:cs="Arial"/>
                <w:color w:val="000000"/>
                <w:sz w:val="18"/>
                <w:szCs w:val="18"/>
                <w:lang w:val="fr-FR" w:eastAsia="fr-FR"/>
              </w:rPr>
              <w:t>ntnPolarizationDL</w:t>
            </w:r>
          </w:p>
        </w:tc>
        <w:tc>
          <w:tcPr>
            <w:tcW w:w="3074" w:type="dxa"/>
            <w:tcBorders>
              <w:top w:val="nil"/>
              <w:left w:val="nil"/>
              <w:bottom w:val="single" w:sz="4" w:space="0" w:color="auto"/>
              <w:right w:val="single" w:sz="4" w:space="0" w:color="auto"/>
            </w:tcBorders>
            <w:shd w:val="clear" w:color="auto" w:fill="auto"/>
            <w:vAlign w:val="center"/>
            <w:hideMark/>
          </w:tcPr>
          <w:p w14:paraId="2C341AEF" w14:textId="77777777" w:rsidR="002D6400" w:rsidRPr="00B010A3" w:rsidRDefault="002D6400" w:rsidP="002D6400">
            <w:pPr>
              <w:autoSpaceDE/>
              <w:autoSpaceDN/>
              <w:adjustRightInd/>
              <w:snapToGrid/>
              <w:spacing w:after="0"/>
              <w:jc w:val="left"/>
              <w:rPr>
                <w:rFonts w:ascii="Arial" w:eastAsia="Times New Roman" w:hAnsi="Arial" w:cs="Arial"/>
                <w:color w:val="000000"/>
                <w:sz w:val="18"/>
                <w:szCs w:val="18"/>
                <w:lang w:eastAsia="fr-FR"/>
              </w:rPr>
            </w:pPr>
            <w:r w:rsidRPr="00B010A3">
              <w:rPr>
                <w:rFonts w:ascii="Arial" w:eastAsia="Times New Roman" w:hAnsi="Arial" w:cs="Arial"/>
                <w:color w:val="000000"/>
                <w:sz w:val="18"/>
                <w:szCs w:val="18"/>
                <w:lang w:eastAsia="fr-FR"/>
              </w:rPr>
              <w:t>If present, this parameter indicates polarization information for Downlink transmission on service link: including Right hand, Left hand circular polarizations (RHCP, LHCP) and Linear polarization</w:t>
            </w:r>
          </w:p>
        </w:tc>
        <w:tc>
          <w:tcPr>
            <w:tcW w:w="1017" w:type="dxa"/>
            <w:tcBorders>
              <w:top w:val="nil"/>
              <w:left w:val="nil"/>
              <w:bottom w:val="single" w:sz="4" w:space="0" w:color="auto"/>
              <w:right w:val="single" w:sz="4" w:space="0" w:color="auto"/>
            </w:tcBorders>
            <w:shd w:val="clear" w:color="auto" w:fill="auto"/>
            <w:noWrap/>
            <w:vAlign w:val="center"/>
            <w:hideMark/>
          </w:tcPr>
          <w:p w14:paraId="65FA0A61" w14:textId="77777777" w:rsidR="002D6400" w:rsidRPr="00B010A3" w:rsidRDefault="002D6400" w:rsidP="002D6400">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{RHCP, LHCP, Linear }</w:t>
            </w:r>
          </w:p>
        </w:tc>
        <w:tc>
          <w:tcPr>
            <w:tcW w:w="752" w:type="dxa"/>
            <w:tcBorders>
              <w:top w:val="nil"/>
              <w:left w:val="nil"/>
              <w:bottom w:val="single" w:sz="4" w:space="0" w:color="auto"/>
              <w:right w:val="single" w:sz="4" w:space="0" w:color="auto"/>
            </w:tcBorders>
            <w:shd w:val="clear" w:color="auto" w:fill="auto"/>
            <w:noWrap/>
            <w:vAlign w:val="center"/>
            <w:hideMark/>
          </w:tcPr>
          <w:p w14:paraId="446D16FC" w14:textId="77777777" w:rsidR="002D6400" w:rsidRPr="00B010A3" w:rsidRDefault="002D6400" w:rsidP="002D6400">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2817A308" w14:textId="77777777" w:rsidR="002D6400" w:rsidRPr="00B010A3" w:rsidRDefault="002D6400" w:rsidP="002D6400">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cell</w:t>
            </w:r>
          </w:p>
        </w:tc>
        <w:tc>
          <w:tcPr>
            <w:tcW w:w="812" w:type="dxa"/>
            <w:tcBorders>
              <w:top w:val="nil"/>
              <w:left w:val="nil"/>
              <w:bottom w:val="single" w:sz="4" w:space="0" w:color="auto"/>
              <w:right w:val="single" w:sz="4" w:space="0" w:color="auto"/>
            </w:tcBorders>
            <w:shd w:val="clear" w:color="auto" w:fill="auto"/>
            <w:noWrap/>
            <w:vAlign w:val="center"/>
            <w:hideMark/>
          </w:tcPr>
          <w:p w14:paraId="2DD62972" w14:textId="77777777" w:rsidR="002D6400" w:rsidRPr="00B010A3" w:rsidRDefault="002D6400" w:rsidP="002D6400">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Cell-specific</w:t>
            </w:r>
          </w:p>
        </w:tc>
        <w:tc>
          <w:tcPr>
            <w:tcW w:w="1263" w:type="dxa"/>
            <w:tcBorders>
              <w:top w:val="nil"/>
              <w:left w:val="nil"/>
              <w:bottom w:val="single" w:sz="4" w:space="0" w:color="auto"/>
              <w:right w:val="single" w:sz="4" w:space="0" w:color="auto"/>
            </w:tcBorders>
            <w:shd w:val="clear" w:color="auto" w:fill="auto"/>
            <w:noWrap/>
            <w:vAlign w:val="center"/>
            <w:hideMark/>
          </w:tcPr>
          <w:p w14:paraId="0C00D575" w14:textId="77777777" w:rsidR="002D6400" w:rsidRPr="00B010A3" w:rsidRDefault="002D6400" w:rsidP="002D6400">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vAlign w:val="center"/>
            <w:hideMark/>
          </w:tcPr>
          <w:p w14:paraId="17099138" w14:textId="77777777" w:rsidR="002D6400" w:rsidRPr="00B010A3" w:rsidRDefault="002D6400" w:rsidP="002D6400">
            <w:pPr>
              <w:autoSpaceDE/>
              <w:autoSpaceDN/>
              <w:adjustRightInd/>
              <w:snapToGrid/>
              <w:spacing w:after="0"/>
              <w:jc w:val="left"/>
              <w:rPr>
                <w:rFonts w:eastAsia="Times New Roman"/>
                <w:color w:val="000000"/>
                <w:lang w:eastAsia="fr-FR"/>
              </w:rPr>
            </w:pPr>
            <w:r w:rsidRPr="00B010A3">
              <w:rPr>
                <w:rFonts w:eastAsia="Times New Roman"/>
                <w:color w:val="000000"/>
                <w:lang w:eastAsia="fr-FR"/>
              </w:rPr>
              <w:t xml:space="preserve">The indicated polarization information refers to the polarization type used at satellite side for DL transmission. </w:t>
            </w:r>
          </w:p>
        </w:tc>
        <w:tc>
          <w:tcPr>
            <w:tcW w:w="1530" w:type="dxa"/>
            <w:tcBorders>
              <w:top w:val="nil"/>
              <w:left w:val="nil"/>
              <w:bottom w:val="single" w:sz="4" w:space="0" w:color="auto"/>
              <w:right w:val="single" w:sz="4" w:space="0" w:color="auto"/>
            </w:tcBorders>
            <w:shd w:val="clear" w:color="auto" w:fill="auto"/>
            <w:noWrap/>
            <w:vAlign w:val="bottom"/>
            <w:hideMark/>
          </w:tcPr>
          <w:p w14:paraId="6514CF28" w14:textId="77777777" w:rsidR="002D6400" w:rsidRPr="00B010A3" w:rsidRDefault="002D6400" w:rsidP="002D6400">
            <w:pPr>
              <w:autoSpaceDE/>
              <w:autoSpaceDN/>
              <w:adjustRightInd/>
              <w:snapToGrid/>
              <w:spacing w:after="0"/>
              <w:jc w:val="left"/>
              <w:rPr>
                <w:rFonts w:ascii="Calibri" w:eastAsia="Times New Roman" w:hAnsi="Calibri" w:cs="Calibri"/>
                <w:color w:val="00B050"/>
                <w:lang w:val="fr-FR" w:eastAsia="fr-FR"/>
              </w:rPr>
            </w:pPr>
            <w:r w:rsidRPr="00B010A3">
              <w:rPr>
                <w:rFonts w:ascii="Calibri" w:eastAsia="Times New Roman" w:hAnsi="Calibri" w:cs="Calibri"/>
                <w:color w:val="00B050"/>
                <w:lang w:val="fr-FR" w:eastAsia="fr-FR"/>
              </w:rPr>
              <w:t>Stable</w:t>
            </w:r>
          </w:p>
        </w:tc>
      </w:tr>
      <w:tr w:rsidR="002D6400" w:rsidRPr="00B010A3" w14:paraId="4240EED4" w14:textId="77777777" w:rsidTr="002D6400">
        <w:trPr>
          <w:trHeight w:val="1150"/>
        </w:trPr>
        <w:tc>
          <w:tcPr>
            <w:tcW w:w="3989" w:type="dxa"/>
            <w:tcBorders>
              <w:top w:val="nil"/>
              <w:left w:val="single" w:sz="4" w:space="0" w:color="auto"/>
              <w:bottom w:val="single" w:sz="4" w:space="0" w:color="auto"/>
              <w:right w:val="single" w:sz="4" w:space="0" w:color="auto"/>
            </w:tcBorders>
            <w:shd w:val="clear" w:color="auto" w:fill="auto"/>
            <w:noWrap/>
            <w:vAlign w:val="center"/>
            <w:hideMark/>
          </w:tcPr>
          <w:p w14:paraId="6D1534AA" w14:textId="77777777" w:rsidR="002D6400" w:rsidRPr="00B010A3"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B010A3">
              <w:rPr>
                <w:rFonts w:ascii="Arial" w:eastAsia="Times New Roman" w:hAnsi="Arial" w:cs="Arial"/>
                <w:color w:val="000000"/>
                <w:sz w:val="18"/>
                <w:szCs w:val="18"/>
                <w:lang w:val="fr-FR" w:eastAsia="fr-FR"/>
              </w:rPr>
              <w:t>ntnPolarizationUL</w:t>
            </w:r>
          </w:p>
        </w:tc>
        <w:tc>
          <w:tcPr>
            <w:tcW w:w="932" w:type="dxa"/>
            <w:tcBorders>
              <w:top w:val="nil"/>
              <w:left w:val="nil"/>
              <w:bottom w:val="single" w:sz="4" w:space="0" w:color="auto"/>
              <w:right w:val="single" w:sz="4" w:space="0" w:color="auto"/>
            </w:tcBorders>
            <w:shd w:val="clear" w:color="auto" w:fill="auto"/>
            <w:noWrap/>
            <w:vAlign w:val="center"/>
            <w:hideMark/>
          </w:tcPr>
          <w:p w14:paraId="61925FAF" w14:textId="77777777" w:rsidR="002D6400" w:rsidRPr="00B010A3"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B010A3">
              <w:rPr>
                <w:rFonts w:ascii="Arial" w:eastAsia="Times New Roman" w:hAnsi="Arial" w:cs="Arial"/>
                <w:color w:val="000000"/>
                <w:sz w:val="18"/>
                <w:szCs w:val="18"/>
                <w:lang w:val="fr-FR" w:eastAsia="fr-FR"/>
              </w:rPr>
              <w:t>New</w:t>
            </w:r>
          </w:p>
        </w:tc>
        <w:tc>
          <w:tcPr>
            <w:tcW w:w="3989" w:type="dxa"/>
            <w:tcBorders>
              <w:top w:val="nil"/>
              <w:left w:val="nil"/>
              <w:bottom w:val="single" w:sz="4" w:space="0" w:color="auto"/>
              <w:right w:val="single" w:sz="4" w:space="0" w:color="auto"/>
            </w:tcBorders>
            <w:shd w:val="clear" w:color="auto" w:fill="auto"/>
            <w:noWrap/>
            <w:vAlign w:val="center"/>
            <w:hideMark/>
          </w:tcPr>
          <w:p w14:paraId="476D9537" w14:textId="77777777" w:rsidR="002D6400" w:rsidRPr="00B010A3" w:rsidRDefault="002D6400" w:rsidP="002D6400">
            <w:pPr>
              <w:autoSpaceDE/>
              <w:autoSpaceDN/>
              <w:adjustRightInd/>
              <w:snapToGrid/>
              <w:spacing w:after="0"/>
              <w:jc w:val="left"/>
              <w:rPr>
                <w:rFonts w:ascii="Arial" w:eastAsia="Times New Roman" w:hAnsi="Arial" w:cs="Arial"/>
                <w:color w:val="000000"/>
                <w:sz w:val="18"/>
                <w:szCs w:val="18"/>
                <w:lang w:val="fr-FR" w:eastAsia="fr-FR"/>
              </w:rPr>
            </w:pPr>
            <w:r w:rsidRPr="00B010A3">
              <w:rPr>
                <w:rFonts w:ascii="Arial" w:eastAsia="Times New Roman" w:hAnsi="Arial" w:cs="Arial"/>
                <w:color w:val="000000"/>
                <w:sz w:val="18"/>
                <w:szCs w:val="18"/>
                <w:lang w:val="fr-FR" w:eastAsia="fr-FR"/>
              </w:rPr>
              <w:t>ntnPolarizationUL</w:t>
            </w:r>
          </w:p>
        </w:tc>
        <w:tc>
          <w:tcPr>
            <w:tcW w:w="3074" w:type="dxa"/>
            <w:tcBorders>
              <w:top w:val="nil"/>
              <w:left w:val="nil"/>
              <w:bottom w:val="single" w:sz="4" w:space="0" w:color="auto"/>
              <w:right w:val="single" w:sz="4" w:space="0" w:color="auto"/>
            </w:tcBorders>
            <w:shd w:val="clear" w:color="auto" w:fill="auto"/>
            <w:vAlign w:val="center"/>
            <w:hideMark/>
          </w:tcPr>
          <w:p w14:paraId="52023440" w14:textId="77777777" w:rsidR="002D6400" w:rsidRPr="00B010A3" w:rsidRDefault="002D6400" w:rsidP="002D6400">
            <w:pPr>
              <w:autoSpaceDE/>
              <w:autoSpaceDN/>
              <w:adjustRightInd/>
              <w:snapToGrid/>
              <w:spacing w:after="0"/>
              <w:jc w:val="left"/>
              <w:rPr>
                <w:rFonts w:ascii="Arial" w:eastAsia="Times New Roman" w:hAnsi="Arial" w:cs="Arial"/>
                <w:color w:val="000000"/>
                <w:sz w:val="18"/>
                <w:szCs w:val="18"/>
                <w:lang w:eastAsia="fr-FR"/>
              </w:rPr>
            </w:pPr>
            <w:r w:rsidRPr="00B010A3">
              <w:rPr>
                <w:rFonts w:ascii="Arial" w:eastAsia="Times New Roman" w:hAnsi="Arial" w:cs="Arial"/>
                <w:color w:val="000000"/>
                <w:sz w:val="18"/>
                <w:szCs w:val="18"/>
                <w:lang w:eastAsia="fr-FR"/>
              </w:rPr>
              <w:t>If present, this parameter indicates Polarization information for Uplink service link.</w:t>
            </w:r>
            <w:r w:rsidRPr="00B010A3">
              <w:rPr>
                <w:rFonts w:ascii="Arial" w:eastAsia="Times New Roman" w:hAnsi="Arial" w:cs="Arial"/>
                <w:color w:val="000000"/>
                <w:sz w:val="18"/>
                <w:szCs w:val="18"/>
                <w:lang w:eastAsia="fr-FR"/>
              </w:rPr>
              <w:br/>
              <w:t>If not and  ntnPolarizationDL is present,  UE assumes a same polarization for UL and DL</w:t>
            </w:r>
          </w:p>
        </w:tc>
        <w:tc>
          <w:tcPr>
            <w:tcW w:w="1017" w:type="dxa"/>
            <w:tcBorders>
              <w:top w:val="nil"/>
              <w:left w:val="nil"/>
              <w:bottom w:val="single" w:sz="4" w:space="0" w:color="auto"/>
              <w:right w:val="single" w:sz="4" w:space="0" w:color="auto"/>
            </w:tcBorders>
            <w:shd w:val="clear" w:color="auto" w:fill="auto"/>
            <w:noWrap/>
            <w:vAlign w:val="center"/>
            <w:hideMark/>
          </w:tcPr>
          <w:p w14:paraId="399B49DA" w14:textId="77777777" w:rsidR="002D6400" w:rsidRPr="00B010A3" w:rsidRDefault="002D6400" w:rsidP="002D6400">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{RHCP, LHCP, Linear }</w:t>
            </w:r>
          </w:p>
        </w:tc>
        <w:tc>
          <w:tcPr>
            <w:tcW w:w="752" w:type="dxa"/>
            <w:tcBorders>
              <w:top w:val="nil"/>
              <w:left w:val="nil"/>
              <w:bottom w:val="single" w:sz="4" w:space="0" w:color="auto"/>
              <w:right w:val="single" w:sz="4" w:space="0" w:color="auto"/>
            </w:tcBorders>
            <w:shd w:val="clear" w:color="auto" w:fill="auto"/>
            <w:noWrap/>
            <w:vAlign w:val="center"/>
            <w:hideMark/>
          </w:tcPr>
          <w:p w14:paraId="156CF86E" w14:textId="77777777" w:rsidR="002D6400" w:rsidRPr="00B010A3" w:rsidRDefault="002D6400" w:rsidP="002D6400">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 </w:t>
            </w:r>
          </w:p>
        </w:tc>
        <w:tc>
          <w:tcPr>
            <w:tcW w:w="636" w:type="dxa"/>
            <w:tcBorders>
              <w:top w:val="nil"/>
              <w:left w:val="nil"/>
              <w:bottom w:val="single" w:sz="4" w:space="0" w:color="auto"/>
              <w:right w:val="single" w:sz="4" w:space="0" w:color="auto"/>
            </w:tcBorders>
            <w:shd w:val="clear" w:color="auto" w:fill="auto"/>
            <w:noWrap/>
            <w:vAlign w:val="center"/>
            <w:hideMark/>
          </w:tcPr>
          <w:p w14:paraId="10834B56" w14:textId="77777777" w:rsidR="002D6400" w:rsidRPr="00B010A3" w:rsidRDefault="002D6400" w:rsidP="002D6400">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cell</w:t>
            </w:r>
          </w:p>
        </w:tc>
        <w:tc>
          <w:tcPr>
            <w:tcW w:w="812" w:type="dxa"/>
            <w:tcBorders>
              <w:top w:val="nil"/>
              <w:left w:val="nil"/>
              <w:bottom w:val="single" w:sz="4" w:space="0" w:color="auto"/>
              <w:right w:val="single" w:sz="4" w:space="0" w:color="auto"/>
            </w:tcBorders>
            <w:shd w:val="clear" w:color="auto" w:fill="auto"/>
            <w:noWrap/>
            <w:vAlign w:val="center"/>
            <w:hideMark/>
          </w:tcPr>
          <w:p w14:paraId="17EDDEA3" w14:textId="77777777" w:rsidR="002D6400" w:rsidRPr="00B010A3" w:rsidRDefault="002D6400" w:rsidP="002D6400">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Cell-specific</w:t>
            </w:r>
          </w:p>
        </w:tc>
        <w:tc>
          <w:tcPr>
            <w:tcW w:w="1263" w:type="dxa"/>
            <w:tcBorders>
              <w:top w:val="nil"/>
              <w:left w:val="nil"/>
              <w:bottom w:val="single" w:sz="4" w:space="0" w:color="auto"/>
              <w:right w:val="single" w:sz="4" w:space="0" w:color="auto"/>
            </w:tcBorders>
            <w:shd w:val="clear" w:color="auto" w:fill="auto"/>
            <w:noWrap/>
            <w:vAlign w:val="center"/>
            <w:hideMark/>
          </w:tcPr>
          <w:p w14:paraId="1B82D621" w14:textId="77777777" w:rsidR="002D6400" w:rsidRPr="00B010A3" w:rsidRDefault="002D6400" w:rsidP="002D6400">
            <w:pPr>
              <w:autoSpaceDE/>
              <w:autoSpaceDN/>
              <w:adjustRightInd/>
              <w:snapToGrid/>
              <w:spacing w:after="0"/>
              <w:jc w:val="left"/>
              <w:rPr>
                <w:rFonts w:eastAsia="Times New Roman"/>
                <w:color w:val="000000"/>
                <w:lang w:val="fr-FR" w:eastAsia="fr-FR"/>
              </w:rPr>
            </w:pPr>
            <w:r w:rsidRPr="00B010A3">
              <w:rPr>
                <w:rFonts w:eastAsia="Times New Roman"/>
                <w:color w:val="000000"/>
                <w:lang w:val="fr-FR" w:eastAsia="fr-FR"/>
              </w:rPr>
              <w:t>38.331</w:t>
            </w:r>
          </w:p>
        </w:tc>
        <w:tc>
          <w:tcPr>
            <w:tcW w:w="2129" w:type="dxa"/>
            <w:tcBorders>
              <w:top w:val="nil"/>
              <w:left w:val="nil"/>
              <w:bottom w:val="single" w:sz="4" w:space="0" w:color="auto"/>
              <w:right w:val="single" w:sz="4" w:space="0" w:color="auto"/>
            </w:tcBorders>
            <w:shd w:val="clear" w:color="auto" w:fill="auto"/>
            <w:vAlign w:val="center"/>
            <w:hideMark/>
          </w:tcPr>
          <w:p w14:paraId="055D6B56" w14:textId="77777777" w:rsidR="002D6400" w:rsidRPr="00B010A3" w:rsidRDefault="002D6400" w:rsidP="002D6400">
            <w:pPr>
              <w:autoSpaceDE/>
              <w:autoSpaceDN/>
              <w:adjustRightInd/>
              <w:snapToGrid/>
              <w:spacing w:after="0"/>
              <w:jc w:val="left"/>
              <w:rPr>
                <w:rFonts w:eastAsia="Times New Roman"/>
                <w:color w:val="000000"/>
                <w:lang w:eastAsia="fr-FR"/>
              </w:rPr>
            </w:pPr>
            <w:r w:rsidRPr="00B010A3">
              <w:rPr>
                <w:rFonts w:eastAsia="Times New Roman"/>
                <w:color w:val="000000"/>
                <w:lang w:eastAsia="fr-FR"/>
              </w:rPr>
              <w:t>The indicated polarization information refers to the polarization type used at satellite side for UL reception.</w:t>
            </w:r>
          </w:p>
        </w:tc>
        <w:tc>
          <w:tcPr>
            <w:tcW w:w="1530" w:type="dxa"/>
            <w:tcBorders>
              <w:top w:val="nil"/>
              <w:left w:val="nil"/>
              <w:bottom w:val="single" w:sz="4" w:space="0" w:color="auto"/>
              <w:right w:val="single" w:sz="4" w:space="0" w:color="auto"/>
            </w:tcBorders>
            <w:shd w:val="clear" w:color="auto" w:fill="auto"/>
            <w:noWrap/>
            <w:vAlign w:val="bottom"/>
            <w:hideMark/>
          </w:tcPr>
          <w:p w14:paraId="6BEB7052" w14:textId="77777777" w:rsidR="002D6400" w:rsidRPr="00B010A3" w:rsidRDefault="002D6400" w:rsidP="002D6400">
            <w:pPr>
              <w:autoSpaceDE/>
              <w:autoSpaceDN/>
              <w:adjustRightInd/>
              <w:snapToGrid/>
              <w:spacing w:after="0"/>
              <w:jc w:val="left"/>
              <w:rPr>
                <w:rFonts w:ascii="Calibri" w:eastAsia="Times New Roman" w:hAnsi="Calibri" w:cs="Calibri"/>
                <w:color w:val="00B050"/>
                <w:lang w:val="fr-FR" w:eastAsia="fr-FR"/>
              </w:rPr>
            </w:pPr>
            <w:r w:rsidRPr="00B010A3">
              <w:rPr>
                <w:rFonts w:ascii="Calibri" w:eastAsia="Times New Roman" w:hAnsi="Calibri" w:cs="Calibri"/>
                <w:color w:val="00B050"/>
                <w:lang w:val="fr-FR" w:eastAsia="fr-FR"/>
              </w:rPr>
              <w:t>Stable</w:t>
            </w:r>
          </w:p>
        </w:tc>
      </w:tr>
    </w:tbl>
    <w:p w14:paraId="7BD6BEAE" w14:textId="77777777" w:rsidR="002D6400" w:rsidRPr="002D6400" w:rsidRDefault="002D6400" w:rsidP="002D6400"/>
    <w:p w14:paraId="06BC5A3B" w14:textId="77777777" w:rsidR="00DD15F7" w:rsidRPr="00E61DEB" w:rsidRDefault="00DD15F7" w:rsidP="00DD15F7">
      <w:pPr>
        <w:pStyle w:val="Titre2"/>
        <w:rPr>
          <w:sz w:val="22"/>
        </w:rPr>
      </w:pPr>
      <w:bookmarkStart w:id="23" w:name="_Toc82188779"/>
      <w:r w:rsidRPr="00E61DEB">
        <w:rPr>
          <w:sz w:val="22"/>
        </w:rPr>
        <w:t>Company views</w:t>
      </w:r>
      <w:bookmarkEnd w:id="23"/>
      <w:r w:rsidRPr="00E61DEB">
        <w:rPr>
          <w:sz w:val="22"/>
        </w:rPr>
        <w:t xml:space="preserve"> </w:t>
      </w:r>
    </w:p>
    <w:p w14:paraId="06BC5A3C" w14:textId="1CBB4922" w:rsidR="003B5392" w:rsidRPr="00E61DEB" w:rsidRDefault="003B5392" w:rsidP="003B5392">
      <w:pPr>
        <w:pStyle w:val="DraftProposal"/>
        <w:numPr>
          <w:ilvl w:val="0"/>
          <w:numId w:val="0"/>
        </w:numPr>
        <w:rPr>
          <w:rFonts w:ascii="Times New Roman" w:hAnsi="Times New Roman" w:cs="Times New Roman"/>
          <w:b w:val="0"/>
        </w:rPr>
      </w:pPr>
      <w:r w:rsidRPr="00E61DEB">
        <w:rPr>
          <w:rFonts w:ascii="Times New Roman" w:eastAsiaTheme="minorEastAsia" w:hAnsi="Times New Roman" w:cs="Times New Roman"/>
          <w:b w:val="0"/>
          <w:bCs w:val="0"/>
          <w:highlight w:val="yellow"/>
        </w:rPr>
        <w:t>C</w:t>
      </w:r>
      <w:r w:rsidRPr="00E61DEB">
        <w:rPr>
          <w:rFonts w:ascii="Times New Roman" w:hAnsi="Times New Roman" w:cs="Times New Roman"/>
          <w:b w:val="0"/>
          <w:highlight w:val="yellow"/>
        </w:rPr>
        <w:t>ompanies are encouraged to provide comments within the following table:</w:t>
      </w:r>
    </w:p>
    <w:tbl>
      <w:tblPr>
        <w:tblStyle w:val="Grilledutableau"/>
        <w:tblW w:w="4973" w:type="pct"/>
        <w:tblLook w:val="04A0" w:firstRow="1" w:lastRow="0" w:firstColumn="1" w:lastColumn="0" w:noHBand="0" w:noVBand="1"/>
      </w:tblPr>
      <w:tblGrid>
        <w:gridCol w:w="3662"/>
        <w:gridCol w:w="16347"/>
      </w:tblGrid>
      <w:tr w:rsidR="00C15A1A" w:rsidRPr="00E61DEB" w14:paraId="571ECA81" w14:textId="77777777" w:rsidTr="007308A9">
        <w:tc>
          <w:tcPr>
            <w:tcW w:w="915" w:type="pct"/>
            <w:shd w:val="clear" w:color="auto" w:fill="00B0F0"/>
          </w:tcPr>
          <w:p w14:paraId="6132159D" w14:textId="77777777" w:rsidR="00C15A1A" w:rsidRPr="00E61DEB" w:rsidRDefault="00C15A1A" w:rsidP="007308A9">
            <w:pPr>
              <w:rPr>
                <w:b/>
                <w:color w:val="FFFFFF" w:themeColor="background1"/>
              </w:rPr>
            </w:pPr>
            <w:r w:rsidRPr="00E61DEB">
              <w:rPr>
                <w:b/>
                <w:color w:val="FFFFFF" w:themeColor="background1"/>
              </w:rPr>
              <w:t>Companies</w:t>
            </w:r>
          </w:p>
        </w:tc>
        <w:tc>
          <w:tcPr>
            <w:tcW w:w="4085" w:type="pct"/>
            <w:shd w:val="clear" w:color="auto" w:fill="00B0F0"/>
          </w:tcPr>
          <w:p w14:paraId="597420E5" w14:textId="77777777" w:rsidR="00C15A1A" w:rsidRPr="00E61DEB" w:rsidRDefault="00C15A1A" w:rsidP="007308A9">
            <w:pPr>
              <w:rPr>
                <w:b/>
                <w:color w:val="FFFFFF" w:themeColor="background1"/>
              </w:rPr>
            </w:pPr>
            <w:r w:rsidRPr="00E61DEB">
              <w:rPr>
                <w:b/>
                <w:color w:val="FFFFFF" w:themeColor="background1"/>
              </w:rPr>
              <w:t xml:space="preserve">Comments </w:t>
            </w:r>
          </w:p>
        </w:tc>
      </w:tr>
      <w:tr w:rsidR="00C15A1A" w:rsidRPr="00E61DEB" w14:paraId="38E74156" w14:textId="77777777" w:rsidTr="007308A9">
        <w:tc>
          <w:tcPr>
            <w:tcW w:w="915" w:type="pct"/>
          </w:tcPr>
          <w:p w14:paraId="534BA47C" w14:textId="63479728" w:rsidR="00C15A1A" w:rsidRPr="00E61DEB" w:rsidRDefault="00C15A1A" w:rsidP="007308A9">
            <w:pPr>
              <w:rPr>
                <w:bCs/>
                <w:lang w:eastAsia="zh-CN"/>
              </w:rPr>
            </w:pPr>
          </w:p>
        </w:tc>
        <w:tc>
          <w:tcPr>
            <w:tcW w:w="4085" w:type="pct"/>
          </w:tcPr>
          <w:p w14:paraId="17F1F8EC" w14:textId="45C9A18E" w:rsidR="00C15A1A" w:rsidRPr="00512287" w:rsidRDefault="00C15A1A" w:rsidP="00512287">
            <w:pPr>
              <w:rPr>
                <w:bCs/>
              </w:rPr>
            </w:pPr>
          </w:p>
        </w:tc>
      </w:tr>
      <w:tr w:rsidR="00C15A1A" w:rsidRPr="00E61DEB" w14:paraId="30621AF2" w14:textId="77777777" w:rsidTr="007308A9">
        <w:tc>
          <w:tcPr>
            <w:tcW w:w="915" w:type="pct"/>
          </w:tcPr>
          <w:p w14:paraId="1AC264A6" w14:textId="34AB4A10" w:rsidR="00C15A1A" w:rsidRPr="00E61DEB" w:rsidRDefault="00C15A1A" w:rsidP="007308A9">
            <w:pPr>
              <w:rPr>
                <w:bCs/>
                <w:lang w:eastAsia="zh-CN"/>
              </w:rPr>
            </w:pPr>
          </w:p>
        </w:tc>
        <w:tc>
          <w:tcPr>
            <w:tcW w:w="4085" w:type="pct"/>
          </w:tcPr>
          <w:p w14:paraId="2E9BF711" w14:textId="4C7EB9D0" w:rsidR="00C15A1A" w:rsidRPr="00E61DEB" w:rsidRDefault="00C15A1A" w:rsidP="006F5357">
            <w:pPr>
              <w:shd w:val="clear" w:color="auto" w:fill="FFFFFF"/>
              <w:autoSpaceDE/>
              <w:autoSpaceDN/>
              <w:adjustRightInd/>
              <w:snapToGrid/>
              <w:spacing w:after="0" w:line="300" w:lineRule="atLeast"/>
              <w:rPr>
                <w:rFonts w:eastAsiaTheme="minorHAnsi"/>
                <w:bCs/>
              </w:rPr>
            </w:pPr>
          </w:p>
        </w:tc>
      </w:tr>
      <w:tr w:rsidR="00276BE9" w:rsidRPr="00E61DEB" w14:paraId="4D09A041" w14:textId="77777777" w:rsidTr="007308A9">
        <w:tc>
          <w:tcPr>
            <w:tcW w:w="915" w:type="pct"/>
          </w:tcPr>
          <w:p w14:paraId="3EB0929A" w14:textId="37B8E5E5" w:rsidR="00276BE9" w:rsidRPr="00E61DEB" w:rsidRDefault="00276BE9" w:rsidP="007308A9">
            <w:pPr>
              <w:rPr>
                <w:rFonts w:eastAsiaTheme="minorHAnsi"/>
                <w:bCs/>
              </w:rPr>
            </w:pPr>
          </w:p>
        </w:tc>
        <w:tc>
          <w:tcPr>
            <w:tcW w:w="4085" w:type="pct"/>
          </w:tcPr>
          <w:p w14:paraId="16F4EBE0" w14:textId="2A451810" w:rsidR="00276BE9" w:rsidRPr="00E61DEB" w:rsidRDefault="00276BE9" w:rsidP="007308A9">
            <w:pPr>
              <w:pStyle w:val="Paragraphedeliste"/>
              <w:adjustRightInd w:val="0"/>
              <w:snapToGrid w:val="0"/>
              <w:spacing w:after="120"/>
              <w:ind w:left="0"/>
              <w:rPr>
                <w:rFonts w:eastAsiaTheme="minorHAnsi" w:cs="Times New Roman"/>
                <w:bCs/>
                <w:szCs w:val="22"/>
              </w:rPr>
            </w:pPr>
          </w:p>
        </w:tc>
      </w:tr>
      <w:tr w:rsidR="0004452E" w:rsidRPr="00E61DEB" w14:paraId="4BCDBEF6" w14:textId="77777777" w:rsidTr="007308A9">
        <w:tc>
          <w:tcPr>
            <w:tcW w:w="915" w:type="pct"/>
          </w:tcPr>
          <w:p w14:paraId="7DEA8A14" w14:textId="164E41E9" w:rsidR="0004452E" w:rsidRPr="00E61DEB" w:rsidRDefault="0004452E" w:rsidP="007308A9">
            <w:pPr>
              <w:rPr>
                <w:bCs/>
                <w:lang w:eastAsia="zh-CN"/>
              </w:rPr>
            </w:pPr>
          </w:p>
        </w:tc>
        <w:tc>
          <w:tcPr>
            <w:tcW w:w="4085" w:type="pct"/>
          </w:tcPr>
          <w:p w14:paraId="29C02810" w14:textId="4B5851FD" w:rsidR="0004452E" w:rsidRPr="00E61DEB" w:rsidRDefault="0004452E" w:rsidP="007308A9">
            <w:pPr>
              <w:pStyle w:val="Paragraphedeliste"/>
              <w:adjustRightInd w:val="0"/>
              <w:snapToGrid w:val="0"/>
              <w:spacing w:after="120"/>
              <w:ind w:left="0"/>
              <w:rPr>
                <w:rFonts w:cs="Times New Roman"/>
                <w:bCs/>
                <w:szCs w:val="22"/>
              </w:rPr>
            </w:pPr>
          </w:p>
        </w:tc>
      </w:tr>
      <w:tr w:rsidR="0004452E" w:rsidRPr="00E61DEB" w14:paraId="50238FE8" w14:textId="77777777" w:rsidTr="007308A9">
        <w:tc>
          <w:tcPr>
            <w:tcW w:w="915" w:type="pct"/>
          </w:tcPr>
          <w:p w14:paraId="2D9E3994" w14:textId="534349CE" w:rsidR="0004452E" w:rsidRPr="00E61DEB" w:rsidRDefault="0004452E" w:rsidP="007308A9">
            <w:pPr>
              <w:rPr>
                <w:rFonts w:eastAsiaTheme="minorHAnsi"/>
                <w:bCs/>
              </w:rPr>
            </w:pPr>
          </w:p>
        </w:tc>
        <w:tc>
          <w:tcPr>
            <w:tcW w:w="4085" w:type="pct"/>
          </w:tcPr>
          <w:p w14:paraId="2A13AEBF" w14:textId="77777777" w:rsidR="0004452E" w:rsidRPr="00E61DEB" w:rsidRDefault="0004452E" w:rsidP="007308A9">
            <w:pPr>
              <w:pStyle w:val="Paragraphedeliste"/>
              <w:adjustRightInd w:val="0"/>
              <w:snapToGrid w:val="0"/>
              <w:spacing w:after="120"/>
              <w:ind w:left="0"/>
              <w:rPr>
                <w:rFonts w:cs="Times New Roman"/>
                <w:bCs/>
                <w:szCs w:val="22"/>
              </w:rPr>
            </w:pPr>
          </w:p>
        </w:tc>
      </w:tr>
      <w:tr w:rsidR="0004452E" w:rsidRPr="00E61DEB" w14:paraId="56332BD9" w14:textId="77777777" w:rsidTr="007308A9">
        <w:tc>
          <w:tcPr>
            <w:tcW w:w="915" w:type="pct"/>
          </w:tcPr>
          <w:p w14:paraId="4D820582" w14:textId="77777777" w:rsidR="0004452E" w:rsidRPr="00E61DEB" w:rsidRDefault="0004452E" w:rsidP="007308A9">
            <w:pPr>
              <w:rPr>
                <w:rFonts w:eastAsiaTheme="minorHAnsi"/>
                <w:bCs/>
              </w:rPr>
            </w:pPr>
          </w:p>
        </w:tc>
        <w:tc>
          <w:tcPr>
            <w:tcW w:w="4085" w:type="pct"/>
          </w:tcPr>
          <w:p w14:paraId="101A2612" w14:textId="77777777" w:rsidR="0004452E" w:rsidRPr="00E61DEB" w:rsidRDefault="0004452E" w:rsidP="007308A9">
            <w:pPr>
              <w:pStyle w:val="Paragraphedeliste"/>
              <w:adjustRightInd w:val="0"/>
              <w:snapToGrid w:val="0"/>
              <w:spacing w:after="120"/>
              <w:ind w:left="0"/>
              <w:rPr>
                <w:rFonts w:cs="Times New Roman"/>
                <w:bCs/>
                <w:szCs w:val="22"/>
              </w:rPr>
            </w:pPr>
          </w:p>
        </w:tc>
      </w:tr>
    </w:tbl>
    <w:p w14:paraId="57F15AB7" w14:textId="77777777" w:rsidR="00C15A1A" w:rsidRPr="00E61DEB" w:rsidRDefault="00C15A1A" w:rsidP="00C15A1A"/>
    <w:p w14:paraId="06BC5A49" w14:textId="77777777" w:rsidR="007D253F" w:rsidRPr="00E61DEB" w:rsidRDefault="007D253F" w:rsidP="007D253F"/>
    <w:p w14:paraId="574D7AC3" w14:textId="38D1FF7D" w:rsidR="002D06C1" w:rsidRPr="00E61DEB" w:rsidRDefault="002D06C1" w:rsidP="00CF141D">
      <w:pPr>
        <w:pStyle w:val="Titre2"/>
        <w:keepLines/>
        <w:numPr>
          <w:ilvl w:val="1"/>
          <w:numId w:val="11"/>
        </w:numPr>
        <w:tabs>
          <w:tab w:val="clear" w:pos="576"/>
          <w:tab w:val="left" w:pos="1143"/>
          <w:tab w:val="left" w:pos="1992"/>
        </w:tabs>
        <w:autoSpaceDE/>
        <w:autoSpaceDN/>
        <w:adjustRightInd/>
        <w:snapToGrid/>
        <w:spacing w:before="180" w:after="180"/>
        <w:jc w:val="left"/>
        <w:rPr>
          <w:sz w:val="22"/>
        </w:rPr>
      </w:pPr>
      <w:bookmarkStart w:id="24" w:name="_Toc82188780"/>
      <w:r w:rsidRPr="00E61DEB">
        <w:rPr>
          <w:sz w:val="22"/>
        </w:rPr>
        <w:t>Updated list of RRC parameters based on company views (First round of email discussions)</w:t>
      </w:r>
      <w:bookmarkEnd w:id="24"/>
    </w:p>
    <w:tbl>
      <w:tblPr>
        <w:tblW w:w="5000" w:type="pct"/>
        <w:tblLook w:val="04A0" w:firstRow="1" w:lastRow="0" w:firstColumn="1" w:lastColumn="0" w:noHBand="0" w:noVBand="1"/>
      </w:tblPr>
      <w:tblGrid>
        <w:gridCol w:w="5165"/>
        <w:gridCol w:w="2297"/>
        <w:gridCol w:w="3066"/>
        <w:gridCol w:w="894"/>
        <w:gridCol w:w="958"/>
        <w:gridCol w:w="1340"/>
        <w:gridCol w:w="1461"/>
        <w:gridCol w:w="4937"/>
      </w:tblGrid>
      <w:tr w:rsidR="005B35E2" w:rsidRPr="005B35E2" w14:paraId="5545F11B" w14:textId="77777777" w:rsidTr="005B35E2">
        <w:trPr>
          <w:trHeight w:val="900"/>
        </w:trPr>
        <w:tc>
          <w:tcPr>
            <w:tcW w:w="1284"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10F574CA" w14:textId="77777777" w:rsidR="005B35E2" w:rsidRPr="005B35E2" w:rsidRDefault="005B35E2" w:rsidP="005B35E2">
            <w:pPr>
              <w:autoSpaceDE/>
              <w:autoSpaceDN/>
              <w:adjustRightInd/>
              <w:snapToGrid/>
              <w:spacing w:after="0"/>
              <w:jc w:val="left"/>
              <w:rPr>
                <w:rFonts w:ascii="Arial" w:eastAsia="Times New Roman" w:hAnsi="Arial" w:cs="Arial"/>
                <w:b/>
                <w:bCs/>
                <w:color w:val="FFFFFF"/>
                <w:sz w:val="20"/>
                <w:szCs w:val="20"/>
              </w:rPr>
            </w:pPr>
            <w:r w:rsidRPr="005B35E2">
              <w:rPr>
                <w:rFonts w:ascii="Arial" w:eastAsia="Times New Roman" w:hAnsi="Arial" w:cs="Arial"/>
                <w:b/>
                <w:bCs/>
                <w:color w:val="FFFFFF"/>
                <w:sz w:val="20"/>
                <w:szCs w:val="20"/>
              </w:rPr>
              <w:t>Parameter name in the text</w:t>
            </w:r>
          </w:p>
        </w:tc>
        <w:tc>
          <w:tcPr>
            <w:tcW w:w="571" w:type="pct"/>
            <w:tcBorders>
              <w:top w:val="single" w:sz="4" w:space="0" w:color="auto"/>
              <w:left w:val="nil"/>
              <w:bottom w:val="single" w:sz="4" w:space="0" w:color="auto"/>
              <w:right w:val="single" w:sz="4" w:space="0" w:color="auto"/>
            </w:tcBorders>
            <w:shd w:val="clear" w:color="000000" w:fill="00B0F0"/>
            <w:vAlign w:val="center"/>
            <w:hideMark/>
          </w:tcPr>
          <w:p w14:paraId="338E1704" w14:textId="77777777" w:rsidR="005B35E2" w:rsidRPr="005B35E2" w:rsidRDefault="005B35E2" w:rsidP="005B35E2">
            <w:pPr>
              <w:autoSpaceDE/>
              <w:autoSpaceDN/>
              <w:adjustRightInd/>
              <w:snapToGrid/>
              <w:spacing w:after="0"/>
              <w:jc w:val="left"/>
              <w:rPr>
                <w:rFonts w:ascii="Arial" w:eastAsia="Times New Roman" w:hAnsi="Arial" w:cs="Arial"/>
                <w:b/>
                <w:bCs/>
                <w:color w:val="FFFFFF"/>
                <w:sz w:val="20"/>
                <w:szCs w:val="20"/>
              </w:rPr>
            </w:pPr>
            <w:r w:rsidRPr="005B35E2">
              <w:rPr>
                <w:rFonts w:ascii="Arial" w:eastAsia="Times New Roman" w:hAnsi="Arial" w:cs="Arial"/>
                <w:b/>
                <w:bCs/>
                <w:color w:val="FFFFFF"/>
                <w:sz w:val="20"/>
                <w:szCs w:val="20"/>
              </w:rPr>
              <w:t>Description</w:t>
            </w:r>
          </w:p>
        </w:tc>
        <w:tc>
          <w:tcPr>
            <w:tcW w:w="762" w:type="pct"/>
            <w:tcBorders>
              <w:top w:val="single" w:sz="4" w:space="0" w:color="auto"/>
              <w:left w:val="nil"/>
              <w:bottom w:val="single" w:sz="4" w:space="0" w:color="auto"/>
              <w:right w:val="single" w:sz="4" w:space="0" w:color="auto"/>
            </w:tcBorders>
            <w:shd w:val="clear" w:color="000000" w:fill="00B0F0"/>
            <w:vAlign w:val="center"/>
            <w:hideMark/>
          </w:tcPr>
          <w:p w14:paraId="6D15BFAE" w14:textId="77777777" w:rsidR="005B35E2" w:rsidRPr="005B35E2" w:rsidRDefault="005B35E2" w:rsidP="005B35E2">
            <w:pPr>
              <w:autoSpaceDE/>
              <w:autoSpaceDN/>
              <w:adjustRightInd/>
              <w:snapToGrid/>
              <w:spacing w:after="0"/>
              <w:jc w:val="left"/>
              <w:rPr>
                <w:rFonts w:ascii="Arial" w:eastAsia="Times New Roman" w:hAnsi="Arial" w:cs="Arial"/>
                <w:b/>
                <w:bCs/>
                <w:color w:val="FFFFFF"/>
                <w:sz w:val="20"/>
                <w:szCs w:val="20"/>
              </w:rPr>
            </w:pPr>
            <w:r w:rsidRPr="005B35E2">
              <w:rPr>
                <w:rFonts w:ascii="Arial" w:eastAsia="Times New Roman" w:hAnsi="Arial" w:cs="Arial"/>
                <w:b/>
                <w:bCs/>
                <w:color w:val="FFFFFF"/>
                <w:sz w:val="20"/>
                <w:szCs w:val="20"/>
              </w:rPr>
              <w:t>Value range</w:t>
            </w:r>
          </w:p>
        </w:tc>
        <w:tc>
          <w:tcPr>
            <w:tcW w:w="222" w:type="pct"/>
            <w:tcBorders>
              <w:top w:val="single" w:sz="4" w:space="0" w:color="auto"/>
              <w:left w:val="nil"/>
              <w:bottom w:val="single" w:sz="4" w:space="0" w:color="auto"/>
              <w:right w:val="single" w:sz="4" w:space="0" w:color="auto"/>
            </w:tcBorders>
            <w:shd w:val="clear" w:color="000000" w:fill="00B0F0"/>
            <w:vAlign w:val="center"/>
            <w:hideMark/>
          </w:tcPr>
          <w:p w14:paraId="76675E22" w14:textId="77777777" w:rsidR="005B35E2" w:rsidRPr="005B35E2" w:rsidRDefault="005B35E2" w:rsidP="005B35E2">
            <w:pPr>
              <w:autoSpaceDE/>
              <w:autoSpaceDN/>
              <w:adjustRightInd/>
              <w:snapToGrid/>
              <w:spacing w:after="0"/>
              <w:jc w:val="left"/>
              <w:rPr>
                <w:rFonts w:ascii="Arial" w:eastAsia="Times New Roman" w:hAnsi="Arial" w:cs="Arial"/>
                <w:b/>
                <w:bCs/>
                <w:color w:val="FFFFFF"/>
                <w:sz w:val="20"/>
                <w:szCs w:val="20"/>
              </w:rPr>
            </w:pPr>
            <w:r w:rsidRPr="005B35E2">
              <w:rPr>
                <w:rFonts w:ascii="Arial" w:eastAsia="Times New Roman" w:hAnsi="Arial" w:cs="Arial"/>
                <w:b/>
                <w:bCs/>
                <w:color w:val="FFFFFF"/>
                <w:sz w:val="20"/>
                <w:szCs w:val="20"/>
              </w:rPr>
              <w:t>Default value aspect</w:t>
            </w:r>
          </w:p>
        </w:tc>
        <w:tc>
          <w:tcPr>
            <w:tcW w:w="238" w:type="pct"/>
            <w:tcBorders>
              <w:top w:val="single" w:sz="4" w:space="0" w:color="auto"/>
              <w:left w:val="nil"/>
              <w:bottom w:val="single" w:sz="4" w:space="0" w:color="auto"/>
              <w:right w:val="single" w:sz="4" w:space="0" w:color="auto"/>
            </w:tcBorders>
            <w:shd w:val="clear" w:color="000000" w:fill="00B0F0"/>
            <w:vAlign w:val="center"/>
            <w:hideMark/>
          </w:tcPr>
          <w:p w14:paraId="76933C27" w14:textId="77777777" w:rsidR="005B35E2" w:rsidRPr="005B35E2" w:rsidRDefault="005B35E2" w:rsidP="005B35E2">
            <w:pPr>
              <w:autoSpaceDE/>
              <w:autoSpaceDN/>
              <w:adjustRightInd/>
              <w:snapToGrid/>
              <w:spacing w:after="0"/>
              <w:jc w:val="left"/>
              <w:rPr>
                <w:rFonts w:ascii="Arial" w:eastAsia="Times New Roman" w:hAnsi="Arial" w:cs="Arial"/>
                <w:b/>
                <w:bCs/>
                <w:color w:val="FFFFFF"/>
                <w:sz w:val="20"/>
                <w:szCs w:val="20"/>
              </w:rPr>
            </w:pPr>
            <w:r w:rsidRPr="005B35E2">
              <w:rPr>
                <w:rFonts w:ascii="Arial" w:eastAsia="Times New Roman" w:hAnsi="Arial" w:cs="Arial"/>
                <w:b/>
                <w:bCs/>
                <w:color w:val="FFFFFF"/>
                <w:sz w:val="20"/>
                <w:szCs w:val="20"/>
              </w:rPr>
              <w:t>Per (UE, cell, TRP, …)</w:t>
            </w:r>
          </w:p>
        </w:tc>
        <w:tc>
          <w:tcPr>
            <w:tcW w:w="333" w:type="pct"/>
            <w:tcBorders>
              <w:top w:val="single" w:sz="4" w:space="0" w:color="auto"/>
              <w:left w:val="nil"/>
              <w:bottom w:val="single" w:sz="4" w:space="0" w:color="auto"/>
              <w:right w:val="single" w:sz="4" w:space="0" w:color="auto"/>
            </w:tcBorders>
            <w:shd w:val="clear" w:color="000000" w:fill="00B0F0"/>
            <w:vAlign w:val="center"/>
            <w:hideMark/>
          </w:tcPr>
          <w:p w14:paraId="0977A37A" w14:textId="77777777" w:rsidR="005B35E2" w:rsidRPr="005B35E2" w:rsidRDefault="005B35E2" w:rsidP="005B35E2">
            <w:pPr>
              <w:autoSpaceDE/>
              <w:autoSpaceDN/>
              <w:adjustRightInd/>
              <w:snapToGrid/>
              <w:spacing w:after="0"/>
              <w:jc w:val="left"/>
              <w:rPr>
                <w:rFonts w:ascii="Arial" w:eastAsia="Times New Roman" w:hAnsi="Arial" w:cs="Arial"/>
                <w:b/>
                <w:bCs/>
                <w:color w:val="FFFFFF"/>
                <w:sz w:val="20"/>
                <w:szCs w:val="20"/>
              </w:rPr>
            </w:pPr>
            <w:r w:rsidRPr="005B35E2">
              <w:rPr>
                <w:rFonts w:ascii="Arial" w:eastAsia="Times New Roman" w:hAnsi="Arial" w:cs="Arial"/>
                <w:b/>
                <w:bCs/>
                <w:color w:val="FFFFFF"/>
                <w:sz w:val="20"/>
                <w:szCs w:val="20"/>
              </w:rPr>
              <w:t>UE-specific or Cell-specific</w:t>
            </w:r>
          </w:p>
        </w:tc>
        <w:tc>
          <w:tcPr>
            <w:tcW w:w="363" w:type="pct"/>
            <w:tcBorders>
              <w:top w:val="single" w:sz="4" w:space="0" w:color="auto"/>
              <w:left w:val="nil"/>
              <w:bottom w:val="single" w:sz="4" w:space="0" w:color="auto"/>
              <w:right w:val="single" w:sz="4" w:space="0" w:color="auto"/>
            </w:tcBorders>
            <w:shd w:val="clear" w:color="000000" w:fill="00B0F0"/>
            <w:vAlign w:val="center"/>
            <w:hideMark/>
          </w:tcPr>
          <w:p w14:paraId="4DC723CF" w14:textId="77777777" w:rsidR="005B35E2" w:rsidRPr="005B35E2" w:rsidRDefault="005B35E2" w:rsidP="005B35E2">
            <w:pPr>
              <w:autoSpaceDE/>
              <w:autoSpaceDN/>
              <w:adjustRightInd/>
              <w:snapToGrid/>
              <w:spacing w:after="0"/>
              <w:jc w:val="left"/>
              <w:rPr>
                <w:rFonts w:ascii="Arial" w:eastAsia="Times New Roman" w:hAnsi="Arial" w:cs="Arial"/>
                <w:b/>
                <w:bCs/>
                <w:color w:val="FFFFFF"/>
                <w:sz w:val="20"/>
                <w:szCs w:val="20"/>
              </w:rPr>
            </w:pPr>
            <w:r w:rsidRPr="005B35E2">
              <w:rPr>
                <w:rFonts w:ascii="Arial" w:eastAsia="Times New Roman" w:hAnsi="Arial" w:cs="Arial"/>
                <w:b/>
                <w:bCs/>
                <w:color w:val="FFFFFF"/>
                <w:sz w:val="20"/>
                <w:szCs w:val="20"/>
              </w:rPr>
              <w:t>Specification</w:t>
            </w:r>
          </w:p>
        </w:tc>
        <w:tc>
          <w:tcPr>
            <w:tcW w:w="1227" w:type="pct"/>
            <w:tcBorders>
              <w:top w:val="single" w:sz="4" w:space="0" w:color="auto"/>
              <w:left w:val="nil"/>
              <w:bottom w:val="single" w:sz="4" w:space="0" w:color="auto"/>
              <w:right w:val="single" w:sz="4" w:space="0" w:color="auto"/>
            </w:tcBorders>
            <w:shd w:val="clear" w:color="000000" w:fill="00B0F0"/>
            <w:vAlign w:val="center"/>
            <w:hideMark/>
          </w:tcPr>
          <w:p w14:paraId="6BB5A7A5" w14:textId="77777777" w:rsidR="005B35E2" w:rsidRPr="005B35E2" w:rsidRDefault="005B35E2" w:rsidP="005B35E2">
            <w:pPr>
              <w:autoSpaceDE/>
              <w:autoSpaceDN/>
              <w:adjustRightInd/>
              <w:snapToGrid/>
              <w:spacing w:after="0"/>
              <w:jc w:val="left"/>
              <w:rPr>
                <w:rFonts w:ascii="Arial" w:eastAsia="Times New Roman" w:hAnsi="Arial" w:cs="Arial"/>
                <w:b/>
                <w:bCs/>
                <w:color w:val="FFFFFF"/>
                <w:sz w:val="20"/>
                <w:szCs w:val="20"/>
              </w:rPr>
            </w:pPr>
            <w:r w:rsidRPr="005B35E2">
              <w:rPr>
                <w:rFonts w:ascii="Arial" w:eastAsia="Times New Roman" w:hAnsi="Arial" w:cs="Arial"/>
                <w:b/>
                <w:bCs/>
                <w:color w:val="FFFFFF"/>
                <w:sz w:val="20"/>
                <w:szCs w:val="20"/>
              </w:rPr>
              <w:t>Comment</w:t>
            </w:r>
          </w:p>
        </w:tc>
      </w:tr>
      <w:tr w:rsidR="005B35E2" w:rsidRPr="005B35E2" w14:paraId="4135D79F" w14:textId="77777777" w:rsidTr="005B35E2">
        <w:trPr>
          <w:trHeight w:val="840"/>
        </w:trPr>
        <w:tc>
          <w:tcPr>
            <w:tcW w:w="1284" w:type="pct"/>
            <w:tcBorders>
              <w:top w:val="nil"/>
              <w:left w:val="single" w:sz="4" w:space="0" w:color="auto"/>
              <w:bottom w:val="single" w:sz="4" w:space="0" w:color="auto"/>
              <w:right w:val="single" w:sz="4" w:space="0" w:color="auto"/>
            </w:tcBorders>
            <w:shd w:val="clear" w:color="auto" w:fill="auto"/>
            <w:noWrap/>
            <w:vAlign w:val="center"/>
            <w:hideMark/>
          </w:tcPr>
          <w:p w14:paraId="2E95B32A" w14:textId="77777777" w:rsidR="005B35E2" w:rsidRPr="005B35E2" w:rsidRDefault="005B35E2" w:rsidP="005B35E2">
            <w:pPr>
              <w:autoSpaceDE/>
              <w:autoSpaceDN/>
              <w:adjustRightInd/>
              <w:snapToGrid/>
              <w:spacing w:after="0"/>
              <w:jc w:val="left"/>
              <w:rPr>
                <w:rFonts w:ascii="Arial" w:eastAsia="Times New Roman" w:hAnsi="Arial" w:cs="Arial"/>
                <w:color w:val="000000"/>
                <w:sz w:val="18"/>
                <w:szCs w:val="18"/>
              </w:rPr>
            </w:pPr>
            <w:r w:rsidRPr="005B35E2">
              <w:rPr>
                <w:rFonts w:ascii="Arial" w:eastAsia="Times New Roman" w:hAnsi="Arial" w:cs="Arial"/>
                <w:color w:val="000000"/>
                <w:sz w:val="18"/>
                <w:szCs w:val="18"/>
              </w:rPr>
              <w:t>ntnPolarizationDL</w:t>
            </w:r>
          </w:p>
        </w:tc>
        <w:tc>
          <w:tcPr>
            <w:tcW w:w="571" w:type="pct"/>
            <w:tcBorders>
              <w:top w:val="nil"/>
              <w:left w:val="nil"/>
              <w:bottom w:val="single" w:sz="4" w:space="0" w:color="auto"/>
              <w:right w:val="single" w:sz="4" w:space="0" w:color="auto"/>
            </w:tcBorders>
            <w:shd w:val="clear" w:color="auto" w:fill="auto"/>
            <w:vAlign w:val="center"/>
            <w:hideMark/>
          </w:tcPr>
          <w:p w14:paraId="40070DE7" w14:textId="77777777" w:rsidR="005B35E2" w:rsidRPr="005B35E2" w:rsidRDefault="005B35E2" w:rsidP="005B35E2">
            <w:pPr>
              <w:autoSpaceDE/>
              <w:autoSpaceDN/>
              <w:adjustRightInd/>
              <w:snapToGrid/>
              <w:spacing w:after="0"/>
              <w:jc w:val="left"/>
              <w:rPr>
                <w:rFonts w:ascii="Arial" w:eastAsia="Times New Roman" w:hAnsi="Arial" w:cs="Arial"/>
                <w:color w:val="000000"/>
                <w:sz w:val="18"/>
                <w:szCs w:val="18"/>
              </w:rPr>
            </w:pPr>
            <w:r w:rsidRPr="005B35E2">
              <w:rPr>
                <w:rFonts w:ascii="Arial" w:eastAsia="Times New Roman" w:hAnsi="Arial" w:cs="Arial"/>
                <w:color w:val="000000"/>
                <w:sz w:val="18"/>
                <w:szCs w:val="18"/>
              </w:rPr>
              <w:t>If present, this parameter indicates polarization information for Downlink transmission on service link: including Right hand, Left hand circular polarizations (RHCP, LHCP) and Linear polarization</w:t>
            </w:r>
          </w:p>
        </w:tc>
        <w:tc>
          <w:tcPr>
            <w:tcW w:w="762" w:type="pct"/>
            <w:tcBorders>
              <w:top w:val="nil"/>
              <w:left w:val="nil"/>
              <w:bottom w:val="single" w:sz="4" w:space="0" w:color="auto"/>
              <w:right w:val="single" w:sz="4" w:space="0" w:color="auto"/>
            </w:tcBorders>
            <w:shd w:val="clear" w:color="auto" w:fill="auto"/>
            <w:noWrap/>
            <w:vAlign w:val="center"/>
            <w:hideMark/>
          </w:tcPr>
          <w:p w14:paraId="69AD20DF" w14:textId="77777777" w:rsidR="005B35E2" w:rsidRPr="005B35E2" w:rsidRDefault="005B35E2" w:rsidP="005B35E2">
            <w:pPr>
              <w:autoSpaceDE/>
              <w:autoSpaceDN/>
              <w:adjustRightInd/>
              <w:snapToGrid/>
              <w:spacing w:after="0"/>
              <w:jc w:val="left"/>
              <w:rPr>
                <w:rFonts w:eastAsia="Times New Roman"/>
                <w:color w:val="000000"/>
              </w:rPr>
            </w:pPr>
            <w:r w:rsidRPr="005B35E2">
              <w:rPr>
                <w:rFonts w:eastAsia="Times New Roman"/>
                <w:color w:val="000000"/>
              </w:rPr>
              <w:t>{RHCP, LHCP, Linear }</w:t>
            </w:r>
          </w:p>
        </w:tc>
        <w:tc>
          <w:tcPr>
            <w:tcW w:w="222" w:type="pct"/>
            <w:tcBorders>
              <w:top w:val="nil"/>
              <w:left w:val="nil"/>
              <w:bottom w:val="single" w:sz="4" w:space="0" w:color="auto"/>
              <w:right w:val="single" w:sz="4" w:space="0" w:color="auto"/>
            </w:tcBorders>
            <w:shd w:val="clear" w:color="auto" w:fill="auto"/>
            <w:noWrap/>
            <w:vAlign w:val="center"/>
            <w:hideMark/>
          </w:tcPr>
          <w:p w14:paraId="31D2EF91" w14:textId="77777777" w:rsidR="005B35E2" w:rsidRPr="005B35E2" w:rsidRDefault="005B35E2" w:rsidP="005B35E2">
            <w:pPr>
              <w:autoSpaceDE/>
              <w:autoSpaceDN/>
              <w:adjustRightInd/>
              <w:snapToGrid/>
              <w:spacing w:after="0"/>
              <w:jc w:val="left"/>
              <w:rPr>
                <w:rFonts w:eastAsia="Times New Roman"/>
                <w:color w:val="000000"/>
              </w:rPr>
            </w:pPr>
            <w:r w:rsidRPr="005B35E2">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043D5E61" w14:textId="77777777" w:rsidR="005B35E2" w:rsidRPr="005B35E2" w:rsidRDefault="005B35E2" w:rsidP="005B35E2">
            <w:pPr>
              <w:autoSpaceDE/>
              <w:autoSpaceDN/>
              <w:adjustRightInd/>
              <w:snapToGrid/>
              <w:spacing w:after="0"/>
              <w:jc w:val="left"/>
              <w:rPr>
                <w:rFonts w:eastAsia="Times New Roman"/>
                <w:color w:val="000000"/>
              </w:rPr>
            </w:pPr>
            <w:r w:rsidRPr="005B35E2">
              <w:rPr>
                <w:rFonts w:eastAsia="Times New Roman"/>
                <w:color w:val="000000"/>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415A5467" w14:textId="77777777" w:rsidR="005B35E2" w:rsidRPr="005B35E2" w:rsidRDefault="005B35E2" w:rsidP="005B35E2">
            <w:pPr>
              <w:autoSpaceDE/>
              <w:autoSpaceDN/>
              <w:adjustRightInd/>
              <w:snapToGrid/>
              <w:spacing w:after="0"/>
              <w:jc w:val="left"/>
              <w:rPr>
                <w:rFonts w:eastAsia="Times New Roman"/>
                <w:color w:val="000000"/>
              </w:rPr>
            </w:pPr>
            <w:r w:rsidRPr="005B35E2">
              <w:rPr>
                <w:rFonts w:eastAsia="Times New Roman"/>
                <w:color w:val="000000"/>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4164D0DB" w14:textId="77777777" w:rsidR="005B35E2" w:rsidRPr="005B35E2" w:rsidRDefault="005B35E2" w:rsidP="005B35E2">
            <w:pPr>
              <w:autoSpaceDE/>
              <w:autoSpaceDN/>
              <w:adjustRightInd/>
              <w:snapToGrid/>
              <w:spacing w:after="0"/>
              <w:jc w:val="left"/>
              <w:rPr>
                <w:rFonts w:eastAsia="Times New Roman"/>
                <w:color w:val="000000"/>
              </w:rPr>
            </w:pPr>
            <w:r w:rsidRPr="005B35E2">
              <w:rPr>
                <w:rFonts w:eastAsia="Times New Roman"/>
                <w:color w:val="000000"/>
              </w:rPr>
              <w:t>38.331</w:t>
            </w:r>
          </w:p>
        </w:tc>
        <w:tc>
          <w:tcPr>
            <w:tcW w:w="1227" w:type="pct"/>
            <w:tcBorders>
              <w:top w:val="nil"/>
              <w:left w:val="nil"/>
              <w:bottom w:val="single" w:sz="4" w:space="0" w:color="auto"/>
              <w:right w:val="single" w:sz="4" w:space="0" w:color="auto"/>
            </w:tcBorders>
            <w:shd w:val="clear" w:color="auto" w:fill="auto"/>
            <w:vAlign w:val="center"/>
            <w:hideMark/>
          </w:tcPr>
          <w:p w14:paraId="53AD2871" w14:textId="77777777" w:rsidR="005B35E2" w:rsidRPr="005B35E2" w:rsidRDefault="005B35E2" w:rsidP="005B35E2">
            <w:pPr>
              <w:autoSpaceDE/>
              <w:autoSpaceDN/>
              <w:adjustRightInd/>
              <w:snapToGrid/>
              <w:spacing w:after="0"/>
              <w:jc w:val="left"/>
              <w:rPr>
                <w:rFonts w:eastAsia="Times New Roman"/>
                <w:color w:val="000000"/>
              </w:rPr>
            </w:pPr>
            <w:r w:rsidRPr="005B35E2">
              <w:rPr>
                <w:rFonts w:eastAsia="Times New Roman"/>
                <w:color w:val="000000"/>
              </w:rPr>
              <w:t xml:space="preserve">The indicated polarization information refers to the polarization type used at satellite side for DL transmission. </w:t>
            </w:r>
          </w:p>
        </w:tc>
      </w:tr>
      <w:tr w:rsidR="005B35E2" w:rsidRPr="005B35E2" w14:paraId="6AFB5F04" w14:textId="77777777" w:rsidTr="005B35E2">
        <w:trPr>
          <w:trHeight w:val="1150"/>
        </w:trPr>
        <w:tc>
          <w:tcPr>
            <w:tcW w:w="1284" w:type="pct"/>
            <w:tcBorders>
              <w:top w:val="nil"/>
              <w:left w:val="single" w:sz="4" w:space="0" w:color="auto"/>
              <w:bottom w:val="single" w:sz="4" w:space="0" w:color="auto"/>
              <w:right w:val="single" w:sz="4" w:space="0" w:color="auto"/>
            </w:tcBorders>
            <w:shd w:val="clear" w:color="auto" w:fill="auto"/>
            <w:noWrap/>
            <w:vAlign w:val="center"/>
            <w:hideMark/>
          </w:tcPr>
          <w:p w14:paraId="499DD14B" w14:textId="77777777" w:rsidR="005B35E2" w:rsidRPr="005B35E2" w:rsidRDefault="005B35E2" w:rsidP="005B35E2">
            <w:pPr>
              <w:autoSpaceDE/>
              <w:autoSpaceDN/>
              <w:adjustRightInd/>
              <w:snapToGrid/>
              <w:spacing w:after="0"/>
              <w:jc w:val="left"/>
              <w:rPr>
                <w:rFonts w:ascii="Arial" w:eastAsia="Times New Roman" w:hAnsi="Arial" w:cs="Arial"/>
                <w:color w:val="000000"/>
                <w:sz w:val="18"/>
                <w:szCs w:val="18"/>
              </w:rPr>
            </w:pPr>
            <w:r w:rsidRPr="005B35E2">
              <w:rPr>
                <w:rFonts w:ascii="Arial" w:eastAsia="Times New Roman" w:hAnsi="Arial" w:cs="Arial"/>
                <w:color w:val="000000"/>
                <w:sz w:val="18"/>
                <w:szCs w:val="18"/>
              </w:rPr>
              <w:t>ntnPolarizationUL</w:t>
            </w:r>
          </w:p>
        </w:tc>
        <w:tc>
          <w:tcPr>
            <w:tcW w:w="571" w:type="pct"/>
            <w:tcBorders>
              <w:top w:val="nil"/>
              <w:left w:val="nil"/>
              <w:bottom w:val="single" w:sz="4" w:space="0" w:color="auto"/>
              <w:right w:val="single" w:sz="4" w:space="0" w:color="auto"/>
            </w:tcBorders>
            <w:shd w:val="clear" w:color="auto" w:fill="auto"/>
            <w:vAlign w:val="center"/>
            <w:hideMark/>
          </w:tcPr>
          <w:p w14:paraId="4672FE9E" w14:textId="77777777" w:rsidR="005B35E2" w:rsidRPr="005B35E2" w:rsidRDefault="005B35E2" w:rsidP="005B35E2">
            <w:pPr>
              <w:autoSpaceDE/>
              <w:autoSpaceDN/>
              <w:adjustRightInd/>
              <w:snapToGrid/>
              <w:spacing w:after="0"/>
              <w:jc w:val="left"/>
              <w:rPr>
                <w:rFonts w:ascii="Arial" w:eastAsia="Times New Roman" w:hAnsi="Arial" w:cs="Arial"/>
                <w:color w:val="000000"/>
                <w:sz w:val="18"/>
                <w:szCs w:val="18"/>
              </w:rPr>
            </w:pPr>
            <w:r w:rsidRPr="005B35E2">
              <w:rPr>
                <w:rFonts w:ascii="Arial" w:eastAsia="Times New Roman" w:hAnsi="Arial" w:cs="Arial"/>
                <w:color w:val="000000"/>
                <w:sz w:val="18"/>
                <w:szCs w:val="18"/>
              </w:rPr>
              <w:t>If present, this parameter indicates Polarization information for Uplink service link.</w:t>
            </w:r>
            <w:r w:rsidRPr="005B35E2">
              <w:rPr>
                <w:rFonts w:ascii="Arial" w:eastAsia="Times New Roman" w:hAnsi="Arial" w:cs="Arial"/>
                <w:color w:val="000000"/>
                <w:sz w:val="18"/>
                <w:szCs w:val="18"/>
              </w:rPr>
              <w:br/>
              <w:t>If not and  ntnPolarizationDL is present,  UE assumes a same polarization for UL and DL</w:t>
            </w:r>
          </w:p>
        </w:tc>
        <w:tc>
          <w:tcPr>
            <w:tcW w:w="762" w:type="pct"/>
            <w:tcBorders>
              <w:top w:val="nil"/>
              <w:left w:val="nil"/>
              <w:bottom w:val="single" w:sz="4" w:space="0" w:color="auto"/>
              <w:right w:val="single" w:sz="4" w:space="0" w:color="auto"/>
            </w:tcBorders>
            <w:shd w:val="clear" w:color="auto" w:fill="auto"/>
            <w:noWrap/>
            <w:vAlign w:val="center"/>
            <w:hideMark/>
          </w:tcPr>
          <w:p w14:paraId="449EBB1B" w14:textId="77777777" w:rsidR="005B35E2" w:rsidRPr="005B35E2" w:rsidRDefault="005B35E2" w:rsidP="005B35E2">
            <w:pPr>
              <w:autoSpaceDE/>
              <w:autoSpaceDN/>
              <w:adjustRightInd/>
              <w:snapToGrid/>
              <w:spacing w:after="0"/>
              <w:jc w:val="left"/>
              <w:rPr>
                <w:rFonts w:eastAsia="Times New Roman"/>
                <w:color w:val="000000"/>
              </w:rPr>
            </w:pPr>
            <w:r w:rsidRPr="005B35E2">
              <w:rPr>
                <w:rFonts w:eastAsia="Times New Roman"/>
                <w:color w:val="000000"/>
              </w:rPr>
              <w:t>{RHCP, LHCP, Linear }</w:t>
            </w:r>
          </w:p>
        </w:tc>
        <w:tc>
          <w:tcPr>
            <w:tcW w:w="222" w:type="pct"/>
            <w:tcBorders>
              <w:top w:val="nil"/>
              <w:left w:val="nil"/>
              <w:bottom w:val="single" w:sz="4" w:space="0" w:color="auto"/>
              <w:right w:val="single" w:sz="4" w:space="0" w:color="auto"/>
            </w:tcBorders>
            <w:shd w:val="clear" w:color="auto" w:fill="auto"/>
            <w:noWrap/>
            <w:vAlign w:val="center"/>
            <w:hideMark/>
          </w:tcPr>
          <w:p w14:paraId="187CCE22" w14:textId="77777777" w:rsidR="005B35E2" w:rsidRPr="005B35E2" w:rsidRDefault="005B35E2" w:rsidP="005B35E2">
            <w:pPr>
              <w:autoSpaceDE/>
              <w:autoSpaceDN/>
              <w:adjustRightInd/>
              <w:snapToGrid/>
              <w:spacing w:after="0"/>
              <w:jc w:val="left"/>
              <w:rPr>
                <w:rFonts w:eastAsia="Times New Roman"/>
                <w:color w:val="000000"/>
              </w:rPr>
            </w:pPr>
            <w:r w:rsidRPr="005B35E2">
              <w:rPr>
                <w:rFonts w:eastAsia="Times New Roman"/>
                <w:color w:val="000000"/>
              </w:rPr>
              <w:t> </w:t>
            </w:r>
          </w:p>
        </w:tc>
        <w:tc>
          <w:tcPr>
            <w:tcW w:w="238" w:type="pct"/>
            <w:tcBorders>
              <w:top w:val="nil"/>
              <w:left w:val="nil"/>
              <w:bottom w:val="single" w:sz="4" w:space="0" w:color="auto"/>
              <w:right w:val="single" w:sz="4" w:space="0" w:color="auto"/>
            </w:tcBorders>
            <w:shd w:val="clear" w:color="auto" w:fill="auto"/>
            <w:noWrap/>
            <w:vAlign w:val="center"/>
            <w:hideMark/>
          </w:tcPr>
          <w:p w14:paraId="06FCA13B" w14:textId="77777777" w:rsidR="005B35E2" w:rsidRPr="005B35E2" w:rsidRDefault="005B35E2" w:rsidP="005B35E2">
            <w:pPr>
              <w:autoSpaceDE/>
              <w:autoSpaceDN/>
              <w:adjustRightInd/>
              <w:snapToGrid/>
              <w:spacing w:after="0"/>
              <w:jc w:val="left"/>
              <w:rPr>
                <w:rFonts w:eastAsia="Times New Roman"/>
                <w:color w:val="000000"/>
              </w:rPr>
            </w:pPr>
            <w:r w:rsidRPr="005B35E2">
              <w:rPr>
                <w:rFonts w:eastAsia="Times New Roman"/>
                <w:color w:val="000000"/>
              </w:rPr>
              <w:t>cell</w:t>
            </w:r>
          </w:p>
        </w:tc>
        <w:tc>
          <w:tcPr>
            <w:tcW w:w="333" w:type="pct"/>
            <w:tcBorders>
              <w:top w:val="nil"/>
              <w:left w:val="nil"/>
              <w:bottom w:val="single" w:sz="4" w:space="0" w:color="auto"/>
              <w:right w:val="single" w:sz="4" w:space="0" w:color="auto"/>
            </w:tcBorders>
            <w:shd w:val="clear" w:color="auto" w:fill="auto"/>
            <w:noWrap/>
            <w:vAlign w:val="center"/>
            <w:hideMark/>
          </w:tcPr>
          <w:p w14:paraId="24C214B9" w14:textId="77777777" w:rsidR="005B35E2" w:rsidRPr="005B35E2" w:rsidRDefault="005B35E2" w:rsidP="005B35E2">
            <w:pPr>
              <w:autoSpaceDE/>
              <w:autoSpaceDN/>
              <w:adjustRightInd/>
              <w:snapToGrid/>
              <w:spacing w:after="0"/>
              <w:jc w:val="left"/>
              <w:rPr>
                <w:rFonts w:eastAsia="Times New Roman"/>
                <w:color w:val="000000"/>
              </w:rPr>
            </w:pPr>
            <w:r w:rsidRPr="005B35E2">
              <w:rPr>
                <w:rFonts w:eastAsia="Times New Roman"/>
                <w:color w:val="000000"/>
              </w:rPr>
              <w:t>Cell-specific</w:t>
            </w:r>
          </w:p>
        </w:tc>
        <w:tc>
          <w:tcPr>
            <w:tcW w:w="363" w:type="pct"/>
            <w:tcBorders>
              <w:top w:val="nil"/>
              <w:left w:val="nil"/>
              <w:bottom w:val="single" w:sz="4" w:space="0" w:color="auto"/>
              <w:right w:val="single" w:sz="4" w:space="0" w:color="auto"/>
            </w:tcBorders>
            <w:shd w:val="clear" w:color="auto" w:fill="auto"/>
            <w:noWrap/>
            <w:vAlign w:val="center"/>
            <w:hideMark/>
          </w:tcPr>
          <w:p w14:paraId="44A1D134" w14:textId="77777777" w:rsidR="005B35E2" w:rsidRPr="005B35E2" w:rsidRDefault="005B35E2" w:rsidP="005B35E2">
            <w:pPr>
              <w:autoSpaceDE/>
              <w:autoSpaceDN/>
              <w:adjustRightInd/>
              <w:snapToGrid/>
              <w:spacing w:after="0"/>
              <w:jc w:val="left"/>
              <w:rPr>
                <w:rFonts w:eastAsia="Times New Roman"/>
                <w:color w:val="000000"/>
              </w:rPr>
            </w:pPr>
            <w:r w:rsidRPr="005B35E2">
              <w:rPr>
                <w:rFonts w:eastAsia="Times New Roman"/>
                <w:color w:val="000000"/>
              </w:rPr>
              <w:t>38.331</w:t>
            </w:r>
          </w:p>
        </w:tc>
        <w:tc>
          <w:tcPr>
            <w:tcW w:w="1227" w:type="pct"/>
            <w:tcBorders>
              <w:top w:val="nil"/>
              <w:left w:val="nil"/>
              <w:bottom w:val="single" w:sz="4" w:space="0" w:color="auto"/>
              <w:right w:val="single" w:sz="4" w:space="0" w:color="auto"/>
            </w:tcBorders>
            <w:shd w:val="clear" w:color="auto" w:fill="auto"/>
            <w:vAlign w:val="center"/>
            <w:hideMark/>
          </w:tcPr>
          <w:p w14:paraId="0EE3831F" w14:textId="77777777" w:rsidR="005B35E2" w:rsidRPr="005B35E2" w:rsidRDefault="005B35E2" w:rsidP="005B35E2">
            <w:pPr>
              <w:autoSpaceDE/>
              <w:autoSpaceDN/>
              <w:adjustRightInd/>
              <w:snapToGrid/>
              <w:spacing w:after="0"/>
              <w:jc w:val="left"/>
              <w:rPr>
                <w:rFonts w:eastAsia="Times New Roman"/>
                <w:color w:val="000000"/>
              </w:rPr>
            </w:pPr>
            <w:r w:rsidRPr="005B35E2">
              <w:rPr>
                <w:rFonts w:eastAsia="Times New Roman"/>
                <w:color w:val="000000"/>
              </w:rPr>
              <w:t>The indicated polarization information refers to the polarization type used at satellite side for UL reception.</w:t>
            </w:r>
          </w:p>
        </w:tc>
      </w:tr>
    </w:tbl>
    <w:p w14:paraId="06BC5A4B" w14:textId="77777777" w:rsidR="00987FF5" w:rsidRPr="00E61DEB" w:rsidRDefault="00987FF5" w:rsidP="00E302D0"/>
    <w:bookmarkStart w:id="25" w:name="_Toc82188782" w:displacedByCustomXml="next"/>
    <w:sdt>
      <w:sdtPr>
        <w:rPr>
          <w:b w:val="0"/>
          <w:bCs w:val="0"/>
          <w:sz w:val="22"/>
          <w:szCs w:val="22"/>
        </w:rPr>
        <w:id w:val="-1424333100"/>
        <w:docPartObj>
          <w:docPartGallery w:val="Bibliographies"/>
          <w:docPartUnique/>
        </w:docPartObj>
      </w:sdtPr>
      <w:sdtContent>
        <w:p w14:paraId="06BC5A4C" w14:textId="77777777" w:rsidR="000A0FB7" w:rsidRPr="00E61DEB" w:rsidRDefault="0021038F" w:rsidP="000A0FB7">
          <w:pPr>
            <w:pStyle w:val="Titre1"/>
            <w:rPr>
              <w:sz w:val="22"/>
              <w:szCs w:val="22"/>
            </w:rPr>
          </w:pPr>
          <w:r w:rsidRPr="00E61DEB">
            <w:rPr>
              <w:sz w:val="22"/>
              <w:szCs w:val="22"/>
            </w:rPr>
            <w:t>Reference</w:t>
          </w:r>
          <w:bookmarkEnd w:id="25"/>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74"/>
            <w:gridCol w:w="19454"/>
          </w:tblGrid>
          <w:tr w:rsidR="00A039A4" w:rsidRPr="00E61DEB" w14:paraId="06BC5A4F" w14:textId="77777777" w:rsidTr="0021038F">
            <w:trPr>
              <w:tblCellSpacing w:w="15" w:type="dxa"/>
            </w:trPr>
            <w:tc>
              <w:tcPr>
                <w:tcW w:w="157" w:type="pct"/>
              </w:tcPr>
              <w:p w14:paraId="06BC5A4D" w14:textId="77777777" w:rsidR="00A039A4" w:rsidRPr="00E61DEB" w:rsidRDefault="00A039A4">
                <w:pPr>
                  <w:pStyle w:val="Bibliographie"/>
                  <w:rPr>
                    <w:noProof/>
                  </w:rPr>
                </w:pPr>
              </w:p>
            </w:tc>
            <w:tc>
              <w:tcPr>
                <w:tcW w:w="0" w:type="auto"/>
              </w:tcPr>
              <w:p w14:paraId="06BC5A4E" w14:textId="77777777" w:rsidR="00A039A4" w:rsidRPr="00E61DEB" w:rsidRDefault="00A039A4" w:rsidP="00C8512C">
                <w:pPr>
                  <w:pStyle w:val="Bibliographie"/>
                  <w:rPr>
                    <w:noProof/>
                  </w:rPr>
                </w:pPr>
              </w:p>
            </w:tc>
          </w:tr>
          <w:tr w:rsidR="00A039A4" w:rsidRPr="00E61DEB" w14:paraId="06BC5A54" w14:textId="77777777" w:rsidTr="0021038F">
            <w:trPr>
              <w:tblCellSpacing w:w="15" w:type="dxa"/>
            </w:trPr>
            <w:tc>
              <w:tcPr>
                <w:tcW w:w="157" w:type="pct"/>
              </w:tcPr>
              <w:p w14:paraId="06BC5A50" w14:textId="77777777" w:rsidR="00A039A4" w:rsidRPr="00E61DEB" w:rsidRDefault="00A039A4">
                <w:pPr>
                  <w:pStyle w:val="Bibliographie"/>
                  <w:rPr>
                    <w:noProof/>
                  </w:rPr>
                </w:pPr>
              </w:p>
            </w:tc>
            <w:tc>
              <w:tcPr>
                <w:tcW w:w="0" w:type="auto"/>
              </w:tcPr>
              <w:p w14:paraId="06BC5A51" w14:textId="77777777" w:rsidR="006D1102" w:rsidRPr="00E61DEB" w:rsidRDefault="004C2FCF" w:rsidP="00CF141D">
                <w:pPr>
                  <w:pStyle w:val="Paragraphedeliste"/>
                  <w:numPr>
                    <w:ilvl w:val="0"/>
                    <w:numId w:val="8"/>
                  </w:numPr>
                  <w:rPr>
                    <w:rFonts w:cs="Times New Roman"/>
                    <w:szCs w:val="22"/>
                    <w:lang w:eastAsia="sv-SE"/>
                  </w:rPr>
                </w:pPr>
                <w:r w:rsidRPr="00E61DEB">
                  <w:rPr>
                    <w:rFonts w:cs="Times New Roman"/>
                    <w:szCs w:val="22"/>
                    <w:lang w:eastAsia="sv-SE"/>
                  </w:rPr>
                  <w:t xml:space="preserve">3GPP </w:t>
                </w:r>
                <w:r w:rsidR="006D1102" w:rsidRPr="00E61DEB">
                  <w:rPr>
                    <w:rFonts w:cs="Times New Roman"/>
                    <w:szCs w:val="22"/>
                    <w:lang w:eastAsia="sv-SE"/>
                  </w:rPr>
                  <w:t>TS 38.212</w:t>
                </w:r>
                <w:r w:rsidRPr="00E61DEB">
                  <w:rPr>
                    <w:rFonts w:cs="Times New Roman"/>
                    <w:szCs w:val="22"/>
                    <w:lang w:eastAsia="sv-SE"/>
                  </w:rPr>
                  <w:t xml:space="preserve"> NR; Multiplexing and channel coding</w:t>
                </w:r>
              </w:p>
              <w:p w14:paraId="06BC5A52" w14:textId="77777777" w:rsidR="004C2FCF" w:rsidRPr="00E61DEB" w:rsidRDefault="004C2FCF" w:rsidP="00CF141D">
                <w:pPr>
                  <w:pStyle w:val="Paragraphedeliste"/>
                  <w:numPr>
                    <w:ilvl w:val="0"/>
                    <w:numId w:val="8"/>
                  </w:numPr>
                  <w:rPr>
                    <w:rFonts w:cs="Times New Roman"/>
                    <w:szCs w:val="22"/>
                    <w:lang w:eastAsia="sv-SE"/>
                  </w:rPr>
                </w:pPr>
                <w:r w:rsidRPr="00E61DEB">
                  <w:rPr>
                    <w:rFonts w:cs="Times New Roman"/>
                    <w:szCs w:val="22"/>
                    <w:lang w:eastAsia="sv-SE"/>
                  </w:rPr>
                  <w:lastRenderedPageBreak/>
                  <w:t>3GPP TS 38.331: NR; Radio Resource Control (RRC) protocol specification</w:t>
                </w:r>
              </w:p>
              <w:p w14:paraId="0DBA97CB" w14:textId="77777777" w:rsidR="00434126" w:rsidRPr="00E61DEB" w:rsidRDefault="00434126" w:rsidP="00CF141D">
                <w:pPr>
                  <w:pStyle w:val="Paragraphedeliste"/>
                  <w:numPr>
                    <w:ilvl w:val="0"/>
                    <w:numId w:val="8"/>
                  </w:numPr>
                  <w:rPr>
                    <w:rFonts w:cs="Times New Roman"/>
                    <w:szCs w:val="22"/>
                    <w:lang w:eastAsia="sv-SE"/>
                  </w:rPr>
                </w:pPr>
                <w:r w:rsidRPr="00E61DEB">
                  <w:rPr>
                    <w:rFonts w:cs="Times New Roman"/>
                    <w:szCs w:val="22"/>
                    <w:lang w:eastAsia="sv-SE"/>
                  </w:rPr>
                  <w:t>3GPP TS 38.214: "NR; Physical layer procedures for data"</w:t>
                </w:r>
              </w:p>
              <w:p w14:paraId="69C27837" w14:textId="77777777" w:rsidR="0042126C" w:rsidRDefault="0042126C" w:rsidP="00CF141D">
                <w:pPr>
                  <w:pStyle w:val="Paragraphedeliste"/>
                  <w:numPr>
                    <w:ilvl w:val="0"/>
                    <w:numId w:val="8"/>
                  </w:numPr>
                  <w:rPr>
                    <w:rFonts w:cs="Times New Roman"/>
                    <w:szCs w:val="22"/>
                    <w:lang w:eastAsia="sv-SE"/>
                  </w:rPr>
                </w:pPr>
                <w:r w:rsidRPr="00E61DEB">
                  <w:rPr>
                    <w:rFonts w:cs="Times New Roman"/>
                    <w:szCs w:val="22"/>
                    <w:lang w:eastAsia="sv-SE"/>
                  </w:rPr>
                  <w:t xml:space="preserve"> R1-2108675 RRC parameter changes required for NR-NTN, up to RAN1 #106-e, Moderator (Thales)</w:t>
                </w:r>
              </w:p>
              <w:p w14:paraId="06BC5A53" w14:textId="0DBF0EBC" w:rsidR="00C614BD" w:rsidRPr="00E61DEB" w:rsidRDefault="00F104F7" w:rsidP="00F104F7">
                <w:pPr>
                  <w:pStyle w:val="Paragraphedeliste"/>
                  <w:numPr>
                    <w:ilvl w:val="0"/>
                    <w:numId w:val="8"/>
                  </w:numPr>
                  <w:rPr>
                    <w:rFonts w:cs="Times New Roman"/>
                    <w:szCs w:val="22"/>
                    <w:lang w:eastAsia="sv-SE"/>
                  </w:rPr>
                </w:pPr>
                <w:r w:rsidRPr="00F104F7">
                  <w:t>R1-2110624</w:t>
                </w:r>
                <w:r>
                  <w:t xml:space="preserve"> </w:t>
                </w:r>
                <w:r w:rsidRPr="00F104F7">
                  <w:t>Summary of [106bis-e-R17-RRC-NR-NTN] Email discussion on Rel-17 RRC parameters for NR to support NTN</w:t>
                </w:r>
              </w:p>
            </w:tc>
          </w:tr>
          <w:tr w:rsidR="00A039A4" w:rsidRPr="00E61DEB" w14:paraId="06BC5A57" w14:textId="77777777" w:rsidTr="0021038F">
            <w:trPr>
              <w:tblCellSpacing w:w="15" w:type="dxa"/>
            </w:trPr>
            <w:tc>
              <w:tcPr>
                <w:tcW w:w="157" w:type="pct"/>
              </w:tcPr>
              <w:p w14:paraId="06BC5A55" w14:textId="77777777" w:rsidR="00A039A4" w:rsidRPr="00E61DEB" w:rsidRDefault="00A039A4" w:rsidP="00A039A4">
                <w:pPr>
                  <w:pStyle w:val="Bibliographie"/>
                  <w:rPr>
                    <w:noProof/>
                  </w:rPr>
                </w:pPr>
              </w:p>
            </w:tc>
            <w:tc>
              <w:tcPr>
                <w:tcW w:w="0" w:type="auto"/>
              </w:tcPr>
              <w:p w14:paraId="06BC5A56" w14:textId="77777777" w:rsidR="00A039A4" w:rsidRPr="00E61DEB" w:rsidRDefault="00A039A4">
                <w:pPr>
                  <w:pStyle w:val="Bibliographie"/>
                  <w:rPr>
                    <w:noProof/>
                  </w:rPr>
                </w:pPr>
              </w:p>
            </w:tc>
          </w:tr>
          <w:tr w:rsidR="00A039A4" w:rsidRPr="00E61DEB" w14:paraId="06BC5A5A" w14:textId="77777777" w:rsidTr="0021038F">
            <w:trPr>
              <w:tblCellSpacing w:w="15" w:type="dxa"/>
            </w:trPr>
            <w:tc>
              <w:tcPr>
                <w:tcW w:w="157" w:type="pct"/>
              </w:tcPr>
              <w:p w14:paraId="06BC5A58" w14:textId="77777777" w:rsidR="00A039A4" w:rsidRPr="00E61DEB" w:rsidRDefault="00A039A4">
                <w:pPr>
                  <w:pStyle w:val="Bibliographie"/>
                  <w:rPr>
                    <w:noProof/>
                  </w:rPr>
                </w:pPr>
              </w:p>
            </w:tc>
            <w:tc>
              <w:tcPr>
                <w:tcW w:w="0" w:type="auto"/>
              </w:tcPr>
              <w:p w14:paraId="06BC5A59" w14:textId="77777777" w:rsidR="00A039A4" w:rsidRPr="00E61DEB" w:rsidRDefault="00A039A4">
                <w:pPr>
                  <w:pStyle w:val="Bibliographie"/>
                  <w:rPr>
                    <w:noProof/>
                  </w:rPr>
                </w:pPr>
              </w:p>
            </w:tc>
          </w:tr>
        </w:tbl>
        <w:p w14:paraId="06BC5A5B" w14:textId="77777777" w:rsidR="000777B2" w:rsidRPr="00E61DEB" w:rsidRDefault="006360A0" w:rsidP="000777B2"/>
      </w:sdtContent>
    </w:sdt>
    <w:sectPr w:rsidR="000777B2" w:rsidRPr="00E61DEB" w:rsidSect="00C51747">
      <w:pgSz w:w="22680" w:h="11907" w:orient="landscape" w:code="9"/>
      <w:pgMar w:top="1418" w:right="1418" w:bottom="1418"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A48DE" w14:textId="77777777" w:rsidR="006425F4" w:rsidRDefault="006425F4">
      <w:r>
        <w:separator/>
      </w:r>
    </w:p>
  </w:endnote>
  <w:endnote w:type="continuationSeparator" w:id="0">
    <w:p w14:paraId="003FE531" w14:textId="77777777" w:rsidR="006425F4" w:rsidRDefault="0064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n-e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8F9B4" w14:textId="77777777" w:rsidR="006425F4" w:rsidRDefault="006425F4">
      <w:r>
        <w:separator/>
      </w:r>
    </w:p>
  </w:footnote>
  <w:footnote w:type="continuationSeparator" w:id="0">
    <w:p w14:paraId="761307FE" w14:textId="77777777" w:rsidR="006425F4" w:rsidRDefault="006425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12529DE"/>
    <w:multiLevelType w:val="hybridMultilevel"/>
    <w:tmpl w:val="FEDCCA14"/>
    <w:lvl w:ilvl="0" w:tplc="F19C8B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38B1BCC"/>
    <w:multiLevelType w:val="hybridMultilevel"/>
    <w:tmpl w:val="2AB4A66A"/>
    <w:lvl w:ilvl="0" w:tplc="B5A8667A">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0E406DF3"/>
    <w:multiLevelType w:val="hybridMultilevel"/>
    <w:tmpl w:val="C19AD886"/>
    <w:lvl w:ilvl="0" w:tplc="B5A8667A">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16E44"/>
    <w:multiLevelType w:val="multilevel"/>
    <w:tmpl w:val="23216E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B74567"/>
    <w:multiLevelType w:val="hybridMultilevel"/>
    <w:tmpl w:val="70841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C7B5F"/>
    <w:multiLevelType w:val="hybridMultilevel"/>
    <w:tmpl w:val="6C52F9B0"/>
    <w:lvl w:ilvl="0" w:tplc="988EF38C">
      <w:start w:val="1"/>
      <w:numFmt w:val="bullet"/>
      <w:lvlText w:val="•"/>
      <w:lvlJc w:val="left"/>
      <w:pPr>
        <w:tabs>
          <w:tab w:val="num" w:pos="720"/>
        </w:tabs>
        <w:ind w:left="720" w:hanging="360"/>
      </w:pPr>
      <w:rPr>
        <w:rFonts w:ascii="Arial" w:hAnsi="Arial" w:hint="default"/>
      </w:rPr>
    </w:lvl>
    <w:lvl w:ilvl="1" w:tplc="D1880464" w:tentative="1">
      <w:start w:val="1"/>
      <w:numFmt w:val="bullet"/>
      <w:lvlText w:val="•"/>
      <w:lvlJc w:val="left"/>
      <w:pPr>
        <w:tabs>
          <w:tab w:val="num" w:pos="1440"/>
        </w:tabs>
        <w:ind w:left="1440" w:hanging="360"/>
      </w:pPr>
      <w:rPr>
        <w:rFonts w:ascii="Arial" w:hAnsi="Arial" w:hint="default"/>
      </w:rPr>
    </w:lvl>
    <w:lvl w:ilvl="2" w:tplc="BF62A760">
      <w:start w:val="1"/>
      <w:numFmt w:val="bullet"/>
      <w:lvlText w:val="•"/>
      <w:lvlJc w:val="left"/>
      <w:pPr>
        <w:tabs>
          <w:tab w:val="num" w:pos="2160"/>
        </w:tabs>
        <w:ind w:left="2160" w:hanging="360"/>
      </w:pPr>
      <w:rPr>
        <w:rFonts w:ascii="Arial" w:hAnsi="Arial" w:hint="default"/>
      </w:rPr>
    </w:lvl>
    <w:lvl w:ilvl="3" w:tplc="A6189A30" w:tentative="1">
      <w:start w:val="1"/>
      <w:numFmt w:val="bullet"/>
      <w:lvlText w:val="•"/>
      <w:lvlJc w:val="left"/>
      <w:pPr>
        <w:tabs>
          <w:tab w:val="num" w:pos="2880"/>
        </w:tabs>
        <w:ind w:left="2880" w:hanging="360"/>
      </w:pPr>
      <w:rPr>
        <w:rFonts w:ascii="Arial" w:hAnsi="Arial" w:hint="default"/>
      </w:rPr>
    </w:lvl>
    <w:lvl w:ilvl="4" w:tplc="A796C9B2" w:tentative="1">
      <w:start w:val="1"/>
      <w:numFmt w:val="bullet"/>
      <w:lvlText w:val="•"/>
      <w:lvlJc w:val="left"/>
      <w:pPr>
        <w:tabs>
          <w:tab w:val="num" w:pos="3600"/>
        </w:tabs>
        <w:ind w:left="3600" w:hanging="360"/>
      </w:pPr>
      <w:rPr>
        <w:rFonts w:ascii="Arial" w:hAnsi="Arial" w:hint="default"/>
      </w:rPr>
    </w:lvl>
    <w:lvl w:ilvl="5" w:tplc="43462F26" w:tentative="1">
      <w:start w:val="1"/>
      <w:numFmt w:val="bullet"/>
      <w:lvlText w:val="•"/>
      <w:lvlJc w:val="left"/>
      <w:pPr>
        <w:tabs>
          <w:tab w:val="num" w:pos="4320"/>
        </w:tabs>
        <w:ind w:left="4320" w:hanging="360"/>
      </w:pPr>
      <w:rPr>
        <w:rFonts w:ascii="Arial" w:hAnsi="Arial" w:hint="default"/>
      </w:rPr>
    </w:lvl>
    <w:lvl w:ilvl="6" w:tplc="3110A4B6" w:tentative="1">
      <w:start w:val="1"/>
      <w:numFmt w:val="bullet"/>
      <w:lvlText w:val="•"/>
      <w:lvlJc w:val="left"/>
      <w:pPr>
        <w:tabs>
          <w:tab w:val="num" w:pos="5040"/>
        </w:tabs>
        <w:ind w:left="5040" w:hanging="360"/>
      </w:pPr>
      <w:rPr>
        <w:rFonts w:ascii="Arial" w:hAnsi="Arial" w:hint="default"/>
      </w:rPr>
    </w:lvl>
    <w:lvl w:ilvl="7" w:tplc="56A6AB80" w:tentative="1">
      <w:start w:val="1"/>
      <w:numFmt w:val="bullet"/>
      <w:lvlText w:val="•"/>
      <w:lvlJc w:val="left"/>
      <w:pPr>
        <w:tabs>
          <w:tab w:val="num" w:pos="5760"/>
        </w:tabs>
        <w:ind w:left="5760" w:hanging="360"/>
      </w:pPr>
      <w:rPr>
        <w:rFonts w:ascii="Arial" w:hAnsi="Arial" w:hint="default"/>
      </w:rPr>
    </w:lvl>
    <w:lvl w:ilvl="8" w:tplc="C16AA4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81257F"/>
    <w:multiLevelType w:val="hybridMultilevel"/>
    <w:tmpl w:val="5916FAB0"/>
    <w:lvl w:ilvl="0" w:tplc="9D241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D563A1F"/>
    <w:multiLevelType w:val="hybridMultilevel"/>
    <w:tmpl w:val="0F6C27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2C53A86"/>
    <w:multiLevelType w:val="hybridMultilevel"/>
    <w:tmpl w:val="CD025CBA"/>
    <w:lvl w:ilvl="0" w:tplc="A1BE85AE">
      <w:start w:val="1"/>
      <w:numFmt w:val="decimal"/>
      <w:lvlText w:val="%1."/>
      <w:lvlJc w:val="left"/>
      <w:pPr>
        <w:ind w:left="360" w:hanging="360"/>
      </w:pPr>
      <w:rPr>
        <w:rFonts w:ascii="Arial" w:eastAsiaTheme="minorEastAsia" w:hAnsi="Arial" w:cs="Arial" w:hint="default"/>
        <w:color w:val="FF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183CDD"/>
    <w:multiLevelType w:val="hybridMultilevel"/>
    <w:tmpl w:val="5B1840DE"/>
    <w:lvl w:ilvl="0" w:tplc="B6C8C8EA">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D01BE6"/>
    <w:multiLevelType w:val="hybridMultilevel"/>
    <w:tmpl w:val="E9784E44"/>
    <w:lvl w:ilvl="0" w:tplc="0786F832">
      <w:start w:val="1"/>
      <w:numFmt w:val="bullet"/>
      <w:lvlText w:val="•"/>
      <w:lvlJc w:val="left"/>
      <w:pPr>
        <w:tabs>
          <w:tab w:val="num" w:pos="720"/>
        </w:tabs>
        <w:ind w:left="720" w:hanging="360"/>
      </w:pPr>
      <w:rPr>
        <w:rFonts w:ascii="Arial" w:hAnsi="Arial" w:hint="default"/>
      </w:rPr>
    </w:lvl>
    <w:lvl w:ilvl="1" w:tplc="39282562" w:tentative="1">
      <w:start w:val="1"/>
      <w:numFmt w:val="bullet"/>
      <w:lvlText w:val="•"/>
      <w:lvlJc w:val="left"/>
      <w:pPr>
        <w:tabs>
          <w:tab w:val="num" w:pos="1440"/>
        </w:tabs>
        <w:ind w:left="1440" w:hanging="360"/>
      </w:pPr>
      <w:rPr>
        <w:rFonts w:ascii="Arial" w:hAnsi="Arial" w:hint="default"/>
      </w:rPr>
    </w:lvl>
    <w:lvl w:ilvl="2" w:tplc="AACC01CE">
      <w:start w:val="1"/>
      <w:numFmt w:val="bullet"/>
      <w:lvlText w:val="•"/>
      <w:lvlJc w:val="left"/>
      <w:pPr>
        <w:tabs>
          <w:tab w:val="num" w:pos="2160"/>
        </w:tabs>
        <w:ind w:left="2160" w:hanging="360"/>
      </w:pPr>
      <w:rPr>
        <w:rFonts w:ascii="Arial" w:hAnsi="Arial" w:hint="default"/>
      </w:rPr>
    </w:lvl>
    <w:lvl w:ilvl="3" w:tplc="800CBCB2">
      <w:start w:val="302"/>
      <w:numFmt w:val="bullet"/>
      <w:lvlText w:val="•"/>
      <w:lvlJc w:val="left"/>
      <w:pPr>
        <w:tabs>
          <w:tab w:val="num" w:pos="2880"/>
        </w:tabs>
        <w:ind w:left="2880" w:hanging="360"/>
      </w:pPr>
      <w:rPr>
        <w:rFonts w:ascii="Arial" w:hAnsi="Arial" w:hint="default"/>
      </w:rPr>
    </w:lvl>
    <w:lvl w:ilvl="4" w:tplc="6AA0D7F6">
      <w:start w:val="302"/>
      <w:numFmt w:val="bullet"/>
      <w:lvlText w:val="•"/>
      <w:lvlJc w:val="left"/>
      <w:pPr>
        <w:tabs>
          <w:tab w:val="num" w:pos="3600"/>
        </w:tabs>
        <w:ind w:left="3600" w:hanging="360"/>
      </w:pPr>
      <w:rPr>
        <w:rFonts w:ascii="Arial" w:hAnsi="Arial" w:hint="default"/>
      </w:rPr>
    </w:lvl>
    <w:lvl w:ilvl="5" w:tplc="9CC4B07A" w:tentative="1">
      <w:start w:val="1"/>
      <w:numFmt w:val="bullet"/>
      <w:lvlText w:val="•"/>
      <w:lvlJc w:val="left"/>
      <w:pPr>
        <w:tabs>
          <w:tab w:val="num" w:pos="4320"/>
        </w:tabs>
        <w:ind w:left="4320" w:hanging="360"/>
      </w:pPr>
      <w:rPr>
        <w:rFonts w:ascii="Arial" w:hAnsi="Arial" w:hint="default"/>
      </w:rPr>
    </w:lvl>
    <w:lvl w:ilvl="6" w:tplc="E2489478" w:tentative="1">
      <w:start w:val="1"/>
      <w:numFmt w:val="bullet"/>
      <w:lvlText w:val="•"/>
      <w:lvlJc w:val="left"/>
      <w:pPr>
        <w:tabs>
          <w:tab w:val="num" w:pos="5040"/>
        </w:tabs>
        <w:ind w:left="5040" w:hanging="360"/>
      </w:pPr>
      <w:rPr>
        <w:rFonts w:ascii="Arial" w:hAnsi="Arial" w:hint="default"/>
      </w:rPr>
    </w:lvl>
    <w:lvl w:ilvl="7" w:tplc="671618A4" w:tentative="1">
      <w:start w:val="1"/>
      <w:numFmt w:val="bullet"/>
      <w:lvlText w:val="•"/>
      <w:lvlJc w:val="left"/>
      <w:pPr>
        <w:tabs>
          <w:tab w:val="num" w:pos="5760"/>
        </w:tabs>
        <w:ind w:left="5760" w:hanging="360"/>
      </w:pPr>
      <w:rPr>
        <w:rFonts w:ascii="Arial" w:hAnsi="Arial" w:hint="default"/>
      </w:rPr>
    </w:lvl>
    <w:lvl w:ilvl="8" w:tplc="97B694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A524BFD"/>
    <w:multiLevelType w:val="hybridMultilevel"/>
    <w:tmpl w:val="CC020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3E2EFD"/>
    <w:multiLevelType w:val="hybridMultilevel"/>
    <w:tmpl w:val="CCCC3D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1DE3F50"/>
    <w:multiLevelType w:val="hybridMultilevel"/>
    <w:tmpl w:val="231893F0"/>
    <w:lvl w:ilvl="0" w:tplc="C6786B4A">
      <w:start w:val="1"/>
      <w:numFmt w:val="bullet"/>
      <w:lvlText w:val=""/>
      <w:lvlJc w:val="left"/>
      <w:pPr>
        <w:tabs>
          <w:tab w:val="num" w:pos="720"/>
        </w:tabs>
        <w:ind w:left="720" w:hanging="360"/>
      </w:pPr>
      <w:rPr>
        <w:rFonts w:ascii="Symbol" w:hAnsi="Symbol" w:hint="default"/>
      </w:rPr>
    </w:lvl>
    <w:lvl w:ilvl="1" w:tplc="931E50B6">
      <w:start w:val="302"/>
      <w:numFmt w:val="bullet"/>
      <w:lvlText w:val="o"/>
      <w:lvlJc w:val="left"/>
      <w:pPr>
        <w:tabs>
          <w:tab w:val="num" w:pos="1440"/>
        </w:tabs>
        <w:ind w:left="1440" w:hanging="360"/>
      </w:pPr>
      <w:rPr>
        <w:rFonts w:ascii="Courier New" w:hAnsi="Courier New" w:hint="default"/>
      </w:rPr>
    </w:lvl>
    <w:lvl w:ilvl="2" w:tplc="CA9402D4" w:tentative="1">
      <w:start w:val="1"/>
      <w:numFmt w:val="bullet"/>
      <w:lvlText w:val=""/>
      <w:lvlJc w:val="left"/>
      <w:pPr>
        <w:tabs>
          <w:tab w:val="num" w:pos="2160"/>
        </w:tabs>
        <w:ind w:left="2160" w:hanging="360"/>
      </w:pPr>
      <w:rPr>
        <w:rFonts w:ascii="Symbol" w:hAnsi="Symbol" w:hint="default"/>
      </w:rPr>
    </w:lvl>
    <w:lvl w:ilvl="3" w:tplc="CFB87E32" w:tentative="1">
      <w:start w:val="1"/>
      <w:numFmt w:val="bullet"/>
      <w:lvlText w:val=""/>
      <w:lvlJc w:val="left"/>
      <w:pPr>
        <w:tabs>
          <w:tab w:val="num" w:pos="2880"/>
        </w:tabs>
        <w:ind w:left="2880" w:hanging="360"/>
      </w:pPr>
      <w:rPr>
        <w:rFonts w:ascii="Symbol" w:hAnsi="Symbol" w:hint="default"/>
      </w:rPr>
    </w:lvl>
    <w:lvl w:ilvl="4" w:tplc="E718432E" w:tentative="1">
      <w:start w:val="1"/>
      <w:numFmt w:val="bullet"/>
      <w:lvlText w:val=""/>
      <w:lvlJc w:val="left"/>
      <w:pPr>
        <w:tabs>
          <w:tab w:val="num" w:pos="3600"/>
        </w:tabs>
        <w:ind w:left="3600" w:hanging="360"/>
      </w:pPr>
      <w:rPr>
        <w:rFonts w:ascii="Symbol" w:hAnsi="Symbol" w:hint="default"/>
      </w:rPr>
    </w:lvl>
    <w:lvl w:ilvl="5" w:tplc="ADE251DC" w:tentative="1">
      <w:start w:val="1"/>
      <w:numFmt w:val="bullet"/>
      <w:lvlText w:val=""/>
      <w:lvlJc w:val="left"/>
      <w:pPr>
        <w:tabs>
          <w:tab w:val="num" w:pos="4320"/>
        </w:tabs>
        <w:ind w:left="4320" w:hanging="360"/>
      </w:pPr>
      <w:rPr>
        <w:rFonts w:ascii="Symbol" w:hAnsi="Symbol" w:hint="default"/>
      </w:rPr>
    </w:lvl>
    <w:lvl w:ilvl="6" w:tplc="F4D0784C" w:tentative="1">
      <w:start w:val="1"/>
      <w:numFmt w:val="bullet"/>
      <w:lvlText w:val=""/>
      <w:lvlJc w:val="left"/>
      <w:pPr>
        <w:tabs>
          <w:tab w:val="num" w:pos="5040"/>
        </w:tabs>
        <w:ind w:left="5040" w:hanging="360"/>
      </w:pPr>
      <w:rPr>
        <w:rFonts w:ascii="Symbol" w:hAnsi="Symbol" w:hint="default"/>
      </w:rPr>
    </w:lvl>
    <w:lvl w:ilvl="7" w:tplc="7848DB12" w:tentative="1">
      <w:start w:val="1"/>
      <w:numFmt w:val="bullet"/>
      <w:lvlText w:val=""/>
      <w:lvlJc w:val="left"/>
      <w:pPr>
        <w:tabs>
          <w:tab w:val="num" w:pos="5760"/>
        </w:tabs>
        <w:ind w:left="5760" w:hanging="360"/>
      </w:pPr>
      <w:rPr>
        <w:rFonts w:ascii="Symbol" w:hAnsi="Symbol" w:hint="default"/>
      </w:rPr>
    </w:lvl>
    <w:lvl w:ilvl="8" w:tplc="F99A139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27"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4C319E"/>
    <w:multiLevelType w:val="hybridMultilevel"/>
    <w:tmpl w:val="3F16A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224BDF"/>
    <w:multiLevelType w:val="hybridMultilevel"/>
    <w:tmpl w:val="CE40F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07621C"/>
    <w:multiLevelType w:val="hybridMultilevel"/>
    <w:tmpl w:val="228EF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436D9"/>
    <w:multiLevelType w:val="hybridMultilevel"/>
    <w:tmpl w:val="DCB0E7AE"/>
    <w:lvl w:ilvl="0" w:tplc="B6C8C8EA">
      <w:numFmt w:val="bullet"/>
      <w:lvlText w:val=""/>
      <w:lvlJc w:val="left"/>
      <w:pPr>
        <w:ind w:left="400" w:hanging="400"/>
      </w:pPr>
      <w:rPr>
        <w:rFonts w:ascii="Symbol" w:eastAsia="Calibri" w:hAnsi="Symbo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13"/>
  </w:num>
  <w:num w:numId="2">
    <w:abstractNumId w:val="11"/>
  </w:num>
  <w:num w:numId="3">
    <w:abstractNumId w:val="31"/>
  </w:num>
  <w:num w:numId="4">
    <w:abstractNumId w:val="3"/>
  </w:num>
  <w:num w:numId="5">
    <w:abstractNumId w:val="20"/>
  </w:num>
  <w:num w:numId="6">
    <w:abstractNumId w:val="27"/>
  </w:num>
  <w:num w:numId="7">
    <w:abstractNumId w:val="22"/>
  </w:num>
  <w:num w:numId="8">
    <w:abstractNumId w:val="4"/>
  </w:num>
  <w:num w:numId="9">
    <w:abstractNumId w:val="14"/>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5"/>
  </w:num>
  <w:num w:numId="14">
    <w:abstractNumId w:val="21"/>
  </w:num>
  <w:num w:numId="15">
    <w:abstractNumId w:val="9"/>
  </w:num>
  <w:num w:numId="16">
    <w:abstractNumId w:val="25"/>
  </w:num>
  <w:num w:numId="17">
    <w:abstractNumId w:val="8"/>
  </w:num>
  <w:num w:numId="18">
    <w:abstractNumId w:val="24"/>
  </w:num>
  <w:num w:numId="19">
    <w:abstractNumId w:val="29"/>
  </w:num>
  <w:num w:numId="20">
    <w:abstractNumId w:val="23"/>
  </w:num>
  <w:num w:numId="21">
    <w:abstractNumId w:val="10"/>
  </w:num>
  <w:num w:numId="22">
    <w:abstractNumId w:val="18"/>
  </w:num>
  <w:num w:numId="23">
    <w:abstractNumId w:val="26"/>
  </w:num>
  <w:num w:numId="24">
    <w:abstractNumId w:val="12"/>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
  </w:num>
  <w:num w:numId="29">
    <w:abstractNumId w:val="8"/>
  </w:num>
  <w:num w:numId="30">
    <w:abstractNumId w:val="24"/>
  </w:num>
  <w:num w:numId="31">
    <w:abstractNumId w:val="5"/>
  </w:num>
  <w:num w:numId="32">
    <w:abstractNumId w:val="1"/>
  </w:num>
  <w:num w:numId="33">
    <w:abstractNumId w:val="30"/>
  </w:num>
  <w:num w:numId="34">
    <w:abstractNumId w:val="28"/>
  </w:num>
  <w:num w:numId="35">
    <w:abstractNumId w:val="17"/>
  </w:num>
  <w:num w:numId="36">
    <w:abstractNumId w:val="7"/>
  </w:num>
  <w:num w:numId="37">
    <w:abstractNumId w:val="19"/>
    <w:lvlOverride w:ilvl="0"/>
    <w:lvlOverride w:ilvl="1"/>
    <w:lvlOverride w:ilvl="2"/>
    <w:lvlOverride w:ilvl="3"/>
    <w:lvlOverride w:ilvl="4"/>
    <w:lvlOverride w:ilvl="5"/>
    <w:lvlOverride w:ilvl="6"/>
    <w:lvlOverride w:ilvl="7"/>
    <w:lvlOverride w:ilvl="8"/>
  </w:num>
  <w:num w:numId="38">
    <w:abstractNumId w:val="32"/>
    <w:lvlOverride w:ilvl="0"/>
    <w:lvlOverride w:ilvl="1"/>
    <w:lvlOverride w:ilvl="2"/>
    <w:lvlOverride w:ilvl="3"/>
    <w:lvlOverride w:ilvl="4"/>
    <w:lvlOverride w:ilvl="5"/>
    <w:lvlOverride w:ilvl="6"/>
    <w:lvlOverride w:ilvl="7"/>
    <w:lvlOverride w:ilv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BC"/>
    <w:rsid w:val="0000020D"/>
    <w:rsid w:val="00000922"/>
    <w:rsid w:val="00000C67"/>
    <w:rsid w:val="00000CE3"/>
    <w:rsid w:val="00000D04"/>
    <w:rsid w:val="00000DB2"/>
    <w:rsid w:val="00000E2A"/>
    <w:rsid w:val="00000EE5"/>
    <w:rsid w:val="00000F2A"/>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A14"/>
    <w:rsid w:val="00006D2F"/>
    <w:rsid w:val="00006F1E"/>
    <w:rsid w:val="00006F3B"/>
    <w:rsid w:val="000070E3"/>
    <w:rsid w:val="000072B6"/>
    <w:rsid w:val="00007643"/>
    <w:rsid w:val="00007717"/>
    <w:rsid w:val="00007813"/>
    <w:rsid w:val="000102F5"/>
    <w:rsid w:val="00010358"/>
    <w:rsid w:val="000109E6"/>
    <w:rsid w:val="000109F9"/>
    <w:rsid w:val="00010A64"/>
    <w:rsid w:val="00010ABF"/>
    <w:rsid w:val="00010AC6"/>
    <w:rsid w:val="0001163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178"/>
    <w:rsid w:val="0001344E"/>
    <w:rsid w:val="000134B5"/>
    <w:rsid w:val="00013840"/>
    <w:rsid w:val="000138F4"/>
    <w:rsid w:val="00014B6D"/>
    <w:rsid w:val="000158ED"/>
    <w:rsid w:val="00015EFB"/>
    <w:rsid w:val="000160AE"/>
    <w:rsid w:val="000165E2"/>
    <w:rsid w:val="00016868"/>
    <w:rsid w:val="0001692C"/>
    <w:rsid w:val="0001698A"/>
    <w:rsid w:val="00016BA3"/>
    <w:rsid w:val="00016E3E"/>
    <w:rsid w:val="000172BE"/>
    <w:rsid w:val="00017476"/>
    <w:rsid w:val="00017681"/>
    <w:rsid w:val="00017B4C"/>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4C9C"/>
    <w:rsid w:val="00025115"/>
    <w:rsid w:val="00025DBE"/>
    <w:rsid w:val="0002605C"/>
    <w:rsid w:val="00026388"/>
    <w:rsid w:val="000268FF"/>
    <w:rsid w:val="00026932"/>
    <w:rsid w:val="00026D4B"/>
    <w:rsid w:val="00026ECA"/>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A7C"/>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502F"/>
    <w:rsid w:val="00035238"/>
    <w:rsid w:val="000352B3"/>
    <w:rsid w:val="000359F5"/>
    <w:rsid w:val="00035A17"/>
    <w:rsid w:val="00035EFE"/>
    <w:rsid w:val="00035F09"/>
    <w:rsid w:val="00035FF1"/>
    <w:rsid w:val="00036265"/>
    <w:rsid w:val="0003668E"/>
    <w:rsid w:val="00036B53"/>
    <w:rsid w:val="00036C55"/>
    <w:rsid w:val="00036DB9"/>
    <w:rsid w:val="0003717F"/>
    <w:rsid w:val="00037216"/>
    <w:rsid w:val="000373EF"/>
    <w:rsid w:val="000379B8"/>
    <w:rsid w:val="000400F3"/>
    <w:rsid w:val="0004023E"/>
    <w:rsid w:val="0004024B"/>
    <w:rsid w:val="00040B42"/>
    <w:rsid w:val="00040E3E"/>
    <w:rsid w:val="00040EB9"/>
    <w:rsid w:val="0004133A"/>
    <w:rsid w:val="00041C57"/>
    <w:rsid w:val="00041EE0"/>
    <w:rsid w:val="0004202B"/>
    <w:rsid w:val="000420D0"/>
    <w:rsid w:val="000426B9"/>
    <w:rsid w:val="00042720"/>
    <w:rsid w:val="0004290B"/>
    <w:rsid w:val="000431C5"/>
    <w:rsid w:val="000434B7"/>
    <w:rsid w:val="000435C9"/>
    <w:rsid w:val="000435E4"/>
    <w:rsid w:val="00043EAA"/>
    <w:rsid w:val="0004418C"/>
    <w:rsid w:val="0004452E"/>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3DA"/>
    <w:rsid w:val="000504E6"/>
    <w:rsid w:val="000509A6"/>
    <w:rsid w:val="000512C9"/>
    <w:rsid w:val="00051332"/>
    <w:rsid w:val="00052386"/>
    <w:rsid w:val="00052422"/>
    <w:rsid w:val="000527C9"/>
    <w:rsid w:val="00052AD2"/>
    <w:rsid w:val="00052D74"/>
    <w:rsid w:val="000530DF"/>
    <w:rsid w:val="00053541"/>
    <w:rsid w:val="000535D8"/>
    <w:rsid w:val="00053A5D"/>
    <w:rsid w:val="00053F54"/>
    <w:rsid w:val="0005451A"/>
    <w:rsid w:val="000548E3"/>
    <w:rsid w:val="00054E0C"/>
    <w:rsid w:val="00054E40"/>
    <w:rsid w:val="00054F0D"/>
    <w:rsid w:val="0005541D"/>
    <w:rsid w:val="000565C8"/>
    <w:rsid w:val="00056931"/>
    <w:rsid w:val="00057864"/>
    <w:rsid w:val="00057CEA"/>
    <w:rsid w:val="00057DC8"/>
    <w:rsid w:val="0006045C"/>
    <w:rsid w:val="000605EC"/>
    <w:rsid w:val="000606C1"/>
    <w:rsid w:val="00060AED"/>
    <w:rsid w:val="000612E1"/>
    <w:rsid w:val="000614FE"/>
    <w:rsid w:val="00061BB8"/>
    <w:rsid w:val="00061F3E"/>
    <w:rsid w:val="00061FD2"/>
    <w:rsid w:val="000620D2"/>
    <w:rsid w:val="000621C9"/>
    <w:rsid w:val="00062403"/>
    <w:rsid w:val="00062A4F"/>
    <w:rsid w:val="0006300C"/>
    <w:rsid w:val="000634A6"/>
    <w:rsid w:val="000636D1"/>
    <w:rsid w:val="00063F01"/>
    <w:rsid w:val="00063F42"/>
    <w:rsid w:val="00063F5E"/>
    <w:rsid w:val="0006402E"/>
    <w:rsid w:val="0006441A"/>
    <w:rsid w:val="00064787"/>
    <w:rsid w:val="000658DE"/>
    <w:rsid w:val="000659EF"/>
    <w:rsid w:val="00065D38"/>
    <w:rsid w:val="00066416"/>
    <w:rsid w:val="00066DC2"/>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C5"/>
    <w:rsid w:val="000736C1"/>
    <w:rsid w:val="00073797"/>
    <w:rsid w:val="00073829"/>
    <w:rsid w:val="00073C07"/>
    <w:rsid w:val="00073DEC"/>
    <w:rsid w:val="00073EDF"/>
    <w:rsid w:val="00074070"/>
    <w:rsid w:val="00074150"/>
    <w:rsid w:val="000745AA"/>
    <w:rsid w:val="00074E86"/>
    <w:rsid w:val="00074E9C"/>
    <w:rsid w:val="00074EBB"/>
    <w:rsid w:val="00075109"/>
    <w:rsid w:val="00075778"/>
    <w:rsid w:val="00075876"/>
    <w:rsid w:val="00075927"/>
    <w:rsid w:val="00075A86"/>
    <w:rsid w:val="00075C69"/>
    <w:rsid w:val="00076097"/>
    <w:rsid w:val="00076541"/>
    <w:rsid w:val="00076778"/>
    <w:rsid w:val="0007698F"/>
    <w:rsid w:val="00076CE0"/>
    <w:rsid w:val="000772F4"/>
    <w:rsid w:val="000776EB"/>
    <w:rsid w:val="000777B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E1D"/>
    <w:rsid w:val="00084F87"/>
    <w:rsid w:val="000851E9"/>
    <w:rsid w:val="000856B9"/>
    <w:rsid w:val="00085995"/>
    <w:rsid w:val="00085DBE"/>
    <w:rsid w:val="00085E04"/>
    <w:rsid w:val="00086052"/>
    <w:rsid w:val="00086339"/>
    <w:rsid w:val="0008661A"/>
    <w:rsid w:val="00086800"/>
    <w:rsid w:val="000868A2"/>
    <w:rsid w:val="00086BAF"/>
    <w:rsid w:val="00086FEC"/>
    <w:rsid w:val="0008702D"/>
    <w:rsid w:val="0008707C"/>
    <w:rsid w:val="00087110"/>
    <w:rsid w:val="0008740C"/>
    <w:rsid w:val="00087913"/>
    <w:rsid w:val="0008794B"/>
    <w:rsid w:val="00087C4F"/>
    <w:rsid w:val="00087EB9"/>
    <w:rsid w:val="000902DC"/>
    <w:rsid w:val="000904F8"/>
    <w:rsid w:val="000906A0"/>
    <w:rsid w:val="000911AE"/>
    <w:rsid w:val="000911CD"/>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B3B"/>
    <w:rsid w:val="00094C5A"/>
    <w:rsid w:val="00094DE6"/>
    <w:rsid w:val="00095571"/>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9E"/>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6FE4"/>
    <w:rsid w:val="000A705F"/>
    <w:rsid w:val="000A70DC"/>
    <w:rsid w:val="000A7888"/>
    <w:rsid w:val="000A79C5"/>
    <w:rsid w:val="000A7B38"/>
    <w:rsid w:val="000A7F10"/>
    <w:rsid w:val="000A7F5B"/>
    <w:rsid w:val="000B018F"/>
    <w:rsid w:val="000B0343"/>
    <w:rsid w:val="000B04A2"/>
    <w:rsid w:val="000B112F"/>
    <w:rsid w:val="000B17C5"/>
    <w:rsid w:val="000B1FD6"/>
    <w:rsid w:val="000B208C"/>
    <w:rsid w:val="000B27C5"/>
    <w:rsid w:val="000B2985"/>
    <w:rsid w:val="000B2C88"/>
    <w:rsid w:val="000B3065"/>
    <w:rsid w:val="000B3077"/>
    <w:rsid w:val="000B329B"/>
    <w:rsid w:val="000B3342"/>
    <w:rsid w:val="000B368D"/>
    <w:rsid w:val="000B38AB"/>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409"/>
    <w:rsid w:val="000B6E2C"/>
    <w:rsid w:val="000B734C"/>
    <w:rsid w:val="000B7399"/>
    <w:rsid w:val="000B76C5"/>
    <w:rsid w:val="000B7A10"/>
    <w:rsid w:val="000B7C48"/>
    <w:rsid w:val="000B7DAA"/>
    <w:rsid w:val="000B7F93"/>
    <w:rsid w:val="000C01D8"/>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974"/>
    <w:rsid w:val="000C5A38"/>
    <w:rsid w:val="000C5ACF"/>
    <w:rsid w:val="000C5B95"/>
    <w:rsid w:val="000C5E65"/>
    <w:rsid w:val="000C5F91"/>
    <w:rsid w:val="000C6025"/>
    <w:rsid w:val="000C6279"/>
    <w:rsid w:val="000C6985"/>
    <w:rsid w:val="000C6E78"/>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0AD"/>
    <w:rsid w:val="000D210F"/>
    <w:rsid w:val="000D22CC"/>
    <w:rsid w:val="000D2623"/>
    <w:rsid w:val="000D2932"/>
    <w:rsid w:val="000D2BED"/>
    <w:rsid w:val="000D3660"/>
    <w:rsid w:val="000D36AE"/>
    <w:rsid w:val="000D38A1"/>
    <w:rsid w:val="000D38DD"/>
    <w:rsid w:val="000D3C7D"/>
    <w:rsid w:val="000D3E32"/>
    <w:rsid w:val="000D3F5E"/>
    <w:rsid w:val="000D4292"/>
    <w:rsid w:val="000D457A"/>
    <w:rsid w:val="000D4A6D"/>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4DA"/>
    <w:rsid w:val="000E07D6"/>
    <w:rsid w:val="000E0E51"/>
    <w:rsid w:val="000E1052"/>
    <w:rsid w:val="000E12B3"/>
    <w:rsid w:val="000E1380"/>
    <w:rsid w:val="000E18DF"/>
    <w:rsid w:val="000E1CCC"/>
    <w:rsid w:val="000E224F"/>
    <w:rsid w:val="000E2288"/>
    <w:rsid w:val="000E2473"/>
    <w:rsid w:val="000E30A0"/>
    <w:rsid w:val="000E31B4"/>
    <w:rsid w:val="000E3765"/>
    <w:rsid w:val="000E39FD"/>
    <w:rsid w:val="000E3B6B"/>
    <w:rsid w:val="000E3C5A"/>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937"/>
    <w:rsid w:val="000E7A84"/>
    <w:rsid w:val="000F06E1"/>
    <w:rsid w:val="000F073A"/>
    <w:rsid w:val="000F07E9"/>
    <w:rsid w:val="000F102A"/>
    <w:rsid w:val="000F1241"/>
    <w:rsid w:val="000F1407"/>
    <w:rsid w:val="000F15BC"/>
    <w:rsid w:val="000F180A"/>
    <w:rsid w:val="000F1835"/>
    <w:rsid w:val="000F1C92"/>
    <w:rsid w:val="000F275B"/>
    <w:rsid w:val="000F27E4"/>
    <w:rsid w:val="000F2864"/>
    <w:rsid w:val="000F2EEE"/>
    <w:rsid w:val="000F2FA6"/>
    <w:rsid w:val="000F3294"/>
    <w:rsid w:val="000F3697"/>
    <w:rsid w:val="000F39D5"/>
    <w:rsid w:val="000F3AAB"/>
    <w:rsid w:val="000F3BB7"/>
    <w:rsid w:val="000F42D8"/>
    <w:rsid w:val="000F4CC5"/>
    <w:rsid w:val="000F4E03"/>
    <w:rsid w:val="000F50DF"/>
    <w:rsid w:val="000F6E4B"/>
    <w:rsid w:val="000F6EAD"/>
    <w:rsid w:val="000F6FDA"/>
    <w:rsid w:val="000F7885"/>
    <w:rsid w:val="000F7F58"/>
    <w:rsid w:val="00100128"/>
    <w:rsid w:val="001002A7"/>
    <w:rsid w:val="00100B7A"/>
    <w:rsid w:val="00100E3F"/>
    <w:rsid w:val="00100FF3"/>
    <w:rsid w:val="0010122D"/>
    <w:rsid w:val="00101565"/>
    <w:rsid w:val="00101586"/>
    <w:rsid w:val="00101B1A"/>
    <w:rsid w:val="00101C5E"/>
    <w:rsid w:val="001025C0"/>
    <w:rsid w:val="001026CA"/>
    <w:rsid w:val="001028DB"/>
    <w:rsid w:val="00102AE1"/>
    <w:rsid w:val="00102D51"/>
    <w:rsid w:val="001030D1"/>
    <w:rsid w:val="001041DD"/>
    <w:rsid w:val="001043C2"/>
    <w:rsid w:val="001043E1"/>
    <w:rsid w:val="001048FF"/>
    <w:rsid w:val="00104C49"/>
    <w:rsid w:val="00104CA6"/>
    <w:rsid w:val="00104FC3"/>
    <w:rsid w:val="0010505A"/>
    <w:rsid w:val="0010540B"/>
    <w:rsid w:val="001054B6"/>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0EB"/>
    <w:rsid w:val="001121AE"/>
    <w:rsid w:val="0011221F"/>
    <w:rsid w:val="0011288D"/>
    <w:rsid w:val="00112928"/>
    <w:rsid w:val="001129B5"/>
    <w:rsid w:val="00112A00"/>
    <w:rsid w:val="001132FD"/>
    <w:rsid w:val="001141E3"/>
    <w:rsid w:val="001144DF"/>
    <w:rsid w:val="001147A4"/>
    <w:rsid w:val="00114BE0"/>
    <w:rsid w:val="0011533B"/>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2C6"/>
    <w:rsid w:val="001214C1"/>
    <w:rsid w:val="001215E6"/>
    <w:rsid w:val="00122457"/>
    <w:rsid w:val="0012245F"/>
    <w:rsid w:val="0012248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680F"/>
    <w:rsid w:val="00127325"/>
    <w:rsid w:val="00127CCF"/>
    <w:rsid w:val="00127F12"/>
    <w:rsid w:val="00127F8B"/>
    <w:rsid w:val="00130779"/>
    <w:rsid w:val="001307A1"/>
    <w:rsid w:val="00130871"/>
    <w:rsid w:val="001308EC"/>
    <w:rsid w:val="00130CE9"/>
    <w:rsid w:val="00131037"/>
    <w:rsid w:val="00131BEC"/>
    <w:rsid w:val="00131D4D"/>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68D"/>
    <w:rsid w:val="001347E7"/>
    <w:rsid w:val="00134939"/>
    <w:rsid w:val="001349B6"/>
    <w:rsid w:val="00134B88"/>
    <w:rsid w:val="00134C49"/>
    <w:rsid w:val="00135434"/>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F74"/>
    <w:rsid w:val="00141191"/>
    <w:rsid w:val="0014134F"/>
    <w:rsid w:val="001414C2"/>
    <w:rsid w:val="0014159C"/>
    <w:rsid w:val="0014172F"/>
    <w:rsid w:val="00141ADC"/>
    <w:rsid w:val="00141B23"/>
    <w:rsid w:val="00141D0D"/>
    <w:rsid w:val="00141F4A"/>
    <w:rsid w:val="00142665"/>
    <w:rsid w:val="00143389"/>
    <w:rsid w:val="001434E2"/>
    <w:rsid w:val="00143567"/>
    <w:rsid w:val="0014384A"/>
    <w:rsid w:val="0014413A"/>
    <w:rsid w:val="0014426C"/>
    <w:rsid w:val="0014450F"/>
    <w:rsid w:val="001445E2"/>
    <w:rsid w:val="0014496A"/>
    <w:rsid w:val="00144D8F"/>
    <w:rsid w:val="00145391"/>
    <w:rsid w:val="00145C74"/>
    <w:rsid w:val="00145E06"/>
    <w:rsid w:val="0014600E"/>
    <w:rsid w:val="001462E9"/>
    <w:rsid w:val="00146621"/>
    <w:rsid w:val="00146622"/>
    <w:rsid w:val="001466CC"/>
    <w:rsid w:val="00146E32"/>
    <w:rsid w:val="00147005"/>
    <w:rsid w:val="001479A6"/>
    <w:rsid w:val="00147CF5"/>
    <w:rsid w:val="001509EA"/>
    <w:rsid w:val="00150C9C"/>
    <w:rsid w:val="00151619"/>
    <w:rsid w:val="0015170F"/>
    <w:rsid w:val="00152494"/>
    <w:rsid w:val="001525D5"/>
    <w:rsid w:val="0015267B"/>
    <w:rsid w:val="00152835"/>
    <w:rsid w:val="0015292B"/>
    <w:rsid w:val="00152F67"/>
    <w:rsid w:val="00153161"/>
    <w:rsid w:val="001536F5"/>
    <w:rsid w:val="0015377F"/>
    <w:rsid w:val="00153F48"/>
    <w:rsid w:val="00154A67"/>
    <w:rsid w:val="00154BCD"/>
    <w:rsid w:val="001554AA"/>
    <w:rsid w:val="00155503"/>
    <w:rsid w:val="00155927"/>
    <w:rsid w:val="001559FA"/>
    <w:rsid w:val="00155A0C"/>
    <w:rsid w:val="00155E6D"/>
    <w:rsid w:val="0015605A"/>
    <w:rsid w:val="00156324"/>
    <w:rsid w:val="00156374"/>
    <w:rsid w:val="001566C8"/>
    <w:rsid w:val="00157285"/>
    <w:rsid w:val="00157478"/>
    <w:rsid w:val="00157549"/>
    <w:rsid w:val="001577D8"/>
    <w:rsid w:val="00157B75"/>
    <w:rsid w:val="00157FC3"/>
    <w:rsid w:val="00160215"/>
    <w:rsid w:val="00160739"/>
    <w:rsid w:val="001608B9"/>
    <w:rsid w:val="00160A60"/>
    <w:rsid w:val="00160C2D"/>
    <w:rsid w:val="00161517"/>
    <w:rsid w:val="0016271E"/>
    <w:rsid w:val="00162734"/>
    <w:rsid w:val="00162D72"/>
    <w:rsid w:val="00162D7A"/>
    <w:rsid w:val="001636E0"/>
    <w:rsid w:val="0016380B"/>
    <w:rsid w:val="00163C5F"/>
    <w:rsid w:val="00163CF9"/>
    <w:rsid w:val="00163DFF"/>
    <w:rsid w:val="00164CC9"/>
    <w:rsid w:val="00164DAB"/>
    <w:rsid w:val="001655AC"/>
    <w:rsid w:val="00165945"/>
    <w:rsid w:val="00165BBB"/>
    <w:rsid w:val="00165BC8"/>
    <w:rsid w:val="0016613F"/>
    <w:rsid w:val="00166215"/>
    <w:rsid w:val="0016640F"/>
    <w:rsid w:val="00166591"/>
    <w:rsid w:val="00166791"/>
    <w:rsid w:val="001668FF"/>
    <w:rsid w:val="0016759A"/>
    <w:rsid w:val="0017068C"/>
    <w:rsid w:val="00170CD9"/>
    <w:rsid w:val="001710E3"/>
    <w:rsid w:val="00171136"/>
    <w:rsid w:val="00171143"/>
    <w:rsid w:val="001715BF"/>
    <w:rsid w:val="001716D6"/>
    <w:rsid w:val="00171C2B"/>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2D6"/>
    <w:rsid w:val="001754FD"/>
    <w:rsid w:val="00175C30"/>
    <w:rsid w:val="00175C9F"/>
    <w:rsid w:val="00175DA1"/>
    <w:rsid w:val="00176417"/>
    <w:rsid w:val="001767A6"/>
    <w:rsid w:val="001767C0"/>
    <w:rsid w:val="00176AAF"/>
    <w:rsid w:val="00176BD6"/>
    <w:rsid w:val="00176EC6"/>
    <w:rsid w:val="00177069"/>
    <w:rsid w:val="00177125"/>
    <w:rsid w:val="0017772B"/>
    <w:rsid w:val="00177FC1"/>
    <w:rsid w:val="00180066"/>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210"/>
    <w:rsid w:val="00185332"/>
    <w:rsid w:val="0018538E"/>
    <w:rsid w:val="0018588A"/>
    <w:rsid w:val="0018588C"/>
    <w:rsid w:val="0018596B"/>
    <w:rsid w:val="00185A12"/>
    <w:rsid w:val="00185F11"/>
    <w:rsid w:val="00185FA5"/>
    <w:rsid w:val="0018606B"/>
    <w:rsid w:val="001860BA"/>
    <w:rsid w:val="00187252"/>
    <w:rsid w:val="00187EA6"/>
    <w:rsid w:val="001909F1"/>
    <w:rsid w:val="00190C96"/>
    <w:rsid w:val="00190E0C"/>
    <w:rsid w:val="0019104B"/>
    <w:rsid w:val="001910BA"/>
    <w:rsid w:val="001916EB"/>
    <w:rsid w:val="00191C91"/>
    <w:rsid w:val="001920EA"/>
    <w:rsid w:val="0019245F"/>
    <w:rsid w:val="00192D6B"/>
    <w:rsid w:val="00192DD9"/>
    <w:rsid w:val="00193A55"/>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E31"/>
    <w:rsid w:val="001A0C20"/>
    <w:rsid w:val="001A0D0F"/>
    <w:rsid w:val="001A0E39"/>
    <w:rsid w:val="001A177A"/>
    <w:rsid w:val="001A180D"/>
    <w:rsid w:val="001A1B61"/>
    <w:rsid w:val="001A1BAC"/>
    <w:rsid w:val="001A23CE"/>
    <w:rsid w:val="001A2C89"/>
    <w:rsid w:val="001A2D5B"/>
    <w:rsid w:val="001A2FE9"/>
    <w:rsid w:val="001A32ED"/>
    <w:rsid w:val="001A3C1F"/>
    <w:rsid w:val="001A3DE6"/>
    <w:rsid w:val="001A414B"/>
    <w:rsid w:val="001A455F"/>
    <w:rsid w:val="001A47B5"/>
    <w:rsid w:val="001A4E3C"/>
    <w:rsid w:val="001A4F6D"/>
    <w:rsid w:val="001A506E"/>
    <w:rsid w:val="001A5222"/>
    <w:rsid w:val="001A5DD7"/>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35D8"/>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3C2"/>
    <w:rsid w:val="001C3771"/>
    <w:rsid w:val="001C3A99"/>
    <w:rsid w:val="001C3AE4"/>
    <w:rsid w:val="001C3D3D"/>
    <w:rsid w:val="001C3EE9"/>
    <w:rsid w:val="001C3FA4"/>
    <w:rsid w:val="001C40F9"/>
    <w:rsid w:val="001C439F"/>
    <w:rsid w:val="001C458B"/>
    <w:rsid w:val="001C4706"/>
    <w:rsid w:val="001C4AE2"/>
    <w:rsid w:val="001C4BD6"/>
    <w:rsid w:val="001C4FC2"/>
    <w:rsid w:val="001C5D4F"/>
    <w:rsid w:val="001C611A"/>
    <w:rsid w:val="001C64C0"/>
    <w:rsid w:val="001C69DA"/>
    <w:rsid w:val="001C6E2D"/>
    <w:rsid w:val="001C6EAE"/>
    <w:rsid w:val="001C6F06"/>
    <w:rsid w:val="001C7223"/>
    <w:rsid w:val="001C741E"/>
    <w:rsid w:val="001C77D4"/>
    <w:rsid w:val="001D0198"/>
    <w:rsid w:val="001D01E3"/>
    <w:rsid w:val="001D032F"/>
    <w:rsid w:val="001D0417"/>
    <w:rsid w:val="001D0731"/>
    <w:rsid w:val="001D0DEC"/>
    <w:rsid w:val="001D0FAB"/>
    <w:rsid w:val="001D13FA"/>
    <w:rsid w:val="001D15BB"/>
    <w:rsid w:val="001D2360"/>
    <w:rsid w:val="001D24FA"/>
    <w:rsid w:val="001D2932"/>
    <w:rsid w:val="001D2DA1"/>
    <w:rsid w:val="001D2EC5"/>
    <w:rsid w:val="001D2FFA"/>
    <w:rsid w:val="001D3109"/>
    <w:rsid w:val="001D3181"/>
    <w:rsid w:val="001D31F9"/>
    <w:rsid w:val="001D332E"/>
    <w:rsid w:val="001D344A"/>
    <w:rsid w:val="001D3733"/>
    <w:rsid w:val="001D382E"/>
    <w:rsid w:val="001D3836"/>
    <w:rsid w:val="001D3BA5"/>
    <w:rsid w:val="001D4490"/>
    <w:rsid w:val="001D48F5"/>
    <w:rsid w:val="001D4C70"/>
    <w:rsid w:val="001D5033"/>
    <w:rsid w:val="001D5281"/>
    <w:rsid w:val="001D544E"/>
    <w:rsid w:val="001D5C6A"/>
    <w:rsid w:val="001D5C88"/>
    <w:rsid w:val="001D5CED"/>
    <w:rsid w:val="001D5F5E"/>
    <w:rsid w:val="001D638A"/>
    <w:rsid w:val="001D6567"/>
    <w:rsid w:val="001D695C"/>
    <w:rsid w:val="001D6CFC"/>
    <w:rsid w:val="001D6FB2"/>
    <w:rsid w:val="001D6FD9"/>
    <w:rsid w:val="001D72E2"/>
    <w:rsid w:val="001D7447"/>
    <w:rsid w:val="001D765A"/>
    <w:rsid w:val="001D7764"/>
    <w:rsid w:val="001D780E"/>
    <w:rsid w:val="001D7BD2"/>
    <w:rsid w:val="001D7E19"/>
    <w:rsid w:val="001E0510"/>
    <w:rsid w:val="001E05C3"/>
    <w:rsid w:val="001E0AD3"/>
    <w:rsid w:val="001E1F6B"/>
    <w:rsid w:val="001E20FE"/>
    <w:rsid w:val="001E21F0"/>
    <w:rsid w:val="001E252C"/>
    <w:rsid w:val="001E2815"/>
    <w:rsid w:val="001E2DEE"/>
    <w:rsid w:val="001E304C"/>
    <w:rsid w:val="001E3144"/>
    <w:rsid w:val="001E325C"/>
    <w:rsid w:val="001E32A3"/>
    <w:rsid w:val="001E36E4"/>
    <w:rsid w:val="001E373B"/>
    <w:rsid w:val="001E379D"/>
    <w:rsid w:val="001E3809"/>
    <w:rsid w:val="001E3A3C"/>
    <w:rsid w:val="001E3B79"/>
    <w:rsid w:val="001E4824"/>
    <w:rsid w:val="001E49B1"/>
    <w:rsid w:val="001E4F90"/>
    <w:rsid w:val="001E56FF"/>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DCC"/>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5BF4"/>
    <w:rsid w:val="001F611F"/>
    <w:rsid w:val="001F6152"/>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433"/>
    <w:rsid w:val="0020271B"/>
    <w:rsid w:val="00202B61"/>
    <w:rsid w:val="002031DB"/>
    <w:rsid w:val="002033A1"/>
    <w:rsid w:val="0020349A"/>
    <w:rsid w:val="002034B4"/>
    <w:rsid w:val="00203A7E"/>
    <w:rsid w:val="00204032"/>
    <w:rsid w:val="002043BA"/>
    <w:rsid w:val="0020454E"/>
    <w:rsid w:val="00204BAD"/>
    <w:rsid w:val="00204D60"/>
    <w:rsid w:val="00204DA7"/>
    <w:rsid w:val="00204DDB"/>
    <w:rsid w:val="00204EA2"/>
    <w:rsid w:val="00204F1A"/>
    <w:rsid w:val="00205627"/>
    <w:rsid w:val="002056D0"/>
    <w:rsid w:val="00206606"/>
    <w:rsid w:val="002067B5"/>
    <w:rsid w:val="00207A54"/>
    <w:rsid w:val="00207C7C"/>
    <w:rsid w:val="00207C96"/>
    <w:rsid w:val="00210161"/>
    <w:rsid w:val="0021038F"/>
    <w:rsid w:val="00210746"/>
    <w:rsid w:val="00210860"/>
    <w:rsid w:val="00210B6A"/>
    <w:rsid w:val="00210E44"/>
    <w:rsid w:val="002111C2"/>
    <w:rsid w:val="002112DA"/>
    <w:rsid w:val="002118BA"/>
    <w:rsid w:val="0021194B"/>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5C7"/>
    <w:rsid w:val="00220894"/>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E61"/>
    <w:rsid w:val="002250D9"/>
    <w:rsid w:val="002252BC"/>
    <w:rsid w:val="00225A6A"/>
    <w:rsid w:val="00225AC7"/>
    <w:rsid w:val="00225ACC"/>
    <w:rsid w:val="00225CB4"/>
    <w:rsid w:val="0022666E"/>
    <w:rsid w:val="002267AB"/>
    <w:rsid w:val="00226865"/>
    <w:rsid w:val="00226BDA"/>
    <w:rsid w:val="00226DFF"/>
    <w:rsid w:val="00227B82"/>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FC4"/>
    <w:rsid w:val="00253FD6"/>
    <w:rsid w:val="002546F4"/>
    <w:rsid w:val="00254F0F"/>
    <w:rsid w:val="002551D0"/>
    <w:rsid w:val="00255374"/>
    <w:rsid w:val="00255452"/>
    <w:rsid w:val="002556BC"/>
    <w:rsid w:val="002558EB"/>
    <w:rsid w:val="00255AC0"/>
    <w:rsid w:val="00255F8F"/>
    <w:rsid w:val="00256368"/>
    <w:rsid w:val="002567DD"/>
    <w:rsid w:val="00256E03"/>
    <w:rsid w:val="00256EB4"/>
    <w:rsid w:val="00257BF4"/>
    <w:rsid w:val="00260003"/>
    <w:rsid w:val="00260303"/>
    <w:rsid w:val="0026035D"/>
    <w:rsid w:val="002603B6"/>
    <w:rsid w:val="00260677"/>
    <w:rsid w:val="002606D6"/>
    <w:rsid w:val="00260EFE"/>
    <w:rsid w:val="00261089"/>
    <w:rsid w:val="00261C98"/>
    <w:rsid w:val="002620A3"/>
    <w:rsid w:val="002623D0"/>
    <w:rsid w:val="0026248E"/>
    <w:rsid w:val="00262914"/>
    <w:rsid w:val="00262987"/>
    <w:rsid w:val="00262ACB"/>
    <w:rsid w:val="00262E50"/>
    <w:rsid w:val="002630C1"/>
    <w:rsid w:val="0026393E"/>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90F"/>
    <w:rsid w:val="00266B13"/>
    <w:rsid w:val="0026716F"/>
    <w:rsid w:val="00267B2D"/>
    <w:rsid w:val="00270063"/>
    <w:rsid w:val="0027024D"/>
    <w:rsid w:val="002702C9"/>
    <w:rsid w:val="00270728"/>
    <w:rsid w:val="002707BA"/>
    <w:rsid w:val="002707C4"/>
    <w:rsid w:val="00270D42"/>
    <w:rsid w:val="0027154B"/>
    <w:rsid w:val="0027154E"/>
    <w:rsid w:val="00271763"/>
    <w:rsid w:val="0027192E"/>
    <w:rsid w:val="0027195D"/>
    <w:rsid w:val="00271AEA"/>
    <w:rsid w:val="00271FF3"/>
    <w:rsid w:val="00272257"/>
    <w:rsid w:val="00272604"/>
    <w:rsid w:val="0027274E"/>
    <w:rsid w:val="002727FC"/>
    <w:rsid w:val="00272B03"/>
    <w:rsid w:val="00272B15"/>
    <w:rsid w:val="00272B8E"/>
    <w:rsid w:val="002733E2"/>
    <w:rsid w:val="002736C4"/>
    <w:rsid w:val="0027378C"/>
    <w:rsid w:val="00273ABE"/>
    <w:rsid w:val="00273AEA"/>
    <w:rsid w:val="00273C23"/>
    <w:rsid w:val="00274FCF"/>
    <w:rsid w:val="002750B1"/>
    <w:rsid w:val="00275202"/>
    <w:rsid w:val="002754C5"/>
    <w:rsid w:val="0027553D"/>
    <w:rsid w:val="00275552"/>
    <w:rsid w:val="00275710"/>
    <w:rsid w:val="00275890"/>
    <w:rsid w:val="00275C51"/>
    <w:rsid w:val="00275D30"/>
    <w:rsid w:val="00275ED3"/>
    <w:rsid w:val="00276721"/>
    <w:rsid w:val="00276A35"/>
    <w:rsid w:val="00276BE9"/>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A60"/>
    <w:rsid w:val="00282B8E"/>
    <w:rsid w:val="00282CD7"/>
    <w:rsid w:val="0028306E"/>
    <w:rsid w:val="00283473"/>
    <w:rsid w:val="002837CC"/>
    <w:rsid w:val="00283C13"/>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E4C"/>
    <w:rsid w:val="002860C2"/>
    <w:rsid w:val="00286AE7"/>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CCB"/>
    <w:rsid w:val="00292F25"/>
    <w:rsid w:val="00292FDD"/>
    <w:rsid w:val="00293433"/>
    <w:rsid w:val="002937DD"/>
    <w:rsid w:val="00293B5C"/>
    <w:rsid w:val="00293E57"/>
    <w:rsid w:val="00293F5A"/>
    <w:rsid w:val="00294234"/>
    <w:rsid w:val="002947D1"/>
    <w:rsid w:val="002948DF"/>
    <w:rsid w:val="00294D90"/>
    <w:rsid w:val="00294EA2"/>
    <w:rsid w:val="00295166"/>
    <w:rsid w:val="0029520A"/>
    <w:rsid w:val="0029690D"/>
    <w:rsid w:val="00297216"/>
    <w:rsid w:val="0029722B"/>
    <w:rsid w:val="002973E8"/>
    <w:rsid w:val="00297611"/>
    <w:rsid w:val="00297935"/>
    <w:rsid w:val="002A0AE0"/>
    <w:rsid w:val="002A0EC3"/>
    <w:rsid w:val="002A0EE0"/>
    <w:rsid w:val="002A119F"/>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640"/>
    <w:rsid w:val="002A59F0"/>
    <w:rsid w:val="002A5C48"/>
    <w:rsid w:val="002A618F"/>
    <w:rsid w:val="002A6432"/>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9E5"/>
    <w:rsid w:val="002B3A82"/>
    <w:rsid w:val="002B4266"/>
    <w:rsid w:val="002B4292"/>
    <w:rsid w:val="002B45F8"/>
    <w:rsid w:val="002B4AD2"/>
    <w:rsid w:val="002B538E"/>
    <w:rsid w:val="002B54F5"/>
    <w:rsid w:val="002B595A"/>
    <w:rsid w:val="002B5B5B"/>
    <w:rsid w:val="002B5DCA"/>
    <w:rsid w:val="002B63CF"/>
    <w:rsid w:val="002B6565"/>
    <w:rsid w:val="002B6899"/>
    <w:rsid w:val="002B6BDC"/>
    <w:rsid w:val="002B717B"/>
    <w:rsid w:val="002B71F1"/>
    <w:rsid w:val="002B7342"/>
    <w:rsid w:val="002B7389"/>
    <w:rsid w:val="002B75B0"/>
    <w:rsid w:val="002B7878"/>
    <w:rsid w:val="002B7CD8"/>
    <w:rsid w:val="002B7EAF"/>
    <w:rsid w:val="002B7F48"/>
    <w:rsid w:val="002C0030"/>
    <w:rsid w:val="002C07CE"/>
    <w:rsid w:val="002C095B"/>
    <w:rsid w:val="002C099C"/>
    <w:rsid w:val="002C0ADD"/>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613"/>
    <w:rsid w:val="002C6B7F"/>
    <w:rsid w:val="002C6F5E"/>
    <w:rsid w:val="002C71F7"/>
    <w:rsid w:val="002C7353"/>
    <w:rsid w:val="002C7729"/>
    <w:rsid w:val="002D0439"/>
    <w:rsid w:val="002D0678"/>
    <w:rsid w:val="002D06C1"/>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71E"/>
    <w:rsid w:val="002D4904"/>
    <w:rsid w:val="002D4D67"/>
    <w:rsid w:val="002D5738"/>
    <w:rsid w:val="002D5CB1"/>
    <w:rsid w:val="002D5E53"/>
    <w:rsid w:val="002D5F0B"/>
    <w:rsid w:val="002D6347"/>
    <w:rsid w:val="002D6400"/>
    <w:rsid w:val="002D642E"/>
    <w:rsid w:val="002D6508"/>
    <w:rsid w:val="002D6517"/>
    <w:rsid w:val="002D6DAE"/>
    <w:rsid w:val="002D7777"/>
    <w:rsid w:val="002D77A0"/>
    <w:rsid w:val="002D79A9"/>
    <w:rsid w:val="002D7A03"/>
    <w:rsid w:val="002D7CE9"/>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7A8"/>
    <w:rsid w:val="002E1954"/>
    <w:rsid w:val="002E1B94"/>
    <w:rsid w:val="002E1C9E"/>
    <w:rsid w:val="002E1D56"/>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757"/>
    <w:rsid w:val="002E6A79"/>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9CB"/>
    <w:rsid w:val="002F3CDE"/>
    <w:rsid w:val="002F3D77"/>
    <w:rsid w:val="002F3E33"/>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DC9"/>
    <w:rsid w:val="00301DD9"/>
    <w:rsid w:val="00302188"/>
    <w:rsid w:val="0030226D"/>
    <w:rsid w:val="003023A5"/>
    <w:rsid w:val="0030254E"/>
    <w:rsid w:val="003027CB"/>
    <w:rsid w:val="00302E45"/>
    <w:rsid w:val="0030306D"/>
    <w:rsid w:val="0030314C"/>
    <w:rsid w:val="00303251"/>
    <w:rsid w:val="003032F7"/>
    <w:rsid w:val="00303440"/>
    <w:rsid w:val="0030359E"/>
    <w:rsid w:val="00303B0C"/>
    <w:rsid w:val="003044AD"/>
    <w:rsid w:val="00304663"/>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E57"/>
    <w:rsid w:val="003122FE"/>
    <w:rsid w:val="00312400"/>
    <w:rsid w:val="0031257B"/>
    <w:rsid w:val="0031265B"/>
    <w:rsid w:val="00312739"/>
    <w:rsid w:val="00312AAB"/>
    <w:rsid w:val="00312C23"/>
    <w:rsid w:val="00312D10"/>
    <w:rsid w:val="00312D23"/>
    <w:rsid w:val="00313ADA"/>
    <w:rsid w:val="00314166"/>
    <w:rsid w:val="003148C6"/>
    <w:rsid w:val="00314C40"/>
    <w:rsid w:val="00314DD9"/>
    <w:rsid w:val="003155D3"/>
    <w:rsid w:val="0031601B"/>
    <w:rsid w:val="00316153"/>
    <w:rsid w:val="003163F1"/>
    <w:rsid w:val="00316F6C"/>
    <w:rsid w:val="0031745C"/>
    <w:rsid w:val="003178DA"/>
    <w:rsid w:val="00317DB8"/>
    <w:rsid w:val="00317E30"/>
    <w:rsid w:val="00317F8C"/>
    <w:rsid w:val="0032024D"/>
    <w:rsid w:val="0032051F"/>
    <w:rsid w:val="00320618"/>
    <w:rsid w:val="00320741"/>
    <w:rsid w:val="0032100B"/>
    <w:rsid w:val="00321AE2"/>
    <w:rsid w:val="00321BD7"/>
    <w:rsid w:val="00321C77"/>
    <w:rsid w:val="00322254"/>
    <w:rsid w:val="0032260F"/>
    <w:rsid w:val="00322802"/>
    <w:rsid w:val="003228DA"/>
    <w:rsid w:val="00323269"/>
    <w:rsid w:val="00323B63"/>
    <w:rsid w:val="00323D6B"/>
    <w:rsid w:val="003247F3"/>
    <w:rsid w:val="0032494C"/>
    <w:rsid w:val="00324A6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68E"/>
    <w:rsid w:val="0032793E"/>
    <w:rsid w:val="00327B2C"/>
    <w:rsid w:val="00327EF7"/>
    <w:rsid w:val="0033009A"/>
    <w:rsid w:val="003308CD"/>
    <w:rsid w:val="00331128"/>
    <w:rsid w:val="0033171D"/>
    <w:rsid w:val="0033177F"/>
    <w:rsid w:val="00331A52"/>
    <w:rsid w:val="00331CAA"/>
    <w:rsid w:val="00331FC3"/>
    <w:rsid w:val="00332773"/>
    <w:rsid w:val="003329B8"/>
    <w:rsid w:val="00332C61"/>
    <w:rsid w:val="00332E07"/>
    <w:rsid w:val="003330F7"/>
    <w:rsid w:val="003335DD"/>
    <w:rsid w:val="003336B3"/>
    <w:rsid w:val="00334D96"/>
    <w:rsid w:val="0033507A"/>
    <w:rsid w:val="00335B75"/>
    <w:rsid w:val="00335D8C"/>
    <w:rsid w:val="00336072"/>
    <w:rsid w:val="003363A1"/>
    <w:rsid w:val="00336639"/>
    <w:rsid w:val="003369BB"/>
    <w:rsid w:val="00336B37"/>
    <w:rsid w:val="00336DF2"/>
    <w:rsid w:val="00336E98"/>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6CD"/>
    <w:rsid w:val="00342972"/>
    <w:rsid w:val="00342FDD"/>
    <w:rsid w:val="0034339A"/>
    <w:rsid w:val="003435FD"/>
    <w:rsid w:val="00343792"/>
    <w:rsid w:val="0034389C"/>
    <w:rsid w:val="003439D7"/>
    <w:rsid w:val="003440CF"/>
    <w:rsid w:val="0034429B"/>
    <w:rsid w:val="00344360"/>
    <w:rsid w:val="0034454F"/>
    <w:rsid w:val="00344866"/>
    <w:rsid w:val="00344C02"/>
    <w:rsid w:val="003450D7"/>
    <w:rsid w:val="0034552D"/>
    <w:rsid w:val="0034594B"/>
    <w:rsid w:val="003461A1"/>
    <w:rsid w:val="0034638C"/>
    <w:rsid w:val="00346715"/>
    <w:rsid w:val="003468F8"/>
    <w:rsid w:val="0034697F"/>
    <w:rsid w:val="00346EED"/>
    <w:rsid w:val="00346F7F"/>
    <w:rsid w:val="00347293"/>
    <w:rsid w:val="00347388"/>
    <w:rsid w:val="00347558"/>
    <w:rsid w:val="003476F6"/>
    <w:rsid w:val="00347F95"/>
    <w:rsid w:val="0035007E"/>
    <w:rsid w:val="00350108"/>
    <w:rsid w:val="00350498"/>
    <w:rsid w:val="00350762"/>
    <w:rsid w:val="003507C4"/>
    <w:rsid w:val="00350AD9"/>
    <w:rsid w:val="00350EFF"/>
    <w:rsid w:val="003511A3"/>
    <w:rsid w:val="00351606"/>
    <w:rsid w:val="0035160D"/>
    <w:rsid w:val="003519A1"/>
    <w:rsid w:val="00351C3E"/>
    <w:rsid w:val="00351EF5"/>
    <w:rsid w:val="003520ED"/>
    <w:rsid w:val="00352219"/>
    <w:rsid w:val="00352290"/>
    <w:rsid w:val="0035236D"/>
    <w:rsid w:val="00352480"/>
    <w:rsid w:val="003529BC"/>
    <w:rsid w:val="00352D7A"/>
    <w:rsid w:val="00352DA6"/>
    <w:rsid w:val="003530D2"/>
    <w:rsid w:val="00353147"/>
    <w:rsid w:val="0035331A"/>
    <w:rsid w:val="003534E1"/>
    <w:rsid w:val="0035395D"/>
    <w:rsid w:val="003548D8"/>
    <w:rsid w:val="003550D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2F4F"/>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7035"/>
    <w:rsid w:val="003670BA"/>
    <w:rsid w:val="00367441"/>
    <w:rsid w:val="00367673"/>
    <w:rsid w:val="0036774E"/>
    <w:rsid w:val="00367B1D"/>
    <w:rsid w:val="003709D6"/>
    <w:rsid w:val="00370CFE"/>
    <w:rsid w:val="00370E4F"/>
    <w:rsid w:val="0037107B"/>
    <w:rsid w:val="00371215"/>
    <w:rsid w:val="0037129A"/>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20"/>
    <w:rsid w:val="0037535B"/>
    <w:rsid w:val="0037552D"/>
    <w:rsid w:val="003755C6"/>
    <w:rsid w:val="003756DB"/>
    <w:rsid w:val="00376348"/>
    <w:rsid w:val="00376779"/>
    <w:rsid w:val="00376DF1"/>
    <w:rsid w:val="003770BB"/>
    <w:rsid w:val="0037771A"/>
    <w:rsid w:val="003802C0"/>
    <w:rsid w:val="003802DC"/>
    <w:rsid w:val="00380A2C"/>
    <w:rsid w:val="00380C40"/>
    <w:rsid w:val="00380CD2"/>
    <w:rsid w:val="00380E4E"/>
    <w:rsid w:val="00380FBF"/>
    <w:rsid w:val="00381204"/>
    <w:rsid w:val="0038133A"/>
    <w:rsid w:val="00381804"/>
    <w:rsid w:val="003822C7"/>
    <w:rsid w:val="003826AC"/>
    <w:rsid w:val="00382A43"/>
    <w:rsid w:val="00382AA8"/>
    <w:rsid w:val="00382B2B"/>
    <w:rsid w:val="00382CF3"/>
    <w:rsid w:val="00382D60"/>
    <w:rsid w:val="00382E7A"/>
    <w:rsid w:val="00382F29"/>
    <w:rsid w:val="00383055"/>
    <w:rsid w:val="00383407"/>
    <w:rsid w:val="00383461"/>
    <w:rsid w:val="00383AD4"/>
    <w:rsid w:val="00383C8D"/>
    <w:rsid w:val="00384102"/>
    <w:rsid w:val="00384568"/>
    <w:rsid w:val="003845AC"/>
    <w:rsid w:val="00385184"/>
    <w:rsid w:val="003851DE"/>
    <w:rsid w:val="003852FB"/>
    <w:rsid w:val="003853BF"/>
    <w:rsid w:val="00385429"/>
    <w:rsid w:val="003855FC"/>
    <w:rsid w:val="00385B05"/>
    <w:rsid w:val="00386382"/>
    <w:rsid w:val="00386552"/>
    <w:rsid w:val="003865EF"/>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CE"/>
    <w:rsid w:val="003942FE"/>
    <w:rsid w:val="0039557D"/>
    <w:rsid w:val="00395914"/>
    <w:rsid w:val="0039607B"/>
    <w:rsid w:val="003961B4"/>
    <w:rsid w:val="00396949"/>
    <w:rsid w:val="00396AE0"/>
    <w:rsid w:val="00396B18"/>
    <w:rsid w:val="00396C65"/>
    <w:rsid w:val="003971B8"/>
    <w:rsid w:val="0039747A"/>
    <w:rsid w:val="00397493"/>
    <w:rsid w:val="00397A6B"/>
    <w:rsid w:val="00397BBD"/>
    <w:rsid w:val="00397C1D"/>
    <w:rsid w:val="003A000A"/>
    <w:rsid w:val="003A001F"/>
    <w:rsid w:val="003A0421"/>
    <w:rsid w:val="003A0650"/>
    <w:rsid w:val="003A09C0"/>
    <w:rsid w:val="003A0D95"/>
    <w:rsid w:val="003A180F"/>
    <w:rsid w:val="003A18DD"/>
    <w:rsid w:val="003A20C8"/>
    <w:rsid w:val="003A20D8"/>
    <w:rsid w:val="003A22C1"/>
    <w:rsid w:val="003A24AE"/>
    <w:rsid w:val="003A2B03"/>
    <w:rsid w:val="003A2C29"/>
    <w:rsid w:val="003A2DE1"/>
    <w:rsid w:val="003A2DEB"/>
    <w:rsid w:val="003A2E82"/>
    <w:rsid w:val="003A2EC3"/>
    <w:rsid w:val="003A351A"/>
    <w:rsid w:val="003A36F2"/>
    <w:rsid w:val="003A3812"/>
    <w:rsid w:val="003A388B"/>
    <w:rsid w:val="003A3BC7"/>
    <w:rsid w:val="003A3C88"/>
    <w:rsid w:val="003A3D03"/>
    <w:rsid w:val="003A3D39"/>
    <w:rsid w:val="003A3EC7"/>
    <w:rsid w:val="003A40B4"/>
    <w:rsid w:val="003A410A"/>
    <w:rsid w:val="003A4586"/>
    <w:rsid w:val="003A47C0"/>
    <w:rsid w:val="003A501E"/>
    <w:rsid w:val="003A516B"/>
    <w:rsid w:val="003A5618"/>
    <w:rsid w:val="003A6336"/>
    <w:rsid w:val="003A63C1"/>
    <w:rsid w:val="003A63C7"/>
    <w:rsid w:val="003A663C"/>
    <w:rsid w:val="003A6D70"/>
    <w:rsid w:val="003A7834"/>
    <w:rsid w:val="003A78FB"/>
    <w:rsid w:val="003A7B6F"/>
    <w:rsid w:val="003A7C52"/>
    <w:rsid w:val="003B0003"/>
    <w:rsid w:val="003B027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74"/>
    <w:rsid w:val="003B50BC"/>
    <w:rsid w:val="003B52B7"/>
    <w:rsid w:val="003B52DE"/>
    <w:rsid w:val="003B5392"/>
    <w:rsid w:val="003B57D2"/>
    <w:rsid w:val="003B5A56"/>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709"/>
    <w:rsid w:val="003C0BEE"/>
    <w:rsid w:val="003C1012"/>
    <w:rsid w:val="003C10A1"/>
    <w:rsid w:val="003C1173"/>
    <w:rsid w:val="003C11C9"/>
    <w:rsid w:val="003C1229"/>
    <w:rsid w:val="003C15E1"/>
    <w:rsid w:val="003C1A60"/>
    <w:rsid w:val="003C1FD4"/>
    <w:rsid w:val="003C213D"/>
    <w:rsid w:val="003C225B"/>
    <w:rsid w:val="003C2382"/>
    <w:rsid w:val="003C2406"/>
    <w:rsid w:val="003C25AD"/>
    <w:rsid w:val="003C2664"/>
    <w:rsid w:val="003C2D21"/>
    <w:rsid w:val="003C3563"/>
    <w:rsid w:val="003C3D37"/>
    <w:rsid w:val="003C4070"/>
    <w:rsid w:val="003C45B2"/>
    <w:rsid w:val="003C4787"/>
    <w:rsid w:val="003C4D10"/>
    <w:rsid w:val="003C4E23"/>
    <w:rsid w:val="003C4EBD"/>
    <w:rsid w:val="003C5E6B"/>
    <w:rsid w:val="003C5F34"/>
    <w:rsid w:val="003C6270"/>
    <w:rsid w:val="003C62CB"/>
    <w:rsid w:val="003C6781"/>
    <w:rsid w:val="003C6791"/>
    <w:rsid w:val="003C6929"/>
    <w:rsid w:val="003C7678"/>
    <w:rsid w:val="003C7AD7"/>
    <w:rsid w:val="003C7BD9"/>
    <w:rsid w:val="003C7DA3"/>
    <w:rsid w:val="003D0004"/>
    <w:rsid w:val="003D0EA7"/>
    <w:rsid w:val="003D0F24"/>
    <w:rsid w:val="003D0FC3"/>
    <w:rsid w:val="003D137E"/>
    <w:rsid w:val="003D15F4"/>
    <w:rsid w:val="003D176E"/>
    <w:rsid w:val="003D17B1"/>
    <w:rsid w:val="003D18CE"/>
    <w:rsid w:val="003D1BED"/>
    <w:rsid w:val="003D1DC5"/>
    <w:rsid w:val="003D22FD"/>
    <w:rsid w:val="003D2C1D"/>
    <w:rsid w:val="003D2C34"/>
    <w:rsid w:val="003D30C1"/>
    <w:rsid w:val="003D347B"/>
    <w:rsid w:val="003D36CF"/>
    <w:rsid w:val="003D39CE"/>
    <w:rsid w:val="003D3DDD"/>
    <w:rsid w:val="003D42D7"/>
    <w:rsid w:val="003D47A6"/>
    <w:rsid w:val="003D521F"/>
    <w:rsid w:val="003D553D"/>
    <w:rsid w:val="003D55ED"/>
    <w:rsid w:val="003D568E"/>
    <w:rsid w:val="003D5842"/>
    <w:rsid w:val="003D58F9"/>
    <w:rsid w:val="003D5CBF"/>
    <w:rsid w:val="003D5F4F"/>
    <w:rsid w:val="003D63CB"/>
    <w:rsid w:val="003D66D2"/>
    <w:rsid w:val="003D6C43"/>
    <w:rsid w:val="003D6D5C"/>
    <w:rsid w:val="003D73DB"/>
    <w:rsid w:val="003D73DC"/>
    <w:rsid w:val="003D73E5"/>
    <w:rsid w:val="003D7584"/>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118"/>
    <w:rsid w:val="003E5434"/>
    <w:rsid w:val="003E6061"/>
    <w:rsid w:val="003E6316"/>
    <w:rsid w:val="003E66AE"/>
    <w:rsid w:val="003E6884"/>
    <w:rsid w:val="003E6A6D"/>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2371"/>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F2E"/>
    <w:rsid w:val="003F5041"/>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4A"/>
    <w:rsid w:val="004108FA"/>
    <w:rsid w:val="00410B99"/>
    <w:rsid w:val="0041157B"/>
    <w:rsid w:val="00411667"/>
    <w:rsid w:val="00412461"/>
    <w:rsid w:val="00412483"/>
    <w:rsid w:val="0041249E"/>
    <w:rsid w:val="00412546"/>
    <w:rsid w:val="004126EE"/>
    <w:rsid w:val="004128E5"/>
    <w:rsid w:val="00413053"/>
    <w:rsid w:val="0041319C"/>
    <w:rsid w:val="00413218"/>
    <w:rsid w:val="004134B7"/>
    <w:rsid w:val="00413510"/>
    <w:rsid w:val="00413650"/>
    <w:rsid w:val="0041378F"/>
    <w:rsid w:val="004137A7"/>
    <w:rsid w:val="004137B6"/>
    <w:rsid w:val="004138A4"/>
    <w:rsid w:val="00413A54"/>
    <w:rsid w:val="00413A83"/>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135"/>
    <w:rsid w:val="004151E4"/>
    <w:rsid w:val="0041529B"/>
    <w:rsid w:val="00415947"/>
    <w:rsid w:val="00415D76"/>
    <w:rsid w:val="00416665"/>
    <w:rsid w:val="00416A67"/>
    <w:rsid w:val="00416ACB"/>
    <w:rsid w:val="00416B2F"/>
    <w:rsid w:val="00416C1C"/>
    <w:rsid w:val="0041720C"/>
    <w:rsid w:val="00417253"/>
    <w:rsid w:val="0041727F"/>
    <w:rsid w:val="0041734A"/>
    <w:rsid w:val="00417885"/>
    <w:rsid w:val="0042126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65C"/>
    <w:rsid w:val="00424687"/>
    <w:rsid w:val="00424932"/>
    <w:rsid w:val="00424A9F"/>
    <w:rsid w:val="00424C29"/>
    <w:rsid w:val="004251D6"/>
    <w:rsid w:val="0042545B"/>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1CE"/>
    <w:rsid w:val="00432331"/>
    <w:rsid w:val="004324DB"/>
    <w:rsid w:val="00432591"/>
    <w:rsid w:val="00432CE3"/>
    <w:rsid w:val="004330F4"/>
    <w:rsid w:val="00433251"/>
    <w:rsid w:val="004332EC"/>
    <w:rsid w:val="004332FD"/>
    <w:rsid w:val="004334A9"/>
    <w:rsid w:val="004334AE"/>
    <w:rsid w:val="00433590"/>
    <w:rsid w:val="0043366C"/>
    <w:rsid w:val="0043393D"/>
    <w:rsid w:val="00434050"/>
    <w:rsid w:val="00434126"/>
    <w:rsid w:val="004344C7"/>
    <w:rsid w:val="00434EB3"/>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E5D"/>
    <w:rsid w:val="00442F2B"/>
    <w:rsid w:val="00443238"/>
    <w:rsid w:val="00443986"/>
    <w:rsid w:val="00443C85"/>
    <w:rsid w:val="00444247"/>
    <w:rsid w:val="004447AD"/>
    <w:rsid w:val="004449AA"/>
    <w:rsid w:val="00444C38"/>
    <w:rsid w:val="00444F21"/>
    <w:rsid w:val="00445702"/>
    <w:rsid w:val="00445A19"/>
    <w:rsid w:val="00445F7D"/>
    <w:rsid w:val="00445FB6"/>
    <w:rsid w:val="004460C2"/>
    <w:rsid w:val="004461D9"/>
    <w:rsid w:val="00446528"/>
    <w:rsid w:val="004465F2"/>
    <w:rsid w:val="00446AC6"/>
    <w:rsid w:val="00446D21"/>
    <w:rsid w:val="00447379"/>
    <w:rsid w:val="00447417"/>
    <w:rsid w:val="0044759B"/>
    <w:rsid w:val="0044767A"/>
    <w:rsid w:val="004476D6"/>
    <w:rsid w:val="004479AE"/>
    <w:rsid w:val="00447F54"/>
    <w:rsid w:val="004506CD"/>
    <w:rsid w:val="00450B7E"/>
    <w:rsid w:val="0045136B"/>
    <w:rsid w:val="00451C7E"/>
    <w:rsid w:val="0045224E"/>
    <w:rsid w:val="004527E3"/>
    <w:rsid w:val="00452B34"/>
    <w:rsid w:val="00453937"/>
    <w:rsid w:val="00453BB6"/>
    <w:rsid w:val="00453CAA"/>
    <w:rsid w:val="0045440D"/>
    <w:rsid w:val="00454580"/>
    <w:rsid w:val="004546D0"/>
    <w:rsid w:val="00454876"/>
    <w:rsid w:val="00454D96"/>
    <w:rsid w:val="0045509E"/>
    <w:rsid w:val="00455113"/>
    <w:rsid w:val="00455A8D"/>
    <w:rsid w:val="00455BE7"/>
    <w:rsid w:val="00455D31"/>
    <w:rsid w:val="004563A7"/>
    <w:rsid w:val="00456421"/>
    <w:rsid w:val="004565FB"/>
    <w:rsid w:val="00456AE9"/>
    <w:rsid w:val="00456D5F"/>
    <w:rsid w:val="00456DAB"/>
    <w:rsid w:val="0045712D"/>
    <w:rsid w:val="0045743C"/>
    <w:rsid w:val="00457526"/>
    <w:rsid w:val="004578F3"/>
    <w:rsid w:val="00457BC8"/>
    <w:rsid w:val="00457FEF"/>
    <w:rsid w:val="004603BE"/>
    <w:rsid w:val="00460C5A"/>
    <w:rsid w:val="00460CC3"/>
    <w:rsid w:val="00460E75"/>
    <w:rsid w:val="00460E86"/>
    <w:rsid w:val="00461310"/>
    <w:rsid w:val="0046149A"/>
    <w:rsid w:val="00461ADB"/>
    <w:rsid w:val="00462035"/>
    <w:rsid w:val="00462062"/>
    <w:rsid w:val="004620FE"/>
    <w:rsid w:val="00462278"/>
    <w:rsid w:val="004628BA"/>
    <w:rsid w:val="00462A4E"/>
    <w:rsid w:val="00463584"/>
    <w:rsid w:val="0046364E"/>
    <w:rsid w:val="00463680"/>
    <w:rsid w:val="00463A6F"/>
    <w:rsid w:val="00463BAE"/>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54B"/>
    <w:rsid w:val="004676A4"/>
    <w:rsid w:val="004678C1"/>
    <w:rsid w:val="00467AB4"/>
    <w:rsid w:val="004700A6"/>
    <w:rsid w:val="00470669"/>
    <w:rsid w:val="0047069F"/>
    <w:rsid w:val="0047083E"/>
    <w:rsid w:val="00470BD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C35"/>
    <w:rsid w:val="004806F0"/>
    <w:rsid w:val="00480988"/>
    <w:rsid w:val="00480E05"/>
    <w:rsid w:val="00480F2B"/>
    <w:rsid w:val="00480F2F"/>
    <w:rsid w:val="00481500"/>
    <w:rsid w:val="00481504"/>
    <w:rsid w:val="004818D4"/>
    <w:rsid w:val="0048191E"/>
    <w:rsid w:val="00481E9E"/>
    <w:rsid w:val="00482078"/>
    <w:rsid w:val="00482682"/>
    <w:rsid w:val="00482BBE"/>
    <w:rsid w:val="00482C6A"/>
    <w:rsid w:val="00482D85"/>
    <w:rsid w:val="0048325D"/>
    <w:rsid w:val="004834BA"/>
    <w:rsid w:val="00483A12"/>
    <w:rsid w:val="00484458"/>
    <w:rsid w:val="0048477C"/>
    <w:rsid w:val="0048498F"/>
    <w:rsid w:val="00484A4C"/>
    <w:rsid w:val="00484A77"/>
    <w:rsid w:val="00484C94"/>
    <w:rsid w:val="004850F0"/>
    <w:rsid w:val="0048540F"/>
    <w:rsid w:val="00485527"/>
    <w:rsid w:val="00485701"/>
    <w:rsid w:val="00485970"/>
    <w:rsid w:val="00485C0D"/>
    <w:rsid w:val="00486262"/>
    <w:rsid w:val="00486575"/>
    <w:rsid w:val="004866D0"/>
    <w:rsid w:val="004866D7"/>
    <w:rsid w:val="00486EA5"/>
    <w:rsid w:val="004871CD"/>
    <w:rsid w:val="004877FD"/>
    <w:rsid w:val="0048789A"/>
    <w:rsid w:val="00487E33"/>
    <w:rsid w:val="00487EA8"/>
    <w:rsid w:val="00487FC6"/>
    <w:rsid w:val="004900A7"/>
    <w:rsid w:val="004903DD"/>
    <w:rsid w:val="0049089E"/>
    <w:rsid w:val="00491CD4"/>
    <w:rsid w:val="00491DBA"/>
    <w:rsid w:val="004920B9"/>
    <w:rsid w:val="00492613"/>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40"/>
    <w:rsid w:val="00497368"/>
    <w:rsid w:val="00497370"/>
    <w:rsid w:val="00497888"/>
    <w:rsid w:val="00497C5D"/>
    <w:rsid w:val="004A0367"/>
    <w:rsid w:val="004A0590"/>
    <w:rsid w:val="004A09A1"/>
    <w:rsid w:val="004A0D37"/>
    <w:rsid w:val="004A0F39"/>
    <w:rsid w:val="004A1107"/>
    <w:rsid w:val="004A1663"/>
    <w:rsid w:val="004A1C1C"/>
    <w:rsid w:val="004A1E7A"/>
    <w:rsid w:val="004A223D"/>
    <w:rsid w:val="004A251F"/>
    <w:rsid w:val="004A286E"/>
    <w:rsid w:val="004A3292"/>
    <w:rsid w:val="004A32E2"/>
    <w:rsid w:val="004A34B9"/>
    <w:rsid w:val="004A36D0"/>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DA1"/>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93F"/>
    <w:rsid w:val="004B3B2D"/>
    <w:rsid w:val="004B3ECF"/>
    <w:rsid w:val="004B3F99"/>
    <w:rsid w:val="004B3FAF"/>
    <w:rsid w:val="004B4164"/>
    <w:rsid w:val="004B428A"/>
    <w:rsid w:val="004B43D3"/>
    <w:rsid w:val="004B49E6"/>
    <w:rsid w:val="004B4AF5"/>
    <w:rsid w:val="004B4B8E"/>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0C51"/>
    <w:rsid w:val="004C15B6"/>
    <w:rsid w:val="004C1840"/>
    <w:rsid w:val="004C19A3"/>
    <w:rsid w:val="004C24C9"/>
    <w:rsid w:val="004C2ADA"/>
    <w:rsid w:val="004C2EDA"/>
    <w:rsid w:val="004C2FCF"/>
    <w:rsid w:val="004C31B6"/>
    <w:rsid w:val="004C32D7"/>
    <w:rsid w:val="004C402D"/>
    <w:rsid w:val="004C407E"/>
    <w:rsid w:val="004C4336"/>
    <w:rsid w:val="004C433A"/>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4B5"/>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E66"/>
    <w:rsid w:val="004E1EC9"/>
    <w:rsid w:val="004E21B1"/>
    <w:rsid w:val="004E2804"/>
    <w:rsid w:val="004E28E8"/>
    <w:rsid w:val="004E2DE0"/>
    <w:rsid w:val="004E2EDE"/>
    <w:rsid w:val="004E3938"/>
    <w:rsid w:val="004E4060"/>
    <w:rsid w:val="004E409A"/>
    <w:rsid w:val="004E40D0"/>
    <w:rsid w:val="004E5555"/>
    <w:rsid w:val="004E56C1"/>
    <w:rsid w:val="004E5C3F"/>
    <w:rsid w:val="004E5EFC"/>
    <w:rsid w:val="004E61CF"/>
    <w:rsid w:val="004E62CF"/>
    <w:rsid w:val="004E632F"/>
    <w:rsid w:val="004E63C3"/>
    <w:rsid w:val="004E65B9"/>
    <w:rsid w:val="004E726B"/>
    <w:rsid w:val="004E727F"/>
    <w:rsid w:val="004F0235"/>
    <w:rsid w:val="004F0325"/>
    <w:rsid w:val="004F093C"/>
    <w:rsid w:val="004F0942"/>
    <w:rsid w:val="004F0EB9"/>
    <w:rsid w:val="004F0FB9"/>
    <w:rsid w:val="004F119F"/>
    <w:rsid w:val="004F154F"/>
    <w:rsid w:val="004F1AA9"/>
    <w:rsid w:val="004F22BE"/>
    <w:rsid w:val="004F258E"/>
    <w:rsid w:val="004F2603"/>
    <w:rsid w:val="004F2619"/>
    <w:rsid w:val="004F2F7E"/>
    <w:rsid w:val="004F32B5"/>
    <w:rsid w:val="004F39F1"/>
    <w:rsid w:val="004F407E"/>
    <w:rsid w:val="004F49D0"/>
    <w:rsid w:val="004F4D2D"/>
    <w:rsid w:val="004F5107"/>
    <w:rsid w:val="004F5479"/>
    <w:rsid w:val="004F5812"/>
    <w:rsid w:val="004F5D5D"/>
    <w:rsid w:val="004F5DFE"/>
    <w:rsid w:val="004F6264"/>
    <w:rsid w:val="004F6368"/>
    <w:rsid w:val="004F64BB"/>
    <w:rsid w:val="004F66CC"/>
    <w:rsid w:val="004F66EC"/>
    <w:rsid w:val="004F6946"/>
    <w:rsid w:val="004F6CBD"/>
    <w:rsid w:val="004F6E65"/>
    <w:rsid w:val="004F7528"/>
    <w:rsid w:val="004F78C6"/>
    <w:rsid w:val="004F7BCA"/>
    <w:rsid w:val="004F7D89"/>
    <w:rsid w:val="0050007B"/>
    <w:rsid w:val="005005BD"/>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59E"/>
    <w:rsid w:val="00503F1F"/>
    <w:rsid w:val="00503FFD"/>
    <w:rsid w:val="00504340"/>
    <w:rsid w:val="00504410"/>
    <w:rsid w:val="00504BC1"/>
    <w:rsid w:val="00504F09"/>
    <w:rsid w:val="00504F7C"/>
    <w:rsid w:val="00504FE8"/>
    <w:rsid w:val="00505011"/>
    <w:rsid w:val="00505134"/>
    <w:rsid w:val="00505209"/>
    <w:rsid w:val="00505C04"/>
    <w:rsid w:val="00505DA8"/>
    <w:rsid w:val="00505E47"/>
    <w:rsid w:val="00506199"/>
    <w:rsid w:val="00506980"/>
    <w:rsid w:val="005069D9"/>
    <w:rsid w:val="00506F0C"/>
    <w:rsid w:val="005077A7"/>
    <w:rsid w:val="005079B7"/>
    <w:rsid w:val="00507E8B"/>
    <w:rsid w:val="005100E6"/>
    <w:rsid w:val="0051035D"/>
    <w:rsid w:val="00511035"/>
    <w:rsid w:val="00511C6E"/>
    <w:rsid w:val="00511F15"/>
    <w:rsid w:val="005120D6"/>
    <w:rsid w:val="0051223D"/>
    <w:rsid w:val="00512287"/>
    <w:rsid w:val="0051272C"/>
    <w:rsid w:val="005128B5"/>
    <w:rsid w:val="0051318C"/>
    <w:rsid w:val="00513197"/>
    <w:rsid w:val="00513A87"/>
    <w:rsid w:val="00513AC1"/>
    <w:rsid w:val="005142CD"/>
    <w:rsid w:val="005143C9"/>
    <w:rsid w:val="00514B2D"/>
    <w:rsid w:val="00514F09"/>
    <w:rsid w:val="00515023"/>
    <w:rsid w:val="005155D2"/>
    <w:rsid w:val="005157A9"/>
    <w:rsid w:val="0051599A"/>
    <w:rsid w:val="00515DD8"/>
    <w:rsid w:val="005165CE"/>
    <w:rsid w:val="005168FF"/>
    <w:rsid w:val="00516D50"/>
    <w:rsid w:val="005171E3"/>
    <w:rsid w:val="005173A7"/>
    <w:rsid w:val="00517616"/>
    <w:rsid w:val="005177E1"/>
    <w:rsid w:val="00517A2E"/>
    <w:rsid w:val="005201FC"/>
    <w:rsid w:val="0052055B"/>
    <w:rsid w:val="005205E4"/>
    <w:rsid w:val="00520BEF"/>
    <w:rsid w:val="00520C0A"/>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DE"/>
    <w:rsid w:val="00525861"/>
    <w:rsid w:val="00525F0B"/>
    <w:rsid w:val="00525F18"/>
    <w:rsid w:val="00526184"/>
    <w:rsid w:val="0052621C"/>
    <w:rsid w:val="00526A94"/>
    <w:rsid w:val="00526BF0"/>
    <w:rsid w:val="00526C02"/>
    <w:rsid w:val="00527098"/>
    <w:rsid w:val="00527200"/>
    <w:rsid w:val="005274DC"/>
    <w:rsid w:val="005277F6"/>
    <w:rsid w:val="00527B0C"/>
    <w:rsid w:val="00530157"/>
    <w:rsid w:val="00530423"/>
    <w:rsid w:val="00530AD9"/>
    <w:rsid w:val="005315B4"/>
    <w:rsid w:val="00531A1F"/>
    <w:rsid w:val="00531D97"/>
    <w:rsid w:val="00531E16"/>
    <w:rsid w:val="00531EBE"/>
    <w:rsid w:val="005320F8"/>
    <w:rsid w:val="005321E0"/>
    <w:rsid w:val="005323A7"/>
    <w:rsid w:val="0053242E"/>
    <w:rsid w:val="0053275A"/>
    <w:rsid w:val="00532E5C"/>
    <w:rsid w:val="00532F8B"/>
    <w:rsid w:val="0053323B"/>
    <w:rsid w:val="00533338"/>
    <w:rsid w:val="00533737"/>
    <w:rsid w:val="00533D4D"/>
    <w:rsid w:val="00534083"/>
    <w:rsid w:val="00534200"/>
    <w:rsid w:val="0053433E"/>
    <w:rsid w:val="00534D9F"/>
    <w:rsid w:val="00534E4B"/>
    <w:rsid w:val="00534EA7"/>
    <w:rsid w:val="00534EC0"/>
    <w:rsid w:val="00535342"/>
    <w:rsid w:val="005359CF"/>
    <w:rsid w:val="00535A98"/>
    <w:rsid w:val="00535B79"/>
    <w:rsid w:val="00535CF5"/>
    <w:rsid w:val="00535D7C"/>
    <w:rsid w:val="00535DD6"/>
    <w:rsid w:val="00535F44"/>
    <w:rsid w:val="00536219"/>
    <w:rsid w:val="00536579"/>
    <w:rsid w:val="00536C1E"/>
    <w:rsid w:val="00536C38"/>
    <w:rsid w:val="00537050"/>
    <w:rsid w:val="005370C1"/>
    <w:rsid w:val="005373F6"/>
    <w:rsid w:val="00537985"/>
    <w:rsid w:val="00537F08"/>
    <w:rsid w:val="0054015C"/>
    <w:rsid w:val="005401B4"/>
    <w:rsid w:val="005409F7"/>
    <w:rsid w:val="00540AF3"/>
    <w:rsid w:val="0054104A"/>
    <w:rsid w:val="00541122"/>
    <w:rsid w:val="005416AD"/>
    <w:rsid w:val="00541833"/>
    <w:rsid w:val="00541AA0"/>
    <w:rsid w:val="00541D23"/>
    <w:rsid w:val="00541F63"/>
    <w:rsid w:val="00542272"/>
    <w:rsid w:val="005429D9"/>
    <w:rsid w:val="00543070"/>
    <w:rsid w:val="0054343A"/>
    <w:rsid w:val="005437F4"/>
    <w:rsid w:val="00543974"/>
    <w:rsid w:val="00543AE1"/>
    <w:rsid w:val="00543DEF"/>
    <w:rsid w:val="00543E53"/>
    <w:rsid w:val="00543EBF"/>
    <w:rsid w:val="00543F9A"/>
    <w:rsid w:val="0054476F"/>
    <w:rsid w:val="005447A4"/>
    <w:rsid w:val="00544ABA"/>
    <w:rsid w:val="00545447"/>
    <w:rsid w:val="0054555D"/>
    <w:rsid w:val="00545574"/>
    <w:rsid w:val="0054589E"/>
    <w:rsid w:val="0054593A"/>
    <w:rsid w:val="00545C60"/>
    <w:rsid w:val="00545D32"/>
    <w:rsid w:val="005467FB"/>
    <w:rsid w:val="00546AE9"/>
    <w:rsid w:val="00546F15"/>
    <w:rsid w:val="0054716D"/>
    <w:rsid w:val="005472E4"/>
    <w:rsid w:val="00547522"/>
    <w:rsid w:val="00547989"/>
    <w:rsid w:val="005479B9"/>
    <w:rsid w:val="00547A0D"/>
    <w:rsid w:val="0055079F"/>
    <w:rsid w:val="00550A8C"/>
    <w:rsid w:val="00550F87"/>
    <w:rsid w:val="00550FB4"/>
    <w:rsid w:val="00551320"/>
    <w:rsid w:val="0055185C"/>
    <w:rsid w:val="005518A4"/>
    <w:rsid w:val="00551E6C"/>
    <w:rsid w:val="0055202D"/>
    <w:rsid w:val="005523FA"/>
    <w:rsid w:val="005524C7"/>
    <w:rsid w:val="00552768"/>
    <w:rsid w:val="005527A9"/>
    <w:rsid w:val="00552935"/>
    <w:rsid w:val="00553127"/>
    <w:rsid w:val="005532C9"/>
    <w:rsid w:val="0055370D"/>
    <w:rsid w:val="005537D5"/>
    <w:rsid w:val="00554291"/>
    <w:rsid w:val="00554BE7"/>
    <w:rsid w:val="00554E99"/>
    <w:rsid w:val="005550DE"/>
    <w:rsid w:val="00555817"/>
    <w:rsid w:val="00555BE4"/>
    <w:rsid w:val="005565FF"/>
    <w:rsid w:val="00556727"/>
    <w:rsid w:val="005567EC"/>
    <w:rsid w:val="00556D68"/>
    <w:rsid w:val="00557173"/>
    <w:rsid w:val="00557560"/>
    <w:rsid w:val="005576A1"/>
    <w:rsid w:val="00557941"/>
    <w:rsid w:val="00557A64"/>
    <w:rsid w:val="00557BD6"/>
    <w:rsid w:val="00557CC2"/>
    <w:rsid w:val="00557ED2"/>
    <w:rsid w:val="005605C0"/>
    <w:rsid w:val="00560A17"/>
    <w:rsid w:val="00560C46"/>
    <w:rsid w:val="00560D23"/>
    <w:rsid w:val="00560E59"/>
    <w:rsid w:val="00560F0A"/>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D4A"/>
    <w:rsid w:val="00564F3D"/>
    <w:rsid w:val="005651D3"/>
    <w:rsid w:val="00565687"/>
    <w:rsid w:val="005656ED"/>
    <w:rsid w:val="00565884"/>
    <w:rsid w:val="00566544"/>
    <w:rsid w:val="00566608"/>
    <w:rsid w:val="00566756"/>
    <w:rsid w:val="005667B3"/>
    <w:rsid w:val="00566C83"/>
    <w:rsid w:val="00566D88"/>
    <w:rsid w:val="00567047"/>
    <w:rsid w:val="0056751C"/>
    <w:rsid w:val="00567E70"/>
    <w:rsid w:val="00567F99"/>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53"/>
    <w:rsid w:val="005743DE"/>
    <w:rsid w:val="0057441C"/>
    <w:rsid w:val="0057494A"/>
    <w:rsid w:val="00574EA2"/>
    <w:rsid w:val="00574F3F"/>
    <w:rsid w:val="00575511"/>
    <w:rsid w:val="0057562C"/>
    <w:rsid w:val="005759F6"/>
    <w:rsid w:val="00575DDC"/>
    <w:rsid w:val="00575E3E"/>
    <w:rsid w:val="00575FFB"/>
    <w:rsid w:val="00576409"/>
    <w:rsid w:val="00576444"/>
    <w:rsid w:val="005765F5"/>
    <w:rsid w:val="00576778"/>
    <w:rsid w:val="00576D6C"/>
    <w:rsid w:val="005773E5"/>
    <w:rsid w:val="00577A2E"/>
    <w:rsid w:val="0058028C"/>
    <w:rsid w:val="005802CD"/>
    <w:rsid w:val="005804C4"/>
    <w:rsid w:val="00580609"/>
    <w:rsid w:val="00580E48"/>
    <w:rsid w:val="00580F0A"/>
    <w:rsid w:val="00581158"/>
    <w:rsid w:val="005811D1"/>
    <w:rsid w:val="00581246"/>
    <w:rsid w:val="005813D3"/>
    <w:rsid w:val="00581735"/>
    <w:rsid w:val="00581A59"/>
    <w:rsid w:val="00581D3D"/>
    <w:rsid w:val="00581F65"/>
    <w:rsid w:val="00582C3A"/>
    <w:rsid w:val="00582E1A"/>
    <w:rsid w:val="00582FE7"/>
    <w:rsid w:val="00583147"/>
    <w:rsid w:val="005832D6"/>
    <w:rsid w:val="00583836"/>
    <w:rsid w:val="00583D06"/>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F8D"/>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56B"/>
    <w:rsid w:val="005B16D3"/>
    <w:rsid w:val="005B2225"/>
    <w:rsid w:val="005B2266"/>
    <w:rsid w:val="005B24EF"/>
    <w:rsid w:val="005B2799"/>
    <w:rsid w:val="005B2B3A"/>
    <w:rsid w:val="005B2B77"/>
    <w:rsid w:val="005B2DF2"/>
    <w:rsid w:val="005B35E2"/>
    <w:rsid w:val="005B382A"/>
    <w:rsid w:val="005B3A0B"/>
    <w:rsid w:val="005B3C8B"/>
    <w:rsid w:val="005B3D30"/>
    <w:rsid w:val="005B3D4A"/>
    <w:rsid w:val="005B3DB1"/>
    <w:rsid w:val="005B42C3"/>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20F2"/>
    <w:rsid w:val="005C2403"/>
    <w:rsid w:val="005C2446"/>
    <w:rsid w:val="005C28FA"/>
    <w:rsid w:val="005C2F38"/>
    <w:rsid w:val="005C2FA2"/>
    <w:rsid w:val="005C30FC"/>
    <w:rsid w:val="005C32ED"/>
    <w:rsid w:val="005C3366"/>
    <w:rsid w:val="005C3691"/>
    <w:rsid w:val="005C37EC"/>
    <w:rsid w:val="005C3A99"/>
    <w:rsid w:val="005C3FFF"/>
    <w:rsid w:val="005C4031"/>
    <w:rsid w:val="005C40F4"/>
    <w:rsid w:val="005C43BE"/>
    <w:rsid w:val="005C44F3"/>
    <w:rsid w:val="005C4620"/>
    <w:rsid w:val="005C4B71"/>
    <w:rsid w:val="005C4EEB"/>
    <w:rsid w:val="005C5664"/>
    <w:rsid w:val="005C57F2"/>
    <w:rsid w:val="005C588C"/>
    <w:rsid w:val="005C5894"/>
    <w:rsid w:val="005C5A1C"/>
    <w:rsid w:val="005C671C"/>
    <w:rsid w:val="005C6926"/>
    <w:rsid w:val="005C692E"/>
    <w:rsid w:val="005C6AEA"/>
    <w:rsid w:val="005C6D67"/>
    <w:rsid w:val="005C6EDE"/>
    <w:rsid w:val="005C712D"/>
    <w:rsid w:val="005C72BE"/>
    <w:rsid w:val="005C7755"/>
    <w:rsid w:val="005C7AC9"/>
    <w:rsid w:val="005C7C75"/>
    <w:rsid w:val="005C7CA1"/>
    <w:rsid w:val="005D0069"/>
    <w:rsid w:val="005D0750"/>
    <w:rsid w:val="005D0E4F"/>
    <w:rsid w:val="005D1314"/>
    <w:rsid w:val="005D14D0"/>
    <w:rsid w:val="005D15D0"/>
    <w:rsid w:val="005D197E"/>
    <w:rsid w:val="005D1A3F"/>
    <w:rsid w:val="005D1AED"/>
    <w:rsid w:val="005D1BC2"/>
    <w:rsid w:val="005D1E32"/>
    <w:rsid w:val="005D206B"/>
    <w:rsid w:val="005D22B7"/>
    <w:rsid w:val="005D2BDE"/>
    <w:rsid w:val="005D38B0"/>
    <w:rsid w:val="005D3B60"/>
    <w:rsid w:val="005D3CA4"/>
    <w:rsid w:val="005D3D76"/>
    <w:rsid w:val="005D3F19"/>
    <w:rsid w:val="005D4191"/>
    <w:rsid w:val="005D44C4"/>
    <w:rsid w:val="005D4566"/>
    <w:rsid w:val="005D4578"/>
    <w:rsid w:val="005D4B2E"/>
    <w:rsid w:val="005D4EB0"/>
    <w:rsid w:val="005D4EFA"/>
    <w:rsid w:val="005D54C3"/>
    <w:rsid w:val="005D55BA"/>
    <w:rsid w:val="005D59D6"/>
    <w:rsid w:val="005D5ADB"/>
    <w:rsid w:val="005D5B27"/>
    <w:rsid w:val="005D5C91"/>
    <w:rsid w:val="005D5CD0"/>
    <w:rsid w:val="005D6112"/>
    <w:rsid w:val="005D648A"/>
    <w:rsid w:val="005D654C"/>
    <w:rsid w:val="005D696C"/>
    <w:rsid w:val="005D6E82"/>
    <w:rsid w:val="005D70DC"/>
    <w:rsid w:val="005D746C"/>
    <w:rsid w:val="005D7673"/>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523"/>
    <w:rsid w:val="005E26D8"/>
    <w:rsid w:val="005E28A8"/>
    <w:rsid w:val="005E2BF0"/>
    <w:rsid w:val="005E2E6D"/>
    <w:rsid w:val="005E2F4B"/>
    <w:rsid w:val="005E303C"/>
    <w:rsid w:val="005E3040"/>
    <w:rsid w:val="005E3562"/>
    <w:rsid w:val="005E35CC"/>
    <w:rsid w:val="005E360B"/>
    <w:rsid w:val="005E3713"/>
    <w:rsid w:val="005E371E"/>
    <w:rsid w:val="005E3905"/>
    <w:rsid w:val="005E3E21"/>
    <w:rsid w:val="005E4697"/>
    <w:rsid w:val="005E49D2"/>
    <w:rsid w:val="005E52E5"/>
    <w:rsid w:val="005E53F9"/>
    <w:rsid w:val="005E5925"/>
    <w:rsid w:val="005E592C"/>
    <w:rsid w:val="005E5B0B"/>
    <w:rsid w:val="005E5F05"/>
    <w:rsid w:val="005E6294"/>
    <w:rsid w:val="005E62BF"/>
    <w:rsid w:val="005E6504"/>
    <w:rsid w:val="005E6790"/>
    <w:rsid w:val="005E6A78"/>
    <w:rsid w:val="005E6DD4"/>
    <w:rsid w:val="005E6E6C"/>
    <w:rsid w:val="005E7034"/>
    <w:rsid w:val="005E7242"/>
    <w:rsid w:val="005E775D"/>
    <w:rsid w:val="005E7C77"/>
    <w:rsid w:val="005E7DD4"/>
    <w:rsid w:val="005F061B"/>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75"/>
    <w:rsid w:val="005F6B77"/>
    <w:rsid w:val="005F70F9"/>
    <w:rsid w:val="005F7487"/>
    <w:rsid w:val="005F75EB"/>
    <w:rsid w:val="005F76AB"/>
    <w:rsid w:val="005F7AEF"/>
    <w:rsid w:val="0060013C"/>
    <w:rsid w:val="006002C7"/>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D27"/>
    <w:rsid w:val="006103A1"/>
    <w:rsid w:val="006107EB"/>
    <w:rsid w:val="00610931"/>
    <w:rsid w:val="00610B67"/>
    <w:rsid w:val="00610BCA"/>
    <w:rsid w:val="00610E30"/>
    <w:rsid w:val="00611634"/>
    <w:rsid w:val="00611698"/>
    <w:rsid w:val="00611A26"/>
    <w:rsid w:val="00611DC1"/>
    <w:rsid w:val="006123C9"/>
    <w:rsid w:val="006124EE"/>
    <w:rsid w:val="006125C6"/>
    <w:rsid w:val="006126B8"/>
    <w:rsid w:val="00612CA9"/>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75A9"/>
    <w:rsid w:val="00617B8E"/>
    <w:rsid w:val="00617BEF"/>
    <w:rsid w:val="00617E63"/>
    <w:rsid w:val="006205CA"/>
    <w:rsid w:val="00620716"/>
    <w:rsid w:val="00620B25"/>
    <w:rsid w:val="00620EB7"/>
    <w:rsid w:val="0062145A"/>
    <w:rsid w:val="00621CB3"/>
    <w:rsid w:val="00621F53"/>
    <w:rsid w:val="006228E5"/>
    <w:rsid w:val="00622E2A"/>
    <w:rsid w:val="00623089"/>
    <w:rsid w:val="0062308E"/>
    <w:rsid w:val="006234C4"/>
    <w:rsid w:val="0062407B"/>
    <w:rsid w:val="00624121"/>
    <w:rsid w:val="006243C3"/>
    <w:rsid w:val="006244C9"/>
    <w:rsid w:val="006245F6"/>
    <w:rsid w:val="00624615"/>
    <w:rsid w:val="0062475D"/>
    <w:rsid w:val="00624832"/>
    <w:rsid w:val="0062495F"/>
    <w:rsid w:val="00624AFA"/>
    <w:rsid w:val="00624F6B"/>
    <w:rsid w:val="00625200"/>
    <w:rsid w:val="006252EE"/>
    <w:rsid w:val="00625870"/>
    <w:rsid w:val="00626003"/>
    <w:rsid w:val="0062610F"/>
    <w:rsid w:val="006265C2"/>
    <w:rsid w:val="0062660B"/>
    <w:rsid w:val="00626AD1"/>
    <w:rsid w:val="006271BB"/>
    <w:rsid w:val="006272C7"/>
    <w:rsid w:val="00627377"/>
    <w:rsid w:val="00627C62"/>
    <w:rsid w:val="00627E93"/>
    <w:rsid w:val="006304BC"/>
    <w:rsid w:val="00630DCE"/>
    <w:rsid w:val="00630E37"/>
    <w:rsid w:val="006310DD"/>
    <w:rsid w:val="0063120A"/>
    <w:rsid w:val="006314F6"/>
    <w:rsid w:val="0063150B"/>
    <w:rsid w:val="00631585"/>
    <w:rsid w:val="006315B0"/>
    <w:rsid w:val="006315E2"/>
    <w:rsid w:val="00631F9F"/>
    <w:rsid w:val="00632670"/>
    <w:rsid w:val="0063275E"/>
    <w:rsid w:val="006327F1"/>
    <w:rsid w:val="00632C1B"/>
    <w:rsid w:val="00632C8E"/>
    <w:rsid w:val="00632FAE"/>
    <w:rsid w:val="00633149"/>
    <w:rsid w:val="0063391D"/>
    <w:rsid w:val="00633C46"/>
    <w:rsid w:val="00633FBE"/>
    <w:rsid w:val="00634611"/>
    <w:rsid w:val="00634ACF"/>
    <w:rsid w:val="00635035"/>
    <w:rsid w:val="006351DC"/>
    <w:rsid w:val="006357A4"/>
    <w:rsid w:val="0063580D"/>
    <w:rsid w:val="00635824"/>
    <w:rsid w:val="00635A32"/>
    <w:rsid w:val="00635CAE"/>
    <w:rsid w:val="00635ED7"/>
    <w:rsid w:val="006360A0"/>
    <w:rsid w:val="006360F6"/>
    <w:rsid w:val="00636638"/>
    <w:rsid w:val="00636A9D"/>
    <w:rsid w:val="006371D1"/>
    <w:rsid w:val="00637240"/>
    <w:rsid w:val="00637CF3"/>
    <w:rsid w:val="0064030A"/>
    <w:rsid w:val="0064059B"/>
    <w:rsid w:val="006406F5"/>
    <w:rsid w:val="00640B57"/>
    <w:rsid w:val="00641208"/>
    <w:rsid w:val="006412A9"/>
    <w:rsid w:val="00641323"/>
    <w:rsid w:val="006414A1"/>
    <w:rsid w:val="00641BB2"/>
    <w:rsid w:val="00642179"/>
    <w:rsid w:val="006423B8"/>
    <w:rsid w:val="006425F4"/>
    <w:rsid w:val="00642601"/>
    <w:rsid w:val="00642D69"/>
    <w:rsid w:val="00642DD8"/>
    <w:rsid w:val="006435FF"/>
    <w:rsid w:val="00643660"/>
    <w:rsid w:val="00643750"/>
    <w:rsid w:val="0064487F"/>
    <w:rsid w:val="006448CB"/>
    <w:rsid w:val="00644F3A"/>
    <w:rsid w:val="006450D9"/>
    <w:rsid w:val="00645468"/>
    <w:rsid w:val="00645739"/>
    <w:rsid w:val="00645CB3"/>
    <w:rsid w:val="006462C7"/>
    <w:rsid w:val="0064637E"/>
    <w:rsid w:val="006468B9"/>
    <w:rsid w:val="00646D8C"/>
    <w:rsid w:val="006475D2"/>
    <w:rsid w:val="0064781C"/>
    <w:rsid w:val="00647A5E"/>
    <w:rsid w:val="00647C1A"/>
    <w:rsid w:val="00647CFC"/>
    <w:rsid w:val="00650139"/>
    <w:rsid w:val="00650195"/>
    <w:rsid w:val="006501CE"/>
    <w:rsid w:val="00650785"/>
    <w:rsid w:val="0065082D"/>
    <w:rsid w:val="00650E8D"/>
    <w:rsid w:val="00651E5F"/>
    <w:rsid w:val="0065203B"/>
    <w:rsid w:val="00652350"/>
    <w:rsid w:val="006523AD"/>
    <w:rsid w:val="006524D7"/>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59D"/>
    <w:rsid w:val="00657E19"/>
    <w:rsid w:val="00660514"/>
    <w:rsid w:val="0066090A"/>
    <w:rsid w:val="00660E17"/>
    <w:rsid w:val="006612F0"/>
    <w:rsid w:val="00661566"/>
    <w:rsid w:val="006618CC"/>
    <w:rsid w:val="00662111"/>
    <w:rsid w:val="00662118"/>
    <w:rsid w:val="00662BEF"/>
    <w:rsid w:val="00662E6C"/>
    <w:rsid w:val="00663418"/>
    <w:rsid w:val="00663738"/>
    <w:rsid w:val="006638AD"/>
    <w:rsid w:val="00663C5D"/>
    <w:rsid w:val="00663CAF"/>
    <w:rsid w:val="00663DE4"/>
    <w:rsid w:val="00663ECA"/>
    <w:rsid w:val="00663F30"/>
    <w:rsid w:val="006644C7"/>
    <w:rsid w:val="00665829"/>
    <w:rsid w:val="0066609E"/>
    <w:rsid w:val="0066615C"/>
    <w:rsid w:val="00666D8C"/>
    <w:rsid w:val="00667020"/>
    <w:rsid w:val="0066732C"/>
    <w:rsid w:val="00667691"/>
    <w:rsid w:val="006679F5"/>
    <w:rsid w:val="00667B77"/>
    <w:rsid w:val="006709B2"/>
    <w:rsid w:val="00670A0B"/>
    <w:rsid w:val="00670E10"/>
    <w:rsid w:val="00671026"/>
    <w:rsid w:val="0067107A"/>
    <w:rsid w:val="006716DA"/>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9E6"/>
    <w:rsid w:val="00675A60"/>
    <w:rsid w:val="00675CFA"/>
    <w:rsid w:val="0067697E"/>
    <w:rsid w:val="00676AA2"/>
    <w:rsid w:val="00677443"/>
    <w:rsid w:val="0067769A"/>
    <w:rsid w:val="00677A11"/>
    <w:rsid w:val="00677A73"/>
    <w:rsid w:val="00677D37"/>
    <w:rsid w:val="006806A3"/>
    <w:rsid w:val="006806A6"/>
    <w:rsid w:val="00681103"/>
    <w:rsid w:val="00681211"/>
    <w:rsid w:val="006812C2"/>
    <w:rsid w:val="00681308"/>
    <w:rsid w:val="00681642"/>
    <w:rsid w:val="006819B4"/>
    <w:rsid w:val="006819DF"/>
    <w:rsid w:val="00681B36"/>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E1F"/>
    <w:rsid w:val="00693ECB"/>
    <w:rsid w:val="00694797"/>
    <w:rsid w:val="00694867"/>
    <w:rsid w:val="006948D3"/>
    <w:rsid w:val="00694995"/>
    <w:rsid w:val="00694BDE"/>
    <w:rsid w:val="006952E2"/>
    <w:rsid w:val="006954D8"/>
    <w:rsid w:val="006954D9"/>
    <w:rsid w:val="00695887"/>
    <w:rsid w:val="00695DCA"/>
    <w:rsid w:val="006960D7"/>
    <w:rsid w:val="00696166"/>
    <w:rsid w:val="006962DF"/>
    <w:rsid w:val="00696E9A"/>
    <w:rsid w:val="00697733"/>
    <w:rsid w:val="00697C63"/>
    <w:rsid w:val="00697CE8"/>
    <w:rsid w:val="00697DC8"/>
    <w:rsid w:val="006A0018"/>
    <w:rsid w:val="006A01EA"/>
    <w:rsid w:val="006A0630"/>
    <w:rsid w:val="006A0769"/>
    <w:rsid w:val="006A0ED3"/>
    <w:rsid w:val="006A0F70"/>
    <w:rsid w:val="006A11A1"/>
    <w:rsid w:val="006A181C"/>
    <w:rsid w:val="006A1866"/>
    <w:rsid w:val="006A19F0"/>
    <w:rsid w:val="006A1D2E"/>
    <w:rsid w:val="006A1F05"/>
    <w:rsid w:val="006A20D0"/>
    <w:rsid w:val="006A2223"/>
    <w:rsid w:val="006A2307"/>
    <w:rsid w:val="006A2355"/>
    <w:rsid w:val="006A254E"/>
    <w:rsid w:val="006A2576"/>
    <w:rsid w:val="006A2A6F"/>
    <w:rsid w:val="006A2C30"/>
    <w:rsid w:val="006A301C"/>
    <w:rsid w:val="006A301E"/>
    <w:rsid w:val="006A3229"/>
    <w:rsid w:val="006A399A"/>
    <w:rsid w:val="006A3E2B"/>
    <w:rsid w:val="006A3F39"/>
    <w:rsid w:val="006A4AD1"/>
    <w:rsid w:val="006A57F3"/>
    <w:rsid w:val="006A5E83"/>
    <w:rsid w:val="006A6242"/>
    <w:rsid w:val="006A6E17"/>
    <w:rsid w:val="006A7035"/>
    <w:rsid w:val="006A7116"/>
    <w:rsid w:val="006A76EE"/>
    <w:rsid w:val="006A7A28"/>
    <w:rsid w:val="006B009E"/>
    <w:rsid w:val="006B0871"/>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6B2"/>
    <w:rsid w:val="006B5718"/>
    <w:rsid w:val="006B589B"/>
    <w:rsid w:val="006B5B9E"/>
    <w:rsid w:val="006B600A"/>
    <w:rsid w:val="006B6080"/>
    <w:rsid w:val="006B626A"/>
    <w:rsid w:val="006B6635"/>
    <w:rsid w:val="006B71DF"/>
    <w:rsid w:val="006B77DB"/>
    <w:rsid w:val="006B78FD"/>
    <w:rsid w:val="006B7D22"/>
    <w:rsid w:val="006B7D2C"/>
    <w:rsid w:val="006B7E78"/>
    <w:rsid w:val="006C05BE"/>
    <w:rsid w:val="006C0F8B"/>
    <w:rsid w:val="006C1019"/>
    <w:rsid w:val="006C115C"/>
    <w:rsid w:val="006C17DF"/>
    <w:rsid w:val="006C1AC2"/>
    <w:rsid w:val="006C2A71"/>
    <w:rsid w:val="006C2BB5"/>
    <w:rsid w:val="006C2BEE"/>
    <w:rsid w:val="006C2C40"/>
    <w:rsid w:val="006C2CD2"/>
    <w:rsid w:val="006C2D01"/>
    <w:rsid w:val="006C3AD8"/>
    <w:rsid w:val="006C3ED9"/>
    <w:rsid w:val="006C3FA4"/>
    <w:rsid w:val="006C4516"/>
    <w:rsid w:val="006C455E"/>
    <w:rsid w:val="006C46AD"/>
    <w:rsid w:val="006C4925"/>
    <w:rsid w:val="006C4B2A"/>
    <w:rsid w:val="006C4FB5"/>
    <w:rsid w:val="006C507B"/>
    <w:rsid w:val="006C5958"/>
    <w:rsid w:val="006C5B4F"/>
    <w:rsid w:val="006C5BC8"/>
    <w:rsid w:val="006C62D5"/>
    <w:rsid w:val="006C6368"/>
    <w:rsid w:val="006C643C"/>
    <w:rsid w:val="006C6468"/>
    <w:rsid w:val="006C64BA"/>
    <w:rsid w:val="006C6E3A"/>
    <w:rsid w:val="006C6F4D"/>
    <w:rsid w:val="006C6FD7"/>
    <w:rsid w:val="006C73CC"/>
    <w:rsid w:val="006C7523"/>
    <w:rsid w:val="006C78B7"/>
    <w:rsid w:val="006C7C12"/>
    <w:rsid w:val="006C7E34"/>
    <w:rsid w:val="006C7EB0"/>
    <w:rsid w:val="006D00DB"/>
    <w:rsid w:val="006D026B"/>
    <w:rsid w:val="006D0300"/>
    <w:rsid w:val="006D0361"/>
    <w:rsid w:val="006D053C"/>
    <w:rsid w:val="006D0810"/>
    <w:rsid w:val="006D09DA"/>
    <w:rsid w:val="006D0E02"/>
    <w:rsid w:val="006D1102"/>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6FEF"/>
    <w:rsid w:val="006D7040"/>
    <w:rsid w:val="006D720C"/>
    <w:rsid w:val="006D74F3"/>
    <w:rsid w:val="006D75DA"/>
    <w:rsid w:val="006D7B14"/>
    <w:rsid w:val="006D7C73"/>
    <w:rsid w:val="006D7DEF"/>
    <w:rsid w:val="006D7EB0"/>
    <w:rsid w:val="006E0138"/>
    <w:rsid w:val="006E0312"/>
    <w:rsid w:val="006E06C4"/>
    <w:rsid w:val="006E0B73"/>
    <w:rsid w:val="006E0BB0"/>
    <w:rsid w:val="006E0D34"/>
    <w:rsid w:val="006E12C3"/>
    <w:rsid w:val="006E1D0C"/>
    <w:rsid w:val="006E1D76"/>
    <w:rsid w:val="006E2529"/>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6F4A"/>
    <w:rsid w:val="006E74EF"/>
    <w:rsid w:val="006E756F"/>
    <w:rsid w:val="006E7876"/>
    <w:rsid w:val="006E787C"/>
    <w:rsid w:val="006E799D"/>
    <w:rsid w:val="006E7B4E"/>
    <w:rsid w:val="006E7DEE"/>
    <w:rsid w:val="006F0244"/>
    <w:rsid w:val="006F0364"/>
    <w:rsid w:val="006F0593"/>
    <w:rsid w:val="006F07B5"/>
    <w:rsid w:val="006F086B"/>
    <w:rsid w:val="006F0877"/>
    <w:rsid w:val="006F0A8B"/>
    <w:rsid w:val="006F1064"/>
    <w:rsid w:val="006F1158"/>
    <w:rsid w:val="006F1749"/>
    <w:rsid w:val="006F1E01"/>
    <w:rsid w:val="006F1E7D"/>
    <w:rsid w:val="006F1EB7"/>
    <w:rsid w:val="006F1F7F"/>
    <w:rsid w:val="006F31F2"/>
    <w:rsid w:val="006F36EE"/>
    <w:rsid w:val="006F375C"/>
    <w:rsid w:val="006F42FA"/>
    <w:rsid w:val="006F4624"/>
    <w:rsid w:val="006F4AEF"/>
    <w:rsid w:val="006F4C0A"/>
    <w:rsid w:val="006F52E5"/>
    <w:rsid w:val="006F5357"/>
    <w:rsid w:val="006F53BE"/>
    <w:rsid w:val="006F59C4"/>
    <w:rsid w:val="006F5BF3"/>
    <w:rsid w:val="006F5C60"/>
    <w:rsid w:val="006F6066"/>
    <w:rsid w:val="006F60FF"/>
    <w:rsid w:val="006F634D"/>
    <w:rsid w:val="006F6850"/>
    <w:rsid w:val="006F68AA"/>
    <w:rsid w:val="006F6914"/>
    <w:rsid w:val="006F6B03"/>
    <w:rsid w:val="006F6DDF"/>
    <w:rsid w:val="006F707E"/>
    <w:rsid w:val="007001DC"/>
    <w:rsid w:val="007003A1"/>
    <w:rsid w:val="007007E7"/>
    <w:rsid w:val="00700DFC"/>
    <w:rsid w:val="00701247"/>
    <w:rsid w:val="007014F8"/>
    <w:rsid w:val="00701743"/>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05E"/>
    <w:rsid w:val="00707298"/>
    <w:rsid w:val="0070744F"/>
    <w:rsid w:val="00707755"/>
    <w:rsid w:val="0070782D"/>
    <w:rsid w:val="00707EC1"/>
    <w:rsid w:val="007100F6"/>
    <w:rsid w:val="0071022D"/>
    <w:rsid w:val="00710503"/>
    <w:rsid w:val="007109C2"/>
    <w:rsid w:val="007109C9"/>
    <w:rsid w:val="00710C6A"/>
    <w:rsid w:val="00711223"/>
    <w:rsid w:val="007112BA"/>
    <w:rsid w:val="00711340"/>
    <w:rsid w:val="0071196D"/>
    <w:rsid w:val="00711A92"/>
    <w:rsid w:val="00711BC6"/>
    <w:rsid w:val="007120E9"/>
    <w:rsid w:val="007121F8"/>
    <w:rsid w:val="007126F3"/>
    <w:rsid w:val="00712A5F"/>
    <w:rsid w:val="00712BFC"/>
    <w:rsid w:val="00712C42"/>
    <w:rsid w:val="00713522"/>
    <w:rsid w:val="007135BE"/>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715"/>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51B"/>
    <w:rsid w:val="0072496E"/>
    <w:rsid w:val="00724A75"/>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27F4D"/>
    <w:rsid w:val="0073032B"/>
    <w:rsid w:val="007308A9"/>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2C1"/>
    <w:rsid w:val="00733A34"/>
    <w:rsid w:val="00734339"/>
    <w:rsid w:val="00734761"/>
    <w:rsid w:val="00734EBE"/>
    <w:rsid w:val="00734F47"/>
    <w:rsid w:val="00735522"/>
    <w:rsid w:val="00735605"/>
    <w:rsid w:val="00735662"/>
    <w:rsid w:val="007358C4"/>
    <w:rsid w:val="007358CF"/>
    <w:rsid w:val="00735973"/>
    <w:rsid w:val="007367F2"/>
    <w:rsid w:val="00736B04"/>
    <w:rsid w:val="00736C31"/>
    <w:rsid w:val="00736DD8"/>
    <w:rsid w:val="0073731E"/>
    <w:rsid w:val="00737615"/>
    <w:rsid w:val="007377C4"/>
    <w:rsid w:val="00737D1E"/>
    <w:rsid w:val="00737F9B"/>
    <w:rsid w:val="0074033A"/>
    <w:rsid w:val="00740525"/>
    <w:rsid w:val="0074076A"/>
    <w:rsid w:val="00740DC6"/>
    <w:rsid w:val="00741187"/>
    <w:rsid w:val="00741658"/>
    <w:rsid w:val="00741AF4"/>
    <w:rsid w:val="00741B7E"/>
    <w:rsid w:val="00741D48"/>
    <w:rsid w:val="00741DC8"/>
    <w:rsid w:val="00741DCC"/>
    <w:rsid w:val="00741DFB"/>
    <w:rsid w:val="0074203A"/>
    <w:rsid w:val="0074207A"/>
    <w:rsid w:val="007421D7"/>
    <w:rsid w:val="007427B5"/>
    <w:rsid w:val="00742865"/>
    <w:rsid w:val="0074296C"/>
    <w:rsid w:val="00742C83"/>
    <w:rsid w:val="007431D2"/>
    <w:rsid w:val="0074360F"/>
    <w:rsid w:val="007438B4"/>
    <w:rsid w:val="00743D04"/>
    <w:rsid w:val="00744276"/>
    <w:rsid w:val="0074479C"/>
    <w:rsid w:val="007448C3"/>
    <w:rsid w:val="00744A64"/>
    <w:rsid w:val="00744BE2"/>
    <w:rsid w:val="00744D47"/>
    <w:rsid w:val="00744EA0"/>
    <w:rsid w:val="00745D2E"/>
    <w:rsid w:val="0074638D"/>
    <w:rsid w:val="00746484"/>
    <w:rsid w:val="0074655E"/>
    <w:rsid w:val="007466AC"/>
    <w:rsid w:val="00746706"/>
    <w:rsid w:val="0074671E"/>
    <w:rsid w:val="00746865"/>
    <w:rsid w:val="0074704F"/>
    <w:rsid w:val="00747DE6"/>
    <w:rsid w:val="00747F48"/>
    <w:rsid w:val="00747F4C"/>
    <w:rsid w:val="0075028C"/>
    <w:rsid w:val="007509FF"/>
    <w:rsid w:val="00750B27"/>
    <w:rsid w:val="00750BFB"/>
    <w:rsid w:val="0075101B"/>
    <w:rsid w:val="00751091"/>
    <w:rsid w:val="00751B83"/>
    <w:rsid w:val="00751EBA"/>
    <w:rsid w:val="007520C2"/>
    <w:rsid w:val="0075253C"/>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A63"/>
    <w:rsid w:val="007574FC"/>
    <w:rsid w:val="0075751F"/>
    <w:rsid w:val="007579D0"/>
    <w:rsid w:val="00760081"/>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363"/>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46"/>
    <w:rsid w:val="00774FF5"/>
    <w:rsid w:val="007750B3"/>
    <w:rsid w:val="007752A8"/>
    <w:rsid w:val="00775A19"/>
    <w:rsid w:val="00775B46"/>
    <w:rsid w:val="00775BE3"/>
    <w:rsid w:val="00775D71"/>
    <w:rsid w:val="00775F76"/>
    <w:rsid w:val="0077660D"/>
    <w:rsid w:val="0077696A"/>
    <w:rsid w:val="00776AEA"/>
    <w:rsid w:val="00777363"/>
    <w:rsid w:val="00777370"/>
    <w:rsid w:val="00777AA6"/>
    <w:rsid w:val="00777BA0"/>
    <w:rsid w:val="00777F2D"/>
    <w:rsid w:val="00777FDF"/>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5B5"/>
    <w:rsid w:val="0078483B"/>
    <w:rsid w:val="0078493D"/>
    <w:rsid w:val="00784BC9"/>
    <w:rsid w:val="00784EED"/>
    <w:rsid w:val="007851BB"/>
    <w:rsid w:val="0078534D"/>
    <w:rsid w:val="00785811"/>
    <w:rsid w:val="00785900"/>
    <w:rsid w:val="00785974"/>
    <w:rsid w:val="00785CAD"/>
    <w:rsid w:val="007861DF"/>
    <w:rsid w:val="00786347"/>
    <w:rsid w:val="00786651"/>
    <w:rsid w:val="00786657"/>
    <w:rsid w:val="00786958"/>
    <w:rsid w:val="00786C49"/>
    <w:rsid w:val="00786E71"/>
    <w:rsid w:val="00786EC2"/>
    <w:rsid w:val="0078744E"/>
    <w:rsid w:val="0078773B"/>
    <w:rsid w:val="007878F1"/>
    <w:rsid w:val="00787E9C"/>
    <w:rsid w:val="0079025C"/>
    <w:rsid w:val="00790CA8"/>
    <w:rsid w:val="00791288"/>
    <w:rsid w:val="00791306"/>
    <w:rsid w:val="0079150D"/>
    <w:rsid w:val="0079162F"/>
    <w:rsid w:val="0079196C"/>
    <w:rsid w:val="00791C4C"/>
    <w:rsid w:val="00791EC5"/>
    <w:rsid w:val="00791F39"/>
    <w:rsid w:val="007922ED"/>
    <w:rsid w:val="007926AD"/>
    <w:rsid w:val="00792724"/>
    <w:rsid w:val="0079339E"/>
    <w:rsid w:val="00793539"/>
    <w:rsid w:val="007936FE"/>
    <w:rsid w:val="00793985"/>
    <w:rsid w:val="00793D5F"/>
    <w:rsid w:val="0079468D"/>
    <w:rsid w:val="00794924"/>
    <w:rsid w:val="00794B58"/>
    <w:rsid w:val="00794C8A"/>
    <w:rsid w:val="00795179"/>
    <w:rsid w:val="00797109"/>
    <w:rsid w:val="00797921"/>
    <w:rsid w:val="007A022A"/>
    <w:rsid w:val="007A052C"/>
    <w:rsid w:val="007A05C7"/>
    <w:rsid w:val="007A0B99"/>
    <w:rsid w:val="007A0BC2"/>
    <w:rsid w:val="007A0D31"/>
    <w:rsid w:val="007A0E55"/>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4E58"/>
    <w:rsid w:val="007A5406"/>
    <w:rsid w:val="007A580B"/>
    <w:rsid w:val="007A639A"/>
    <w:rsid w:val="007A6541"/>
    <w:rsid w:val="007A665C"/>
    <w:rsid w:val="007A6A0E"/>
    <w:rsid w:val="007A6BA4"/>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05E"/>
    <w:rsid w:val="007B355B"/>
    <w:rsid w:val="007B3C31"/>
    <w:rsid w:val="007B3E6C"/>
    <w:rsid w:val="007B4760"/>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6E6"/>
    <w:rsid w:val="007C075E"/>
    <w:rsid w:val="007C0840"/>
    <w:rsid w:val="007C0FC4"/>
    <w:rsid w:val="007C0FEF"/>
    <w:rsid w:val="007C1052"/>
    <w:rsid w:val="007C121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73AF"/>
    <w:rsid w:val="007C7719"/>
    <w:rsid w:val="007C7893"/>
    <w:rsid w:val="007C7926"/>
    <w:rsid w:val="007D02B5"/>
    <w:rsid w:val="007D04A4"/>
    <w:rsid w:val="007D0BF5"/>
    <w:rsid w:val="007D0D30"/>
    <w:rsid w:val="007D0EA5"/>
    <w:rsid w:val="007D10AC"/>
    <w:rsid w:val="007D111C"/>
    <w:rsid w:val="007D1280"/>
    <w:rsid w:val="007D1B02"/>
    <w:rsid w:val="007D1B52"/>
    <w:rsid w:val="007D229A"/>
    <w:rsid w:val="007D2355"/>
    <w:rsid w:val="007D2473"/>
    <w:rsid w:val="007D253F"/>
    <w:rsid w:val="007D29AA"/>
    <w:rsid w:val="007D2F09"/>
    <w:rsid w:val="007D2F44"/>
    <w:rsid w:val="007D2F4D"/>
    <w:rsid w:val="007D3119"/>
    <w:rsid w:val="007D31F5"/>
    <w:rsid w:val="007D3544"/>
    <w:rsid w:val="007D379B"/>
    <w:rsid w:val="007D3B66"/>
    <w:rsid w:val="007D40DA"/>
    <w:rsid w:val="007D4178"/>
    <w:rsid w:val="007D428C"/>
    <w:rsid w:val="007D451A"/>
    <w:rsid w:val="007D4944"/>
    <w:rsid w:val="007D4D10"/>
    <w:rsid w:val="007D4D33"/>
    <w:rsid w:val="007D4FE8"/>
    <w:rsid w:val="007D57AA"/>
    <w:rsid w:val="007D5FC3"/>
    <w:rsid w:val="007D60F4"/>
    <w:rsid w:val="007D670C"/>
    <w:rsid w:val="007D67F3"/>
    <w:rsid w:val="007D69F4"/>
    <w:rsid w:val="007D6BA3"/>
    <w:rsid w:val="007D7175"/>
    <w:rsid w:val="007D779A"/>
    <w:rsid w:val="007E07CB"/>
    <w:rsid w:val="007E0B8D"/>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A89"/>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C94"/>
    <w:rsid w:val="007E7D01"/>
    <w:rsid w:val="007E7DDF"/>
    <w:rsid w:val="007F06E1"/>
    <w:rsid w:val="007F1183"/>
    <w:rsid w:val="007F11C8"/>
    <w:rsid w:val="007F120A"/>
    <w:rsid w:val="007F1CFB"/>
    <w:rsid w:val="007F220B"/>
    <w:rsid w:val="007F27DD"/>
    <w:rsid w:val="007F2AE3"/>
    <w:rsid w:val="007F33A3"/>
    <w:rsid w:val="007F34ED"/>
    <w:rsid w:val="007F3522"/>
    <w:rsid w:val="007F3586"/>
    <w:rsid w:val="007F35ED"/>
    <w:rsid w:val="007F36FD"/>
    <w:rsid w:val="007F388B"/>
    <w:rsid w:val="007F3C15"/>
    <w:rsid w:val="007F3D15"/>
    <w:rsid w:val="007F3ECA"/>
    <w:rsid w:val="007F3EDD"/>
    <w:rsid w:val="007F43D5"/>
    <w:rsid w:val="007F443C"/>
    <w:rsid w:val="007F4F90"/>
    <w:rsid w:val="007F4FE4"/>
    <w:rsid w:val="007F58E1"/>
    <w:rsid w:val="007F5A37"/>
    <w:rsid w:val="007F5EFC"/>
    <w:rsid w:val="007F5FA5"/>
    <w:rsid w:val="007F605F"/>
    <w:rsid w:val="007F681D"/>
    <w:rsid w:val="007F6880"/>
    <w:rsid w:val="007F68E0"/>
    <w:rsid w:val="007F69F1"/>
    <w:rsid w:val="007F70DF"/>
    <w:rsid w:val="007F7237"/>
    <w:rsid w:val="007F76B4"/>
    <w:rsid w:val="007F76E4"/>
    <w:rsid w:val="008000BE"/>
    <w:rsid w:val="0080016D"/>
    <w:rsid w:val="008001B4"/>
    <w:rsid w:val="008006E0"/>
    <w:rsid w:val="00800769"/>
    <w:rsid w:val="00800ED2"/>
    <w:rsid w:val="0080124F"/>
    <w:rsid w:val="008015A8"/>
    <w:rsid w:val="00801615"/>
    <w:rsid w:val="008017A9"/>
    <w:rsid w:val="00801C1E"/>
    <w:rsid w:val="00801C93"/>
    <w:rsid w:val="00801CAD"/>
    <w:rsid w:val="0080215B"/>
    <w:rsid w:val="0080237E"/>
    <w:rsid w:val="008023C2"/>
    <w:rsid w:val="00802E74"/>
    <w:rsid w:val="0080301B"/>
    <w:rsid w:val="008031C2"/>
    <w:rsid w:val="00803AE2"/>
    <w:rsid w:val="00803B89"/>
    <w:rsid w:val="0080412F"/>
    <w:rsid w:val="00804210"/>
    <w:rsid w:val="00804351"/>
    <w:rsid w:val="0080437D"/>
    <w:rsid w:val="008048DB"/>
    <w:rsid w:val="00804B92"/>
    <w:rsid w:val="00804E21"/>
    <w:rsid w:val="00805092"/>
    <w:rsid w:val="00805141"/>
    <w:rsid w:val="0080601C"/>
    <w:rsid w:val="008067CC"/>
    <w:rsid w:val="00806AAF"/>
    <w:rsid w:val="00806FD7"/>
    <w:rsid w:val="008070AC"/>
    <w:rsid w:val="00807F23"/>
    <w:rsid w:val="008101FD"/>
    <w:rsid w:val="00810225"/>
    <w:rsid w:val="00810AB5"/>
    <w:rsid w:val="00810D8D"/>
    <w:rsid w:val="00810E59"/>
    <w:rsid w:val="00810F97"/>
    <w:rsid w:val="00811835"/>
    <w:rsid w:val="00811961"/>
    <w:rsid w:val="00812089"/>
    <w:rsid w:val="0081297C"/>
    <w:rsid w:val="00812A20"/>
    <w:rsid w:val="00812AAC"/>
    <w:rsid w:val="00812BEF"/>
    <w:rsid w:val="00812FF1"/>
    <w:rsid w:val="0081387B"/>
    <w:rsid w:val="00813A16"/>
    <w:rsid w:val="00813B00"/>
    <w:rsid w:val="008141CE"/>
    <w:rsid w:val="00814631"/>
    <w:rsid w:val="0081491B"/>
    <w:rsid w:val="00814A89"/>
    <w:rsid w:val="00814B3C"/>
    <w:rsid w:val="00814F96"/>
    <w:rsid w:val="008152C6"/>
    <w:rsid w:val="0081581D"/>
    <w:rsid w:val="00815CFA"/>
    <w:rsid w:val="00815E27"/>
    <w:rsid w:val="00816C0E"/>
    <w:rsid w:val="00816DA7"/>
    <w:rsid w:val="00816F6D"/>
    <w:rsid w:val="0081715C"/>
    <w:rsid w:val="008172BE"/>
    <w:rsid w:val="0081732D"/>
    <w:rsid w:val="00817B71"/>
    <w:rsid w:val="00817CED"/>
    <w:rsid w:val="00820244"/>
    <w:rsid w:val="00820440"/>
    <w:rsid w:val="00820466"/>
    <w:rsid w:val="008207BF"/>
    <w:rsid w:val="00820B6A"/>
    <w:rsid w:val="00820C09"/>
    <w:rsid w:val="00820FF3"/>
    <w:rsid w:val="008211EA"/>
    <w:rsid w:val="0082122A"/>
    <w:rsid w:val="00821B1C"/>
    <w:rsid w:val="00821B7C"/>
    <w:rsid w:val="00821F91"/>
    <w:rsid w:val="008221B3"/>
    <w:rsid w:val="0082248E"/>
    <w:rsid w:val="00822DD0"/>
    <w:rsid w:val="00822E5B"/>
    <w:rsid w:val="00823415"/>
    <w:rsid w:val="00823818"/>
    <w:rsid w:val="00823AAF"/>
    <w:rsid w:val="00823BE3"/>
    <w:rsid w:val="00823C58"/>
    <w:rsid w:val="00823CB1"/>
    <w:rsid w:val="008243C5"/>
    <w:rsid w:val="0082460B"/>
    <w:rsid w:val="00824DE7"/>
    <w:rsid w:val="00824FDF"/>
    <w:rsid w:val="00825125"/>
    <w:rsid w:val="00825680"/>
    <w:rsid w:val="008257CC"/>
    <w:rsid w:val="00825CEC"/>
    <w:rsid w:val="008260CA"/>
    <w:rsid w:val="0082632F"/>
    <w:rsid w:val="00826488"/>
    <w:rsid w:val="00826EC5"/>
    <w:rsid w:val="00827308"/>
    <w:rsid w:val="008274BF"/>
    <w:rsid w:val="00827603"/>
    <w:rsid w:val="0082786A"/>
    <w:rsid w:val="008279AE"/>
    <w:rsid w:val="00830991"/>
    <w:rsid w:val="00830B75"/>
    <w:rsid w:val="00830DBF"/>
    <w:rsid w:val="00830DC3"/>
    <w:rsid w:val="0083103D"/>
    <w:rsid w:val="00831555"/>
    <w:rsid w:val="008319DD"/>
    <w:rsid w:val="00831CE2"/>
    <w:rsid w:val="00831D7D"/>
    <w:rsid w:val="00831F52"/>
    <w:rsid w:val="00831FE7"/>
    <w:rsid w:val="00832154"/>
    <w:rsid w:val="00832396"/>
    <w:rsid w:val="00832F5C"/>
    <w:rsid w:val="00833107"/>
    <w:rsid w:val="00833108"/>
    <w:rsid w:val="00833E67"/>
    <w:rsid w:val="00833FCD"/>
    <w:rsid w:val="00834717"/>
    <w:rsid w:val="00834906"/>
    <w:rsid w:val="0083491A"/>
    <w:rsid w:val="00834E0F"/>
    <w:rsid w:val="00834FEA"/>
    <w:rsid w:val="008355A9"/>
    <w:rsid w:val="008356F4"/>
    <w:rsid w:val="0083587B"/>
    <w:rsid w:val="008359E0"/>
    <w:rsid w:val="00835D4F"/>
    <w:rsid w:val="0083632D"/>
    <w:rsid w:val="00836592"/>
    <w:rsid w:val="008367D7"/>
    <w:rsid w:val="00836B53"/>
    <w:rsid w:val="008376F6"/>
    <w:rsid w:val="008378AA"/>
    <w:rsid w:val="00837B0A"/>
    <w:rsid w:val="00837D5B"/>
    <w:rsid w:val="00837E83"/>
    <w:rsid w:val="0084010D"/>
    <w:rsid w:val="00840607"/>
    <w:rsid w:val="00840768"/>
    <w:rsid w:val="00840970"/>
    <w:rsid w:val="008411FC"/>
    <w:rsid w:val="00841C3B"/>
    <w:rsid w:val="00841CD2"/>
    <w:rsid w:val="0084253D"/>
    <w:rsid w:val="008428BE"/>
    <w:rsid w:val="00842910"/>
    <w:rsid w:val="00842931"/>
    <w:rsid w:val="00842A9B"/>
    <w:rsid w:val="00842B77"/>
    <w:rsid w:val="00842EEA"/>
    <w:rsid w:val="0084309F"/>
    <w:rsid w:val="008434B9"/>
    <w:rsid w:val="00844198"/>
    <w:rsid w:val="008444AA"/>
    <w:rsid w:val="00844613"/>
    <w:rsid w:val="00844997"/>
    <w:rsid w:val="00844A90"/>
    <w:rsid w:val="00844D85"/>
    <w:rsid w:val="008450C5"/>
    <w:rsid w:val="008459A2"/>
    <w:rsid w:val="00845A00"/>
    <w:rsid w:val="00845C12"/>
    <w:rsid w:val="0084625F"/>
    <w:rsid w:val="0084658B"/>
    <w:rsid w:val="00846790"/>
    <w:rsid w:val="0084684C"/>
    <w:rsid w:val="008469D9"/>
    <w:rsid w:val="00846BE2"/>
    <w:rsid w:val="00846D4A"/>
    <w:rsid w:val="00846DC0"/>
    <w:rsid w:val="00846E86"/>
    <w:rsid w:val="008474A7"/>
    <w:rsid w:val="00847C67"/>
    <w:rsid w:val="00847D0B"/>
    <w:rsid w:val="00850543"/>
    <w:rsid w:val="008506B6"/>
    <w:rsid w:val="00850ABB"/>
    <w:rsid w:val="00850AE0"/>
    <w:rsid w:val="00850BFD"/>
    <w:rsid w:val="00850EEB"/>
    <w:rsid w:val="00851358"/>
    <w:rsid w:val="00851492"/>
    <w:rsid w:val="008514BE"/>
    <w:rsid w:val="00851549"/>
    <w:rsid w:val="00851958"/>
    <w:rsid w:val="00851B0C"/>
    <w:rsid w:val="00851B30"/>
    <w:rsid w:val="00851B6B"/>
    <w:rsid w:val="00851C17"/>
    <w:rsid w:val="00851F48"/>
    <w:rsid w:val="00851FE4"/>
    <w:rsid w:val="008521E8"/>
    <w:rsid w:val="008524BC"/>
    <w:rsid w:val="008524D2"/>
    <w:rsid w:val="0085264A"/>
    <w:rsid w:val="008528F4"/>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CFC"/>
    <w:rsid w:val="0086007C"/>
    <w:rsid w:val="00860357"/>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B3A"/>
    <w:rsid w:val="0086626A"/>
    <w:rsid w:val="008662D4"/>
    <w:rsid w:val="008663E7"/>
    <w:rsid w:val="0086641D"/>
    <w:rsid w:val="00866EB3"/>
    <w:rsid w:val="0086701A"/>
    <w:rsid w:val="0086757B"/>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1F8E"/>
    <w:rsid w:val="00872201"/>
    <w:rsid w:val="0087267D"/>
    <w:rsid w:val="008728A2"/>
    <w:rsid w:val="00872B33"/>
    <w:rsid w:val="00872D3F"/>
    <w:rsid w:val="00872D44"/>
    <w:rsid w:val="008733E4"/>
    <w:rsid w:val="00873F15"/>
    <w:rsid w:val="00874096"/>
    <w:rsid w:val="008740CA"/>
    <w:rsid w:val="0087421F"/>
    <w:rsid w:val="00874B1B"/>
    <w:rsid w:val="00875161"/>
    <w:rsid w:val="008756A4"/>
    <w:rsid w:val="00875B66"/>
    <w:rsid w:val="00875F55"/>
    <w:rsid w:val="00875F73"/>
    <w:rsid w:val="0087652F"/>
    <w:rsid w:val="00876584"/>
    <w:rsid w:val="0087664C"/>
    <w:rsid w:val="00877277"/>
    <w:rsid w:val="00877AA2"/>
    <w:rsid w:val="00877EDB"/>
    <w:rsid w:val="00880133"/>
    <w:rsid w:val="00880BCB"/>
    <w:rsid w:val="00880C6D"/>
    <w:rsid w:val="00880EA1"/>
    <w:rsid w:val="00880F30"/>
    <w:rsid w:val="008824D3"/>
    <w:rsid w:val="00882788"/>
    <w:rsid w:val="00882BE2"/>
    <w:rsid w:val="008833E8"/>
    <w:rsid w:val="00883819"/>
    <w:rsid w:val="00883890"/>
    <w:rsid w:val="008846C5"/>
    <w:rsid w:val="008846F1"/>
    <w:rsid w:val="008847D2"/>
    <w:rsid w:val="00885CA4"/>
    <w:rsid w:val="00885FA3"/>
    <w:rsid w:val="00886870"/>
    <w:rsid w:val="00886A1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917"/>
    <w:rsid w:val="00893FD6"/>
    <w:rsid w:val="00894162"/>
    <w:rsid w:val="0089426C"/>
    <w:rsid w:val="008943E1"/>
    <w:rsid w:val="0089444E"/>
    <w:rsid w:val="008948D2"/>
    <w:rsid w:val="0089498B"/>
    <w:rsid w:val="008949DF"/>
    <w:rsid w:val="00894F04"/>
    <w:rsid w:val="00895088"/>
    <w:rsid w:val="00895199"/>
    <w:rsid w:val="008951DB"/>
    <w:rsid w:val="008953DC"/>
    <w:rsid w:val="0089551D"/>
    <w:rsid w:val="008958BE"/>
    <w:rsid w:val="00895D81"/>
    <w:rsid w:val="00896A75"/>
    <w:rsid w:val="00896C81"/>
    <w:rsid w:val="00896D83"/>
    <w:rsid w:val="008976AB"/>
    <w:rsid w:val="008977B9"/>
    <w:rsid w:val="008977FF"/>
    <w:rsid w:val="008978FD"/>
    <w:rsid w:val="008979CA"/>
    <w:rsid w:val="00897CC8"/>
    <w:rsid w:val="00897F6C"/>
    <w:rsid w:val="008A0687"/>
    <w:rsid w:val="008A0AB2"/>
    <w:rsid w:val="008A0CFC"/>
    <w:rsid w:val="008A0EF9"/>
    <w:rsid w:val="008A12FE"/>
    <w:rsid w:val="008A166E"/>
    <w:rsid w:val="008A19C4"/>
    <w:rsid w:val="008A1D80"/>
    <w:rsid w:val="008A1DB6"/>
    <w:rsid w:val="008A2247"/>
    <w:rsid w:val="008A23B8"/>
    <w:rsid w:val="008A243F"/>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626C"/>
    <w:rsid w:val="008A672A"/>
    <w:rsid w:val="008A6AC3"/>
    <w:rsid w:val="008A6B7F"/>
    <w:rsid w:val="008A73B2"/>
    <w:rsid w:val="008A7415"/>
    <w:rsid w:val="008B043F"/>
    <w:rsid w:val="008B0808"/>
    <w:rsid w:val="008B0869"/>
    <w:rsid w:val="008B0AEC"/>
    <w:rsid w:val="008B10CA"/>
    <w:rsid w:val="008B17C3"/>
    <w:rsid w:val="008B197C"/>
    <w:rsid w:val="008B1BD5"/>
    <w:rsid w:val="008B1E53"/>
    <w:rsid w:val="008B1E5B"/>
    <w:rsid w:val="008B246C"/>
    <w:rsid w:val="008B263E"/>
    <w:rsid w:val="008B2F97"/>
    <w:rsid w:val="008B3069"/>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2A"/>
    <w:rsid w:val="008B694E"/>
    <w:rsid w:val="008B7081"/>
    <w:rsid w:val="008B7098"/>
    <w:rsid w:val="008B72E2"/>
    <w:rsid w:val="008B7B08"/>
    <w:rsid w:val="008C00B5"/>
    <w:rsid w:val="008C0A1E"/>
    <w:rsid w:val="008C0CE9"/>
    <w:rsid w:val="008C0E71"/>
    <w:rsid w:val="008C0F21"/>
    <w:rsid w:val="008C1096"/>
    <w:rsid w:val="008C13F0"/>
    <w:rsid w:val="008C14DD"/>
    <w:rsid w:val="008C1671"/>
    <w:rsid w:val="008C1A09"/>
    <w:rsid w:val="008C1E66"/>
    <w:rsid w:val="008C1F26"/>
    <w:rsid w:val="008C2452"/>
    <w:rsid w:val="008C24CA"/>
    <w:rsid w:val="008C2607"/>
    <w:rsid w:val="008C2A3A"/>
    <w:rsid w:val="008C2BB3"/>
    <w:rsid w:val="008C2FA3"/>
    <w:rsid w:val="008C36BE"/>
    <w:rsid w:val="008C42F2"/>
    <w:rsid w:val="008C48B9"/>
    <w:rsid w:val="008C48C4"/>
    <w:rsid w:val="008C4A76"/>
    <w:rsid w:val="008C4C7E"/>
    <w:rsid w:val="008C5263"/>
    <w:rsid w:val="008C52F7"/>
    <w:rsid w:val="008C53CE"/>
    <w:rsid w:val="008C544A"/>
    <w:rsid w:val="008C580E"/>
    <w:rsid w:val="008C5C17"/>
    <w:rsid w:val="008C5C46"/>
    <w:rsid w:val="008C6184"/>
    <w:rsid w:val="008C6D43"/>
    <w:rsid w:val="008C6DEB"/>
    <w:rsid w:val="008C726B"/>
    <w:rsid w:val="008C785E"/>
    <w:rsid w:val="008D004F"/>
    <w:rsid w:val="008D083E"/>
    <w:rsid w:val="008D0AD1"/>
    <w:rsid w:val="008D0AFB"/>
    <w:rsid w:val="008D0C44"/>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4CF1"/>
    <w:rsid w:val="008D5183"/>
    <w:rsid w:val="008D5465"/>
    <w:rsid w:val="008D5711"/>
    <w:rsid w:val="008D60BC"/>
    <w:rsid w:val="008D6322"/>
    <w:rsid w:val="008D63F9"/>
    <w:rsid w:val="008D6AAF"/>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1E0"/>
    <w:rsid w:val="008F72CC"/>
    <w:rsid w:val="008F72CD"/>
    <w:rsid w:val="008F7349"/>
    <w:rsid w:val="009004F8"/>
    <w:rsid w:val="009005AA"/>
    <w:rsid w:val="0090073F"/>
    <w:rsid w:val="00900C4D"/>
    <w:rsid w:val="0090113E"/>
    <w:rsid w:val="00901883"/>
    <w:rsid w:val="00901AD7"/>
    <w:rsid w:val="00901B8A"/>
    <w:rsid w:val="00902132"/>
    <w:rsid w:val="0090271D"/>
    <w:rsid w:val="00902BBE"/>
    <w:rsid w:val="00902F22"/>
    <w:rsid w:val="009036A1"/>
    <w:rsid w:val="00903802"/>
    <w:rsid w:val="0090389B"/>
    <w:rsid w:val="00903BB5"/>
    <w:rsid w:val="00903C23"/>
    <w:rsid w:val="0090403B"/>
    <w:rsid w:val="009040ED"/>
    <w:rsid w:val="00904160"/>
    <w:rsid w:val="00904249"/>
    <w:rsid w:val="0090431F"/>
    <w:rsid w:val="009047C2"/>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5EDE"/>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4CD"/>
    <w:rsid w:val="0092153B"/>
    <w:rsid w:val="00921566"/>
    <w:rsid w:val="0092180D"/>
    <w:rsid w:val="009220CA"/>
    <w:rsid w:val="00922A63"/>
    <w:rsid w:val="00922F87"/>
    <w:rsid w:val="0092300C"/>
    <w:rsid w:val="0092306A"/>
    <w:rsid w:val="009232C9"/>
    <w:rsid w:val="00923608"/>
    <w:rsid w:val="00923643"/>
    <w:rsid w:val="00923736"/>
    <w:rsid w:val="00923836"/>
    <w:rsid w:val="009238E5"/>
    <w:rsid w:val="00923927"/>
    <w:rsid w:val="009239A7"/>
    <w:rsid w:val="00923B3D"/>
    <w:rsid w:val="00923CB6"/>
    <w:rsid w:val="00923D42"/>
    <w:rsid w:val="00923EE3"/>
    <w:rsid w:val="00923F12"/>
    <w:rsid w:val="00924249"/>
    <w:rsid w:val="00924302"/>
    <w:rsid w:val="009245B9"/>
    <w:rsid w:val="00924862"/>
    <w:rsid w:val="00924FF8"/>
    <w:rsid w:val="0092510A"/>
    <w:rsid w:val="0092526C"/>
    <w:rsid w:val="00925445"/>
    <w:rsid w:val="00925578"/>
    <w:rsid w:val="009257D1"/>
    <w:rsid w:val="009258E2"/>
    <w:rsid w:val="00925BA8"/>
    <w:rsid w:val="009266F4"/>
    <w:rsid w:val="00926DA7"/>
    <w:rsid w:val="00927210"/>
    <w:rsid w:val="00927301"/>
    <w:rsid w:val="00927924"/>
    <w:rsid w:val="00927DD0"/>
    <w:rsid w:val="00927F37"/>
    <w:rsid w:val="00927F8B"/>
    <w:rsid w:val="0093005A"/>
    <w:rsid w:val="009306ED"/>
    <w:rsid w:val="0093094D"/>
    <w:rsid w:val="00930D0B"/>
    <w:rsid w:val="00931206"/>
    <w:rsid w:val="00931891"/>
    <w:rsid w:val="00931B76"/>
    <w:rsid w:val="0093207C"/>
    <w:rsid w:val="00932832"/>
    <w:rsid w:val="009328C7"/>
    <w:rsid w:val="00932DAD"/>
    <w:rsid w:val="00933061"/>
    <w:rsid w:val="009334A5"/>
    <w:rsid w:val="00933573"/>
    <w:rsid w:val="009336EC"/>
    <w:rsid w:val="009339CE"/>
    <w:rsid w:val="00933F56"/>
    <w:rsid w:val="0093461D"/>
    <w:rsid w:val="009347FA"/>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937"/>
    <w:rsid w:val="00941495"/>
    <w:rsid w:val="0094153F"/>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1F18"/>
    <w:rsid w:val="00952EEB"/>
    <w:rsid w:val="00952FA3"/>
    <w:rsid w:val="00952FD8"/>
    <w:rsid w:val="00953087"/>
    <w:rsid w:val="009532B8"/>
    <w:rsid w:val="0095331B"/>
    <w:rsid w:val="0095364F"/>
    <w:rsid w:val="0095373F"/>
    <w:rsid w:val="0095380C"/>
    <w:rsid w:val="00953D92"/>
    <w:rsid w:val="00954293"/>
    <w:rsid w:val="00954353"/>
    <w:rsid w:val="0095437F"/>
    <w:rsid w:val="009544A3"/>
    <w:rsid w:val="00954C8A"/>
    <w:rsid w:val="00954E0E"/>
    <w:rsid w:val="009551E8"/>
    <w:rsid w:val="009556F2"/>
    <w:rsid w:val="009557EC"/>
    <w:rsid w:val="00955C0A"/>
    <w:rsid w:val="00955C4F"/>
    <w:rsid w:val="00955D2D"/>
    <w:rsid w:val="00955EB8"/>
    <w:rsid w:val="00955EBC"/>
    <w:rsid w:val="00956012"/>
    <w:rsid w:val="00956570"/>
    <w:rsid w:val="0095709F"/>
    <w:rsid w:val="00957CA6"/>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AA1"/>
    <w:rsid w:val="00962C20"/>
    <w:rsid w:val="0096311C"/>
    <w:rsid w:val="00963C09"/>
    <w:rsid w:val="00963E2B"/>
    <w:rsid w:val="00964D65"/>
    <w:rsid w:val="009657F1"/>
    <w:rsid w:val="00965A0C"/>
    <w:rsid w:val="00965B14"/>
    <w:rsid w:val="00965DC0"/>
    <w:rsid w:val="00966107"/>
    <w:rsid w:val="0096625D"/>
    <w:rsid w:val="009666D0"/>
    <w:rsid w:val="009668DA"/>
    <w:rsid w:val="00966CE3"/>
    <w:rsid w:val="00967439"/>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B42"/>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A21"/>
    <w:rsid w:val="00976E60"/>
    <w:rsid w:val="0097721C"/>
    <w:rsid w:val="00977BA7"/>
    <w:rsid w:val="00981144"/>
    <w:rsid w:val="009813ED"/>
    <w:rsid w:val="0098143D"/>
    <w:rsid w:val="0098147B"/>
    <w:rsid w:val="0098194F"/>
    <w:rsid w:val="00981D58"/>
    <w:rsid w:val="00981DE8"/>
    <w:rsid w:val="00981FF8"/>
    <w:rsid w:val="00982632"/>
    <w:rsid w:val="009826C8"/>
    <w:rsid w:val="0098325E"/>
    <w:rsid w:val="009834AB"/>
    <w:rsid w:val="009836E4"/>
    <w:rsid w:val="0098412F"/>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87FF5"/>
    <w:rsid w:val="00990903"/>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19E"/>
    <w:rsid w:val="0099623C"/>
    <w:rsid w:val="0099635F"/>
    <w:rsid w:val="00996468"/>
    <w:rsid w:val="00996797"/>
    <w:rsid w:val="00996876"/>
    <w:rsid w:val="00996FFA"/>
    <w:rsid w:val="00997202"/>
    <w:rsid w:val="009973F1"/>
    <w:rsid w:val="009973F3"/>
    <w:rsid w:val="009A0008"/>
    <w:rsid w:val="009A010D"/>
    <w:rsid w:val="009A0A9E"/>
    <w:rsid w:val="009A0C6F"/>
    <w:rsid w:val="009A0CF3"/>
    <w:rsid w:val="009A1475"/>
    <w:rsid w:val="009A14AD"/>
    <w:rsid w:val="009A14EF"/>
    <w:rsid w:val="009A15FF"/>
    <w:rsid w:val="009A1932"/>
    <w:rsid w:val="009A1F0E"/>
    <w:rsid w:val="009A252A"/>
    <w:rsid w:val="009A286E"/>
    <w:rsid w:val="009A2A28"/>
    <w:rsid w:val="009A2DF9"/>
    <w:rsid w:val="009A2F7D"/>
    <w:rsid w:val="009A2FDD"/>
    <w:rsid w:val="009A3201"/>
    <w:rsid w:val="009A3A86"/>
    <w:rsid w:val="009A3E2A"/>
    <w:rsid w:val="009A3F40"/>
    <w:rsid w:val="009A42E8"/>
    <w:rsid w:val="009A432F"/>
    <w:rsid w:val="009A457D"/>
    <w:rsid w:val="009A483C"/>
    <w:rsid w:val="009A4869"/>
    <w:rsid w:val="009A48DA"/>
    <w:rsid w:val="009A4B74"/>
    <w:rsid w:val="009A4CA4"/>
    <w:rsid w:val="009A5624"/>
    <w:rsid w:val="009A5A7A"/>
    <w:rsid w:val="009A5AE1"/>
    <w:rsid w:val="009A5E3F"/>
    <w:rsid w:val="009A5F54"/>
    <w:rsid w:val="009A67A8"/>
    <w:rsid w:val="009A6839"/>
    <w:rsid w:val="009A6A6B"/>
    <w:rsid w:val="009A70DE"/>
    <w:rsid w:val="009A7626"/>
    <w:rsid w:val="009A791C"/>
    <w:rsid w:val="009A7C22"/>
    <w:rsid w:val="009A7DE1"/>
    <w:rsid w:val="009A7F35"/>
    <w:rsid w:val="009B01AC"/>
    <w:rsid w:val="009B101B"/>
    <w:rsid w:val="009B1A9D"/>
    <w:rsid w:val="009B1E81"/>
    <w:rsid w:val="009B1EF9"/>
    <w:rsid w:val="009B1F07"/>
    <w:rsid w:val="009B1F0A"/>
    <w:rsid w:val="009B2090"/>
    <w:rsid w:val="009B2642"/>
    <w:rsid w:val="009B26AC"/>
    <w:rsid w:val="009B2A77"/>
    <w:rsid w:val="009B2AED"/>
    <w:rsid w:val="009B2D92"/>
    <w:rsid w:val="009B3170"/>
    <w:rsid w:val="009B376B"/>
    <w:rsid w:val="009B37E2"/>
    <w:rsid w:val="009B3CF6"/>
    <w:rsid w:val="009B3EE0"/>
    <w:rsid w:val="009B4305"/>
    <w:rsid w:val="009B4519"/>
    <w:rsid w:val="009B4FDE"/>
    <w:rsid w:val="009B506B"/>
    <w:rsid w:val="009B5111"/>
    <w:rsid w:val="009B5259"/>
    <w:rsid w:val="009B5405"/>
    <w:rsid w:val="009B54C2"/>
    <w:rsid w:val="009B57EF"/>
    <w:rsid w:val="009B58F9"/>
    <w:rsid w:val="009B5B12"/>
    <w:rsid w:val="009B5B85"/>
    <w:rsid w:val="009B5DCA"/>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50C5"/>
    <w:rsid w:val="009C52AF"/>
    <w:rsid w:val="009C5393"/>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D26"/>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31"/>
    <w:rsid w:val="009D78B0"/>
    <w:rsid w:val="009D78D0"/>
    <w:rsid w:val="009D7B89"/>
    <w:rsid w:val="009E058F"/>
    <w:rsid w:val="009E05BC"/>
    <w:rsid w:val="009E067E"/>
    <w:rsid w:val="009E0A9E"/>
    <w:rsid w:val="009E0F27"/>
    <w:rsid w:val="009E0F39"/>
    <w:rsid w:val="009E18F2"/>
    <w:rsid w:val="009E19A2"/>
    <w:rsid w:val="009E1B47"/>
    <w:rsid w:val="009E1EB9"/>
    <w:rsid w:val="009E29DE"/>
    <w:rsid w:val="009E2E60"/>
    <w:rsid w:val="009E30EE"/>
    <w:rsid w:val="009E3AFD"/>
    <w:rsid w:val="009E3CDD"/>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763"/>
    <w:rsid w:val="009F387C"/>
    <w:rsid w:val="009F3AF2"/>
    <w:rsid w:val="009F3F6F"/>
    <w:rsid w:val="009F3FB5"/>
    <w:rsid w:val="009F4445"/>
    <w:rsid w:val="009F4D77"/>
    <w:rsid w:val="009F4F66"/>
    <w:rsid w:val="009F510E"/>
    <w:rsid w:val="009F520B"/>
    <w:rsid w:val="009F521F"/>
    <w:rsid w:val="009F5405"/>
    <w:rsid w:val="009F553C"/>
    <w:rsid w:val="009F58AB"/>
    <w:rsid w:val="009F59F8"/>
    <w:rsid w:val="009F5CF4"/>
    <w:rsid w:val="009F5E0B"/>
    <w:rsid w:val="009F5E20"/>
    <w:rsid w:val="009F5ED1"/>
    <w:rsid w:val="009F6878"/>
    <w:rsid w:val="009F6A6A"/>
    <w:rsid w:val="009F6B33"/>
    <w:rsid w:val="009F72C3"/>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2CC8"/>
    <w:rsid w:val="00A0329C"/>
    <w:rsid w:val="00A03371"/>
    <w:rsid w:val="00A035FF"/>
    <w:rsid w:val="00A03871"/>
    <w:rsid w:val="00A039A4"/>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B34"/>
    <w:rsid w:val="00A10433"/>
    <w:rsid w:val="00A108EE"/>
    <w:rsid w:val="00A10BB8"/>
    <w:rsid w:val="00A10D1D"/>
    <w:rsid w:val="00A11072"/>
    <w:rsid w:val="00A11301"/>
    <w:rsid w:val="00A11492"/>
    <w:rsid w:val="00A119AA"/>
    <w:rsid w:val="00A121C4"/>
    <w:rsid w:val="00A1229F"/>
    <w:rsid w:val="00A1244A"/>
    <w:rsid w:val="00A127F2"/>
    <w:rsid w:val="00A12A28"/>
    <w:rsid w:val="00A12C27"/>
    <w:rsid w:val="00A1335E"/>
    <w:rsid w:val="00A1365E"/>
    <w:rsid w:val="00A13762"/>
    <w:rsid w:val="00A137E4"/>
    <w:rsid w:val="00A13D07"/>
    <w:rsid w:val="00A13F78"/>
    <w:rsid w:val="00A14301"/>
    <w:rsid w:val="00A1434F"/>
    <w:rsid w:val="00A14387"/>
    <w:rsid w:val="00A14475"/>
    <w:rsid w:val="00A14813"/>
    <w:rsid w:val="00A1516D"/>
    <w:rsid w:val="00A15591"/>
    <w:rsid w:val="00A1566A"/>
    <w:rsid w:val="00A161C1"/>
    <w:rsid w:val="00A165BF"/>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AFF"/>
    <w:rsid w:val="00A22C1E"/>
    <w:rsid w:val="00A22D45"/>
    <w:rsid w:val="00A233EF"/>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DD4"/>
    <w:rsid w:val="00A30EF9"/>
    <w:rsid w:val="00A30F06"/>
    <w:rsid w:val="00A312A7"/>
    <w:rsid w:val="00A317E2"/>
    <w:rsid w:val="00A319BE"/>
    <w:rsid w:val="00A319D0"/>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611D"/>
    <w:rsid w:val="00A3620E"/>
    <w:rsid w:val="00A362C5"/>
    <w:rsid w:val="00A36339"/>
    <w:rsid w:val="00A364EE"/>
    <w:rsid w:val="00A366E4"/>
    <w:rsid w:val="00A377B3"/>
    <w:rsid w:val="00A378EB"/>
    <w:rsid w:val="00A37C5D"/>
    <w:rsid w:val="00A37DE9"/>
    <w:rsid w:val="00A40EAA"/>
    <w:rsid w:val="00A40F05"/>
    <w:rsid w:val="00A40F3B"/>
    <w:rsid w:val="00A41B37"/>
    <w:rsid w:val="00A42458"/>
    <w:rsid w:val="00A4267B"/>
    <w:rsid w:val="00A42912"/>
    <w:rsid w:val="00A42DF9"/>
    <w:rsid w:val="00A42E06"/>
    <w:rsid w:val="00A43221"/>
    <w:rsid w:val="00A434E5"/>
    <w:rsid w:val="00A43549"/>
    <w:rsid w:val="00A435BB"/>
    <w:rsid w:val="00A4376F"/>
    <w:rsid w:val="00A439A7"/>
    <w:rsid w:val="00A43BDD"/>
    <w:rsid w:val="00A43D5B"/>
    <w:rsid w:val="00A43DEA"/>
    <w:rsid w:val="00A44689"/>
    <w:rsid w:val="00A4549F"/>
    <w:rsid w:val="00A457AD"/>
    <w:rsid w:val="00A45838"/>
    <w:rsid w:val="00A45B9B"/>
    <w:rsid w:val="00A45D2B"/>
    <w:rsid w:val="00A45F6B"/>
    <w:rsid w:val="00A46124"/>
    <w:rsid w:val="00A462FE"/>
    <w:rsid w:val="00A469BD"/>
    <w:rsid w:val="00A469FB"/>
    <w:rsid w:val="00A46ADE"/>
    <w:rsid w:val="00A46F07"/>
    <w:rsid w:val="00A47321"/>
    <w:rsid w:val="00A47637"/>
    <w:rsid w:val="00A47A27"/>
    <w:rsid w:val="00A501C9"/>
    <w:rsid w:val="00A50506"/>
    <w:rsid w:val="00A50943"/>
    <w:rsid w:val="00A50CE0"/>
    <w:rsid w:val="00A50F11"/>
    <w:rsid w:val="00A518DD"/>
    <w:rsid w:val="00A52200"/>
    <w:rsid w:val="00A52305"/>
    <w:rsid w:val="00A52446"/>
    <w:rsid w:val="00A524D3"/>
    <w:rsid w:val="00A52DAD"/>
    <w:rsid w:val="00A534FD"/>
    <w:rsid w:val="00A53E38"/>
    <w:rsid w:val="00A53F55"/>
    <w:rsid w:val="00A54114"/>
    <w:rsid w:val="00A54164"/>
    <w:rsid w:val="00A5417B"/>
    <w:rsid w:val="00A54599"/>
    <w:rsid w:val="00A54A1A"/>
    <w:rsid w:val="00A54B82"/>
    <w:rsid w:val="00A54FB1"/>
    <w:rsid w:val="00A55460"/>
    <w:rsid w:val="00A555E2"/>
    <w:rsid w:val="00A556F9"/>
    <w:rsid w:val="00A558C8"/>
    <w:rsid w:val="00A55F79"/>
    <w:rsid w:val="00A56167"/>
    <w:rsid w:val="00A5639B"/>
    <w:rsid w:val="00A56739"/>
    <w:rsid w:val="00A569D4"/>
    <w:rsid w:val="00A56A8E"/>
    <w:rsid w:val="00A56D26"/>
    <w:rsid w:val="00A56F5C"/>
    <w:rsid w:val="00A5753C"/>
    <w:rsid w:val="00A5767A"/>
    <w:rsid w:val="00A57806"/>
    <w:rsid w:val="00A57967"/>
    <w:rsid w:val="00A57AF9"/>
    <w:rsid w:val="00A57F1A"/>
    <w:rsid w:val="00A60163"/>
    <w:rsid w:val="00A60174"/>
    <w:rsid w:val="00A6038D"/>
    <w:rsid w:val="00A605E4"/>
    <w:rsid w:val="00A60A81"/>
    <w:rsid w:val="00A60B5B"/>
    <w:rsid w:val="00A60C3B"/>
    <w:rsid w:val="00A60CF0"/>
    <w:rsid w:val="00A60FCD"/>
    <w:rsid w:val="00A610AC"/>
    <w:rsid w:val="00A6113E"/>
    <w:rsid w:val="00A611D9"/>
    <w:rsid w:val="00A61429"/>
    <w:rsid w:val="00A614F1"/>
    <w:rsid w:val="00A61514"/>
    <w:rsid w:val="00A61645"/>
    <w:rsid w:val="00A6171D"/>
    <w:rsid w:val="00A62080"/>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643C"/>
    <w:rsid w:val="00A6699A"/>
    <w:rsid w:val="00A67117"/>
    <w:rsid w:val="00A674C6"/>
    <w:rsid w:val="00A67544"/>
    <w:rsid w:val="00A676FC"/>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792"/>
    <w:rsid w:val="00A76D51"/>
    <w:rsid w:val="00A77820"/>
    <w:rsid w:val="00A77A72"/>
    <w:rsid w:val="00A77F53"/>
    <w:rsid w:val="00A801C9"/>
    <w:rsid w:val="00A803D5"/>
    <w:rsid w:val="00A8056E"/>
    <w:rsid w:val="00A80C01"/>
    <w:rsid w:val="00A80F24"/>
    <w:rsid w:val="00A8100D"/>
    <w:rsid w:val="00A812BF"/>
    <w:rsid w:val="00A8166E"/>
    <w:rsid w:val="00A81A9B"/>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245"/>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8C6"/>
    <w:rsid w:val="00AA0C34"/>
    <w:rsid w:val="00AA0D73"/>
    <w:rsid w:val="00AA11FE"/>
    <w:rsid w:val="00AA1626"/>
    <w:rsid w:val="00AA1653"/>
    <w:rsid w:val="00AA19F2"/>
    <w:rsid w:val="00AA1C25"/>
    <w:rsid w:val="00AA1DC6"/>
    <w:rsid w:val="00AA1EAB"/>
    <w:rsid w:val="00AA2AA1"/>
    <w:rsid w:val="00AA2EBC"/>
    <w:rsid w:val="00AA2F8D"/>
    <w:rsid w:val="00AA3016"/>
    <w:rsid w:val="00AA3247"/>
    <w:rsid w:val="00AA371B"/>
    <w:rsid w:val="00AA383F"/>
    <w:rsid w:val="00AA3DB7"/>
    <w:rsid w:val="00AA41A6"/>
    <w:rsid w:val="00AA4398"/>
    <w:rsid w:val="00AA4B0F"/>
    <w:rsid w:val="00AA4EDB"/>
    <w:rsid w:val="00AA51F5"/>
    <w:rsid w:val="00AA5E3B"/>
    <w:rsid w:val="00AA5E68"/>
    <w:rsid w:val="00AA68B4"/>
    <w:rsid w:val="00AA6D13"/>
    <w:rsid w:val="00AA6F91"/>
    <w:rsid w:val="00AA70B0"/>
    <w:rsid w:val="00AA7542"/>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E88"/>
    <w:rsid w:val="00AC109B"/>
    <w:rsid w:val="00AC111C"/>
    <w:rsid w:val="00AC12CB"/>
    <w:rsid w:val="00AC12F0"/>
    <w:rsid w:val="00AC174A"/>
    <w:rsid w:val="00AC24C7"/>
    <w:rsid w:val="00AC2896"/>
    <w:rsid w:val="00AC28D4"/>
    <w:rsid w:val="00AC2BA4"/>
    <w:rsid w:val="00AC2BAB"/>
    <w:rsid w:val="00AC2CBD"/>
    <w:rsid w:val="00AC2D2D"/>
    <w:rsid w:val="00AC3A07"/>
    <w:rsid w:val="00AC4167"/>
    <w:rsid w:val="00AC44F8"/>
    <w:rsid w:val="00AC4BD1"/>
    <w:rsid w:val="00AC50BD"/>
    <w:rsid w:val="00AC59A5"/>
    <w:rsid w:val="00AC6752"/>
    <w:rsid w:val="00AC67F3"/>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0D36"/>
    <w:rsid w:val="00AD11F7"/>
    <w:rsid w:val="00AD139C"/>
    <w:rsid w:val="00AD160C"/>
    <w:rsid w:val="00AD1DB7"/>
    <w:rsid w:val="00AD1F4C"/>
    <w:rsid w:val="00AD1F85"/>
    <w:rsid w:val="00AD1FE3"/>
    <w:rsid w:val="00AD2759"/>
    <w:rsid w:val="00AD278C"/>
    <w:rsid w:val="00AD2852"/>
    <w:rsid w:val="00AD2EDD"/>
    <w:rsid w:val="00AD2F03"/>
    <w:rsid w:val="00AD2F4D"/>
    <w:rsid w:val="00AD2F59"/>
    <w:rsid w:val="00AD321C"/>
    <w:rsid w:val="00AD3757"/>
    <w:rsid w:val="00AD3898"/>
    <w:rsid w:val="00AD3976"/>
    <w:rsid w:val="00AD404D"/>
    <w:rsid w:val="00AD4089"/>
    <w:rsid w:val="00AD468A"/>
    <w:rsid w:val="00AD4BD4"/>
    <w:rsid w:val="00AD4C4D"/>
    <w:rsid w:val="00AD4D2A"/>
    <w:rsid w:val="00AD4EDB"/>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E64"/>
    <w:rsid w:val="00AD7F1C"/>
    <w:rsid w:val="00AE000A"/>
    <w:rsid w:val="00AE02E4"/>
    <w:rsid w:val="00AE06D0"/>
    <w:rsid w:val="00AE0AF4"/>
    <w:rsid w:val="00AE0C56"/>
    <w:rsid w:val="00AE0CE6"/>
    <w:rsid w:val="00AE1021"/>
    <w:rsid w:val="00AE1221"/>
    <w:rsid w:val="00AE1452"/>
    <w:rsid w:val="00AE149E"/>
    <w:rsid w:val="00AE186B"/>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6176"/>
    <w:rsid w:val="00AE67B3"/>
    <w:rsid w:val="00AE6A0F"/>
    <w:rsid w:val="00AE74D0"/>
    <w:rsid w:val="00AE7864"/>
    <w:rsid w:val="00AE78EC"/>
    <w:rsid w:val="00AE7949"/>
    <w:rsid w:val="00AE7B27"/>
    <w:rsid w:val="00AE7B78"/>
    <w:rsid w:val="00AE7CCA"/>
    <w:rsid w:val="00AE7EE1"/>
    <w:rsid w:val="00AF007E"/>
    <w:rsid w:val="00AF00F2"/>
    <w:rsid w:val="00AF0206"/>
    <w:rsid w:val="00AF05CB"/>
    <w:rsid w:val="00AF0A7F"/>
    <w:rsid w:val="00AF0B51"/>
    <w:rsid w:val="00AF146B"/>
    <w:rsid w:val="00AF1538"/>
    <w:rsid w:val="00AF1699"/>
    <w:rsid w:val="00AF17C2"/>
    <w:rsid w:val="00AF18D6"/>
    <w:rsid w:val="00AF18E5"/>
    <w:rsid w:val="00AF21FB"/>
    <w:rsid w:val="00AF2348"/>
    <w:rsid w:val="00AF25D5"/>
    <w:rsid w:val="00AF2752"/>
    <w:rsid w:val="00AF28D4"/>
    <w:rsid w:val="00AF2CCB"/>
    <w:rsid w:val="00AF3C9F"/>
    <w:rsid w:val="00AF3DBB"/>
    <w:rsid w:val="00AF4205"/>
    <w:rsid w:val="00AF4209"/>
    <w:rsid w:val="00AF5194"/>
    <w:rsid w:val="00AF53EF"/>
    <w:rsid w:val="00AF59D5"/>
    <w:rsid w:val="00AF5A94"/>
    <w:rsid w:val="00AF5EFD"/>
    <w:rsid w:val="00AF6195"/>
    <w:rsid w:val="00AF65AE"/>
    <w:rsid w:val="00AF73C3"/>
    <w:rsid w:val="00AF74CE"/>
    <w:rsid w:val="00AF7650"/>
    <w:rsid w:val="00AF76A6"/>
    <w:rsid w:val="00AF790F"/>
    <w:rsid w:val="00AF795C"/>
    <w:rsid w:val="00AF7B9C"/>
    <w:rsid w:val="00AF7DDF"/>
    <w:rsid w:val="00B000C4"/>
    <w:rsid w:val="00B00543"/>
    <w:rsid w:val="00B00752"/>
    <w:rsid w:val="00B010A3"/>
    <w:rsid w:val="00B010EF"/>
    <w:rsid w:val="00B01199"/>
    <w:rsid w:val="00B011CD"/>
    <w:rsid w:val="00B01373"/>
    <w:rsid w:val="00B0177A"/>
    <w:rsid w:val="00B01A35"/>
    <w:rsid w:val="00B01B60"/>
    <w:rsid w:val="00B01CDD"/>
    <w:rsid w:val="00B0224D"/>
    <w:rsid w:val="00B02350"/>
    <w:rsid w:val="00B02359"/>
    <w:rsid w:val="00B026C1"/>
    <w:rsid w:val="00B027A7"/>
    <w:rsid w:val="00B02B9C"/>
    <w:rsid w:val="00B02C20"/>
    <w:rsid w:val="00B02D67"/>
    <w:rsid w:val="00B02E17"/>
    <w:rsid w:val="00B0353B"/>
    <w:rsid w:val="00B040B2"/>
    <w:rsid w:val="00B04B89"/>
    <w:rsid w:val="00B04C05"/>
    <w:rsid w:val="00B04C6C"/>
    <w:rsid w:val="00B04CE7"/>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A4F"/>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63"/>
    <w:rsid w:val="00B15E85"/>
    <w:rsid w:val="00B15F83"/>
    <w:rsid w:val="00B16078"/>
    <w:rsid w:val="00B160FF"/>
    <w:rsid w:val="00B16322"/>
    <w:rsid w:val="00B163C6"/>
    <w:rsid w:val="00B163FA"/>
    <w:rsid w:val="00B16605"/>
    <w:rsid w:val="00B1662E"/>
    <w:rsid w:val="00B167E2"/>
    <w:rsid w:val="00B17016"/>
    <w:rsid w:val="00B171A7"/>
    <w:rsid w:val="00B17415"/>
    <w:rsid w:val="00B17B15"/>
    <w:rsid w:val="00B17E46"/>
    <w:rsid w:val="00B21208"/>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CEF"/>
    <w:rsid w:val="00B25E5B"/>
    <w:rsid w:val="00B25FDE"/>
    <w:rsid w:val="00B26097"/>
    <w:rsid w:val="00B26267"/>
    <w:rsid w:val="00B266D2"/>
    <w:rsid w:val="00B266F6"/>
    <w:rsid w:val="00B26AB0"/>
    <w:rsid w:val="00B26AD2"/>
    <w:rsid w:val="00B26C46"/>
    <w:rsid w:val="00B26CA2"/>
    <w:rsid w:val="00B273D1"/>
    <w:rsid w:val="00B2770D"/>
    <w:rsid w:val="00B27E25"/>
    <w:rsid w:val="00B3049F"/>
    <w:rsid w:val="00B30598"/>
    <w:rsid w:val="00B309A5"/>
    <w:rsid w:val="00B309BC"/>
    <w:rsid w:val="00B30B4E"/>
    <w:rsid w:val="00B30B96"/>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C7"/>
    <w:rsid w:val="00B35487"/>
    <w:rsid w:val="00B35CDA"/>
    <w:rsid w:val="00B362F0"/>
    <w:rsid w:val="00B36373"/>
    <w:rsid w:val="00B363DF"/>
    <w:rsid w:val="00B3651E"/>
    <w:rsid w:val="00B3763E"/>
    <w:rsid w:val="00B37900"/>
    <w:rsid w:val="00B37C61"/>
    <w:rsid w:val="00B37D97"/>
    <w:rsid w:val="00B401A6"/>
    <w:rsid w:val="00B40429"/>
    <w:rsid w:val="00B4087D"/>
    <w:rsid w:val="00B40B8A"/>
    <w:rsid w:val="00B40D1E"/>
    <w:rsid w:val="00B40D70"/>
    <w:rsid w:val="00B411BD"/>
    <w:rsid w:val="00B411C4"/>
    <w:rsid w:val="00B411D4"/>
    <w:rsid w:val="00B41559"/>
    <w:rsid w:val="00B417A4"/>
    <w:rsid w:val="00B418E8"/>
    <w:rsid w:val="00B41D98"/>
    <w:rsid w:val="00B42285"/>
    <w:rsid w:val="00B422D1"/>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0EA"/>
    <w:rsid w:val="00B464DE"/>
    <w:rsid w:val="00B46620"/>
    <w:rsid w:val="00B467AD"/>
    <w:rsid w:val="00B4696E"/>
    <w:rsid w:val="00B47093"/>
    <w:rsid w:val="00B47598"/>
    <w:rsid w:val="00B4759B"/>
    <w:rsid w:val="00B4792A"/>
    <w:rsid w:val="00B5005A"/>
    <w:rsid w:val="00B500B2"/>
    <w:rsid w:val="00B504C1"/>
    <w:rsid w:val="00B506EA"/>
    <w:rsid w:val="00B50B02"/>
    <w:rsid w:val="00B50E84"/>
    <w:rsid w:val="00B5118C"/>
    <w:rsid w:val="00B51542"/>
    <w:rsid w:val="00B519ED"/>
    <w:rsid w:val="00B51D1D"/>
    <w:rsid w:val="00B51F24"/>
    <w:rsid w:val="00B51FA9"/>
    <w:rsid w:val="00B52034"/>
    <w:rsid w:val="00B5285D"/>
    <w:rsid w:val="00B52BEB"/>
    <w:rsid w:val="00B52BF7"/>
    <w:rsid w:val="00B53040"/>
    <w:rsid w:val="00B5310E"/>
    <w:rsid w:val="00B535DD"/>
    <w:rsid w:val="00B53753"/>
    <w:rsid w:val="00B53A10"/>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34"/>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4DE8"/>
    <w:rsid w:val="00B6515D"/>
    <w:rsid w:val="00B65206"/>
    <w:rsid w:val="00B65630"/>
    <w:rsid w:val="00B660E8"/>
    <w:rsid w:val="00B66472"/>
    <w:rsid w:val="00B66A1C"/>
    <w:rsid w:val="00B66EC7"/>
    <w:rsid w:val="00B66FB9"/>
    <w:rsid w:val="00B6743B"/>
    <w:rsid w:val="00B67518"/>
    <w:rsid w:val="00B67955"/>
    <w:rsid w:val="00B7037E"/>
    <w:rsid w:val="00B703FC"/>
    <w:rsid w:val="00B70F27"/>
    <w:rsid w:val="00B711CE"/>
    <w:rsid w:val="00B714DA"/>
    <w:rsid w:val="00B7157B"/>
    <w:rsid w:val="00B71822"/>
    <w:rsid w:val="00B71B48"/>
    <w:rsid w:val="00B71DC8"/>
    <w:rsid w:val="00B72081"/>
    <w:rsid w:val="00B72651"/>
    <w:rsid w:val="00B72B6B"/>
    <w:rsid w:val="00B731E7"/>
    <w:rsid w:val="00B733AB"/>
    <w:rsid w:val="00B73DC2"/>
    <w:rsid w:val="00B74104"/>
    <w:rsid w:val="00B74251"/>
    <w:rsid w:val="00B74421"/>
    <w:rsid w:val="00B7455A"/>
    <w:rsid w:val="00B746C6"/>
    <w:rsid w:val="00B74F3C"/>
    <w:rsid w:val="00B752CE"/>
    <w:rsid w:val="00B755AD"/>
    <w:rsid w:val="00B757EC"/>
    <w:rsid w:val="00B75BBA"/>
    <w:rsid w:val="00B76027"/>
    <w:rsid w:val="00B7604C"/>
    <w:rsid w:val="00B7607E"/>
    <w:rsid w:val="00B76464"/>
    <w:rsid w:val="00B7652C"/>
    <w:rsid w:val="00B766BF"/>
    <w:rsid w:val="00B76B9F"/>
    <w:rsid w:val="00B76EAF"/>
    <w:rsid w:val="00B76FA6"/>
    <w:rsid w:val="00B777A6"/>
    <w:rsid w:val="00B77C1F"/>
    <w:rsid w:val="00B8006D"/>
    <w:rsid w:val="00B801CC"/>
    <w:rsid w:val="00B80246"/>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4165"/>
    <w:rsid w:val="00B8420B"/>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D96"/>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E28"/>
    <w:rsid w:val="00B95F02"/>
    <w:rsid w:val="00B9667E"/>
    <w:rsid w:val="00B96BEF"/>
    <w:rsid w:val="00B96D44"/>
    <w:rsid w:val="00B96ED4"/>
    <w:rsid w:val="00B96FC0"/>
    <w:rsid w:val="00B96FE6"/>
    <w:rsid w:val="00B97260"/>
    <w:rsid w:val="00B9754B"/>
    <w:rsid w:val="00B978B7"/>
    <w:rsid w:val="00B97A69"/>
    <w:rsid w:val="00BA00EF"/>
    <w:rsid w:val="00BA02DA"/>
    <w:rsid w:val="00BA0632"/>
    <w:rsid w:val="00BA0AAA"/>
    <w:rsid w:val="00BA0AD1"/>
    <w:rsid w:val="00BA0DFB"/>
    <w:rsid w:val="00BA160D"/>
    <w:rsid w:val="00BA1F5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C30"/>
    <w:rsid w:val="00BA6EB5"/>
    <w:rsid w:val="00BA7129"/>
    <w:rsid w:val="00BA76DE"/>
    <w:rsid w:val="00BA7BC9"/>
    <w:rsid w:val="00BB0067"/>
    <w:rsid w:val="00BB041F"/>
    <w:rsid w:val="00BB1463"/>
    <w:rsid w:val="00BB1548"/>
    <w:rsid w:val="00BB1694"/>
    <w:rsid w:val="00BB198D"/>
    <w:rsid w:val="00BB1CE7"/>
    <w:rsid w:val="00BB1D8C"/>
    <w:rsid w:val="00BB2FD3"/>
    <w:rsid w:val="00BB2FDF"/>
    <w:rsid w:val="00BB2FFF"/>
    <w:rsid w:val="00BB3360"/>
    <w:rsid w:val="00BB33D0"/>
    <w:rsid w:val="00BB38CF"/>
    <w:rsid w:val="00BB44C4"/>
    <w:rsid w:val="00BB4B11"/>
    <w:rsid w:val="00BB4BAB"/>
    <w:rsid w:val="00BB4EA4"/>
    <w:rsid w:val="00BB4F2A"/>
    <w:rsid w:val="00BB54D4"/>
    <w:rsid w:val="00BB560E"/>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8C5"/>
    <w:rsid w:val="00BC0925"/>
    <w:rsid w:val="00BC0D67"/>
    <w:rsid w:val="00BC1095"/>
    <w:rsid w:val="00BC12FB"/>
    <w:rsid w:val="00BC1C3C"/>
    <w:rsid w:val="00BC204B"/>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D12"/>
    <w:rsid w:val="00BD1608"/>
    <w:rsid w:val="00BD1846"/>
    <w:rsid w:val="00BD191F"/>
    <w:rsid w:val="00BD23D2"/>
    <w:rsid w:val="00BD2F3B"/>
    <w:rsid w:val="00BD2F7D"/>
    <w:rsid w:val="00BD3372"/>
    <w:rsid w:val="00BD3A0F"/>
    <w:rsid w:val="00BD409C"/>
    <w:rsid w:val="00BD4173"/>
    <w:rsid w:val="00BD41B0"/>
    <w:rsid w:val="00BD4617"/>
    <w:rsid w:val="00BD46E5"/>
    <w:rsid w:val="00BD50AA"/>
    <w:rsid w:val="00BD5135"/>
    <w:rsid w:val="00BD5180"/>
    <w:rsid w:val="00BD521A"/>
    <w:rsid w:val="00BD5814"/>
    <w:rsid w:val="00BD5C52"/>
    <w:rsid w:val="00BD61DB"/>
    <w:rsid w:val="00BD6533"/>
    <w:rsid w:val="00BD6F0D"/>
    <w:rsid w:val="00BD6F32"/>
    <w:rsid w:val="00BD7151"/>
    <w:rsid w:val="00BD7291"/>
    <w:rsid w:val="00BD7EA3"/>
    <w:rsid w:val="00BD7FE2"/>
    <w:rsid w:val="00BE00EA"/>
    <w:rsid w:val="00BE0443"/>
    <w:rsid w:val="00BE08F4"/>
    <w:rsid w:val="00BE0A4A"/>
    <w:rsid w:val="00BE0B0E"/>
    <w:rsid w:val="00BE0B19"/>
    <w:rsid w:val="00BE0B44"/>
    <w:rsid w:val="00BE0DD8"/>
    <w:rsid w:val="00BE0E4C"/>
    <w:rsid w:val="00BE14EF"/>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5096"/>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51A"/>
    <w:rsid w:val="00BF36DA"/>
    <w:rsid w:val="00BF38A1"/>
    <w:rsid w:val="00BF3914"/>
    <w:rsid w:val="00BF3C0D"/>
    <w:rsid w:val="00BF3F3B"/>
    <w:rsid w:val="00BF4361"/>
    <w:rsid w:val="00BF4784"/>
    <w:rsid w:val="00BF47DD"/>
    <w:rsid w:val="00BF49B1"/>
    <w:rsid w:val="00BF5057"/>
    <w:rsid w:val="00BF5285"/>
    <w:rsid w:val="00BF533C"/>
    <w:rsid w:val="00BF5552"/>
    <w:rsid w:val="00BF59B5"/>
    <w:rsid w:val="00BF5C37"/>
    <w:rsid w:val="00BF5E90"/>
    <w:rsid w:val="00BF62C4"/>
    <w:rsid w:val="00BF64B4"/>
    <w:rsid w:val="00BF6714"/>
    <w:rsid w:val="00BF69DF"/>
    <w:rsid w:val="00BF6AF8"/>
    <w:rsid w:val="00BF71FD"/>
    <w:rsid w:val="00BF73F2"/>
    <w:rsid w:val="00BF77CE"/>
    <w:rsid w:val="00BF78F8"/>
    <w:rsid w:val="00BF7942"/>
    <w:rsid w:val="00BF7B2E"/>
    <w:rsid w:val="00BF7D0F"/>
    <w:rsid w:val="00C002B6"/>
    <w:rsid w:val="00C00606"/>
    <w:rsid w:val="00C0090A"/>
    <w:rsid w:val="00C01576"/>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5CF"/>
    <w:rsid w:val="00C05972"/>
    <w:rsid w:val="00C059EE"/>
    <w:rsid w:val="00C05BEC"/>
    <w:rsid w:val="00C06616"/>
    <w:rsid w:val="00C06E30"/>
    <w:rsid w:val="00C06E7D"/>
    <w:rsid w:val="00C06EA5"/>
    <w:rsid w:val="00C07496"/>
    <w:rsid w:val="00C077C6"/>
    <w:rsid w:val="00C07B79"/>
    <w:rsid w:val="00C07E72"/>
    <w:rsid w:val="00C10002"/>
    <w:rsid w:val="00C1032C"/>
    <w:rsid w:val="00C10515"/>
    <w:rsid w:val="00C1070F"/>
    <w:rsid w:val="00C10753"/>
    <w:rsid w:val="00C1112B"/>
    <w:rsid w:val="00C11396"/>
    <w:rsid w:val="00C1157F"/>
    <w:rsid w:val="00C11655"/>
    <w:rsid w:val="00C11A88"/>
    <w:rsid w:val="00C11DC0"/>
    <w:rsid w:val="00C12012"/>
    <w:rsid w:val="00C12134"/>
    <w:rsid w:val="00C12330"/>
    <w:rsid w:val="00C12734"/>
    <w:rsid w:val="00C12874"/>
    <w:rsid w:val="00C12958"/>
    <w:rsid w:val="00C12A3F"/>
    <w:rsid w:val="00C12BC1"/>
    <w:rsid w:val="00C12D96"/>
    <w:rsid w:val="00C1341D"/>
    <w:rsid w:val="00C135D7"/>
    <w:rsid w:val="00C13A8D"/>
    <w:rsid w:val="00C13BDA"/>
    <w:rsid w:val="00C13FFD"/>
    <w:rsid w:val="00C14632"/>
    <w:rsid w:val="00C14807"/>
    <w:rsid w:val="00C14E41"/>
    <w:rsid w:val="00C15020"/>
    <w:rsid w:val="00C151FE"/>
    <w:rsid w:val="00C154B6"/>
    <w:rsid w:val="00C15637"/>
    <w:rsid w:val="00C159F5"/>
    <w:rsid w:val="00C15A1A"/>
    <w:rsid w:val="00C15E04"/>
    <w:rsid w:val="00C16200"/>
    <w:rsid w:val="00C1620F"/>
    <w:rsid w:val="00C162DC"/>
    <w:rsid w:val="00C1667B"/>
    <w:rsid w:val="00C16C30"/>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ADF"/>
    <w:rsid w:val="00C22E61"/>
    <w:rsid w:val="00C22FF4"/>
    <w:rsid w:val="00C23130"/>
    <w:rsid w:val="00C23578"/>
    <w:rsid w:val="00C236C2"/>
    <w:rsid w:val="00C238FF"/>
    <w:rsid w:val="00C23A1F"/>
    <w:rsid w:val="00C23CC4"/>
    <w:rsid w:val="00C23CC8"/>
    <w:rsid w:val="00C23D8A"/>
    <w:rsid w:val="00C23EB0"/>
    <w:rsid w:val="00C24232"/>
    <w:rsid w:val="00C24764"/>
    <w:rsid w:val="00C24BB2"/>
    <w:rsid w:val="00C24F4C"/>
    <w:rsid w:val="00C2500A"/>
    <w:rsid w:val="00C255A5"/>
    <w:rsid w:val="00C25821"/>
    <w:rsid w:val="00C2584B"/>
    <w:rsid w:val="00C25942"/>
    <w:rsid w:val="00C25DD9"/>
    <w:rsid w:val="00C264AA"/>
    <w:rsid w:val="00C26566"/>
    <w:rsid w:val="00C2663F"/>
    <w:rsid w:val="00C26913"/>
    <w:rsid w:val="00C26DB8"/>
    <w:rsid w:val="00C26F89"/>
    <w:rsid w:val="00C27B99"/>
    <w:rsid w:val="00C30AB2"/>
    <w:rsid w:val="00C30F9D"/>
    <w:rsid w:val="00C3134A"/>
    <w:rsid w:val="00C315DC"/>
    <w:rsid w:val="00C31678"/>
    <w:rsid w:val="00C31AAE"/>
    <w:rsid w:val="00C31E03"/>
    <w:rsid w:val="00C32285"/>
    <w:rsid w:val="00C32317"/>
    <w:rsid w:val="00C3235E"/>
    <w:rsid w:val="00C32461"/>
    <w:rsid w:val="00C32623"/>
    <w:rsid w:val="00C32E8E"/>
    <w:rsid w:val="00C33091"/>
    <w:rsid w:val="00C337E5"/>
    <w:rsid w:val="00C3381C"/>
    <w:rsid w:val="00C33A34"/>
    <w:rsid w:val="00C33B66"/>
    <w:rsid w:val="00C3400F"/>
    <w:rsid w:val="00C340E0"/>
    <w:rsid w:val="00C347CC"/>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A15"/>
    <w:rsid w:val="00C37B41"/>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F5D"/>
    <w:rsid w:val="00C452F5"/>
    <w:rsid w:val="00C454ED"/>
    <w:rsid w:val="00C45CF1"/>
    <w:rsid w:val="00C45F29"/>
    <w:rsid w:val="00C4635C"/>
    <w:rsid w:val="00C46555"/>
    <w:rsid w:val="00C468A0"/>
    <w:rsid w:val="00C46B15"/>
    <w:rsid w:val="00C46F7D"/>
    <w:rsid w:val="00C479B5"/>
    <w:rsid w:val="00C47E70"/>
    <w:rsid w:val="00C47F35"/>
    <w:rsid w:val="00C50097"/>
    <w:rsid w:val="00C501AF"/>
    <w:rsid w:val="00C50242"/>
    <w:rsid w:val="00C502A7"/>
    <w:rsid w:val="00C5034D"/>
    <w:rsid w:val="00C504BF"/>
    <w:rsid w:val="00C5050E"/>
    <w:rsid w:val="00C50E99"/>
    <w:rsid w:val="00C50FAE"/>
    <w:rsid w:val="00C51598"/>
    <w:rsid w:val="00C51747"/>
    <w:rsid w:val="00C51C32"/>
    <w:rsid w:val="00C52744"/>
    <w:rsid w:val="00C52786"/>
    <w:rsid w:val="00C528AF"/>
    <w:rsid w:val="00C52EE9"/>
    <w:rsid w:val="00C530AD"/>
    <w:rsid w:val="00C53265"/>
    <w:rsid w:val="00C53DD7"/>
    <w:rsid w:val="00C53EB3"/>
    <w:rsid w:val="00C542D4"/>
    <w:rsid w:val="00C5474A"/>
    <w:rsid w:val="00C54C55"/>
    <w:rsid w:val="00C54D71"/>
    <w:rsid w:val="00C55164"/>
    <w:rsid w:val="00C554A8"/>
    <w:rsid w:val="00C55BE8"/>
    <w:rsid w:val="00C55C0A"/>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4BD"/>
    <w:rsid w:val="00C6156E"/>
    <w:rsid w:val="00C61644"/>
    <w:rsid w:val="00C61AB9"/>
    <w:rsid w:val="00C61CD0"/>
    <w:rsid w:val="00C61E6E"/>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C76"/>
    <w:rsid w:val="00C63D25"/>
    <w:rsid w:val="00C63E50"/>
    <w:rsid w:val="00C63F8E"/>
    <w:rsid w:val="00C64104"/>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53"/>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48A"/>
    <w:rsid w:val="00C7368D"/>
    <w:rsid w:val="00C744EC"/>
    <w:rsid w:val="00C748EA"/>
    <w:rsid w:val="00C74B30"/>
    <w:rsid w:val="00C74FF0"/>
    <w:rsid w:val="00C750ED"/>
    <w:rsid w:val="00C75A6B"/>
    <w:rsid w:val="00C75AF9"/>
    <w:rsid w:val="00C75B52"/>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A01"/>
    <w:rsid w:val="00C81DCB"/>
    <w:rsid w:val="00C8218A"/>
    <w:rsid w:val="00C824A1"/>
    <w:rsid w:val="00C82E5A"/>
    <w:rsid w:val="00C82E5B"/>
    <w:rsid w:val="00C832DC"/>
    <w:rsid w:val="00C8363E"/>
    <w:rsid w:val="00C8377F"/>
    <w:rsid w:val="00C840A1"/>
    <w:rsid w:val="00C84300"/>
    <w:rsid w:val="00C845A6"/>
    <w:rsid w:val="00C84C67"/>
    <w:rsid w:val="00C84E06"/>
    <w:rsid w:val="00C85124"/>
    <w:rsid w:val="00C8512C"/>
    <w:rsid w:val="00C85424"/>
    <w:rsid w:val="00C85A73"/>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7C2"/>
    <w:rsid w:val="00C92C7F"/>
    <w:rsid w:val="00C92DFF"/>
    <w:rsid w:val="00C92FC4"/>
    <w:rsid w:val="00C9307D"/>
    <w:rsid w:val="00C933D4"/>
    <w:rsid w:val="00C93586"/>
    <w:rsid w:val="00C9369D"/>
    <w:rsid w:val="00C939A6"/>
    <w:rsid w:val="00C93F63"/>
    <w:rsid w:val="00C9403A"/>
    <w:rsid w:val="00C941DD"/>
    <w:rsid w:val="00C944FA"/>
    <w:rsid w:val="00C95854"/>
    <w:rsid w:val="00C95DB6"/>
    <w:rsid w:val="00C95EFF"/>
    <w:rsid w:val="00C966ED"/>
    <w:rsid w:val="00C96E6F"/>
    <w:rsid w:val="00C96EAD"/>
    <w:rsid w:val="00C976DE"/>
    <w:rsid w:val="00C97872"/>
    <w:rsid w:val="00C97C96"/>
    <w:rsid w:val="00CA0532"/>
    <w:rsid w:val="00CA0571"/>
    <w:rsid w:val="00CA0A07"/>
    <w:rsid w:val="00CA14A5"/>
    <w:rsid w:val="00CA14C2"/>
    <w:rsid w:val="00CA1952"/>
    <w:rsid w:val="00CA195D"/>
    <w:rsid w:val="00CA1984"/>
    <w:rsid w:val="00CA1B4F"/>
    <w:rsid w:val="00CA1E14"/>
    <w:rsid w:val="00CA20C1"/>
    <w:rsid w:val="00CA21D8"/>
    <w:rsid w:val="00CA2241"/>
    <w:rsid w:val="00CA2778"/>
    <w:rsid w:val="00CA2E9A"/>
    <w:rsid w:val="00CA30D8"/>
    <w:rsid w:val="00CA361D"/>
    <w:rsid w:val="00CA396C"/>
    <w:rsid w:val="00CA3C5A"/>
    <w:rsid w:val="00CA3CDD"/>
    <w:rsid w:val="00CA4015"/>
    <w:rsid w:val="00CA403B"/>
    <w:rsid w:val="00CA4139"/>
    <w:rsid w:val="00CA4199"/>
    <w:rsid w:val="00CA4574"/>
    <w:rsid w:val="00CA505A"/>
    <w:rsid w:val="00CA54C6"/>
    <w:rsid w:val="00CA5822"/>
    <w:rsid w:val="00CA5858"/>
    <w:rsid w:val="00CA59DD"/>
    <w:rsid w:val="00CA6061"/>
    <w:rsid w:val="00CA617F"/>
    <w:rsid w:val="00CA633D"/>
    <w:rsid w:val="00CA6790"/>
    <w:rsid w:val="00CA683E"/>
    <w:rsid w:val="00CA7434"/>
    <w:rsid w:val="00CA7617"/>
    <w:rsid w:val="00CA7B4E"/>
    <w:rsid w:val="00CA7B93"/>
    <w:rsid w:val="00CA7EB5"/>
    <w:rsid w:val="00CA7EF2"/>
    <w:rsid w:val="00CB008E"/>
    <w:rsid w:val="00CB01FA"/>
    <w:rsid w:val="00CB0435"/>
    <w:rsid w:val="00CB0737"/>
    <w:rsid w:val="00CB097A"/>
    <w:rsid w:val="00CB0BA1"/>
    <w:rsid w:val="00CB1681"/>
    <w:rsid w:val="00CB1A92"/>
    <w:rsid w:val="00CB1BE7"/>
    <w:rsid w:val="00CB232A"/>
    <w:rsid w:val="00CB240E"/>
    <w:rsid w:val="00CB26EC"/>
    <w:rsid w:val="00CB2D2A"/>
    <w:rsid w:val="00CB318C"/>
    <w:rsid w:val="00CB3B24"/>
    <w:rsid w:val="00CB3D6E"/>
    <w:rsid w:val="00CB3E2E"/>
    <w:rsid w:val="00CB4078"/>
    <w:rsid w:val="00CB4692"/>
    <w:rsid w:val="00CB4B6D"/>
    <w:rsid w:val="00CB51CE"/>
    <w:rsid w:val="00CB541B"/>
    <w:rsid w:val="00CB5480"/>
    <w:rsid w:val="00CB5527"/>
    <w:rsid w:val="00CB5B1E"/>
    <w:rsid w:val="00CB6154"/>
    <w:rsid w:val="00CB62A3"/>
    <w:rsid w:val="00CB676D"/>
    <w:rsid w:val="00CB67D3"/>
    <w:rsid w:val="00CB6933"/>
    <w:rsid w:val="00CB6E08"/>
    <w:rsid w:val="00CB6E8E"/>
    <w:rsid w:val="00CB73FE"/>
    <w:rsid w:val="00CB787A"/>
    <w:rsid w:val="00CB7B50"/>
    <w:rsid w:val="00CC0957"/>
    <w:rsid w:val="00CC0C10"/>
    <w:rsid w:val="00CC0C4A"/>
    <w:rsid w:val="00CC0E27"/>
    <w:rsid w:val="00CC0FD1"/>
    <w:rsid w:val="00CC10EC"/>
    <w:rsid w:val="00CC130D"/>
    <w:rsid w:val="00CC17F0"/>
    <w:rsid w:val="00CC1853"/>
    <w:rsid w:val="00CC1F0B"/>
    <w:rsid w:val="00CC1FAE"/>
    <w:rsid w:val="00CC26C4"/>
    <w:rsid w:val="00CC26CF"/>
    <w:rsid w:val="00CC2865"/>
    <w:rsid w:val="00CC2CDF"/>
    <w:rsid w:val="00CC2EAF"/>
    <w:rsid w:val="00CC3A23"/>
    <w:rsid w:val="00CC430E"/>
    <w:rsid w:val="00CC48DC"/>
    <w:rsid w:val="00CC4A6D"/>
    <w:rsid w:val="00CC4AB7"/>
    <w:rsid w:val="00CC4D16"/>
    <w:rsid w:val="00CC5345"/>
    <w:rsid w:val="00CC56EC"/>
    <w:rsid w:val="00CC5C5B"/>
    <w:rsid w:val="00CC6BFB"/>
    <w:rsid w:val="00CC6CBB"/>
    <w:rsid w:val="00CC709F"/>
    <w:rsid w:val="00CC711C"/>
    <w:rsid w:val="00CC737C"/>
    <w:rsid w:val="00CC7650"/>
    <w:rsid w:val="00CD04F4"/>
    <w:rsid w:val="00CD0552"/>
    <w:rsid w:val="00CD05A0"/>
    <w:rsid w:val="00CD05E5"/>
    <w:rsid w:val="00CD087D"/>
    <w:rsid w:val="00CD0B93"/>
    <w:rsid w:val="00CD0F5D"/>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0D"/>
    <w:rsid w:val="00CD6E3D"/>
    <w:rsid w:val="00CD71AB"/>
    <w:rsid w:val="00CD76B7"/>
    <w:rsid w:val="00CD778E"/>
    <w:rsid w:val="00CD77EB"/>
    <w:rsid w:val="00CD7999"/>
    <w:rsid w:val="00CE0073"/>
    <w:rsid w:val="00CE0109"/>
    <w:rsid w:val="00CE0613"/>
    <w:rsid w:val="00CE0AC0"/>
    <w:rsid w:val="00CE11E0"/>
    <w:rsid w:val="00CE1CAC"/>
    <w:rsid w:val="00CE1FC5"/>
    <w:rsid w:val="00CE25A7"/>
    <w:rsid w:val="00CE26A3"/>
    <w:rsid w:val="00CE26A5"/>
    <w:rsid w:val="00CE324B"/>
    <w:rsid w:val="00CE3628"/>
    <w:rsid w:val="00CE3769"/>
    <w:rsid w:val="00CE3F18"/>
    <w:rsid w:val="00CE3F86"/>
    <w:rsid w:val="00CE43C8"/>
    <w:rsid w:val="00CE446F"/>
    <w:rsid w:val="00CE46E5"/>
    <w:rsid w:val="00CE485A"/>
    <w:rsid w:val="00CE4FCD"/>
    <w:rsid w:val="00CE5279"/>
    <w:rsid w:val="00CE5402"/>
    <w:rsid w:val="00CE594A"/>
    <w:rsid w:val="00CE5A78"/>
    <w:rsid w:val="00CE5DC9"/>
    <w:rsid w:val="00CE6429"/>
    <w:rsid w:val="00CE677E"/>
    <w:rsid w:val="00CE6814"/>
    <w:rsid w:val="00CE69BD"/>
    <w:rsid w:val="00CE6E40"/>
    <w:rsid w:val="00CE6F06"/>
    <w:rsid w:val="00CE7408"/>
    <w:rsid w:val="00CE78AE"/>
    <w:rsid w:val="00CE7E62"/>
    <w:rsid w:val="00CF024F"/>
    <w:rsid w:val="00CF0259"/>
    <w:rsid w:val="00CF05B4"/>
    <w:rsid w:val="00CF100C"/>
    <w:rsid w:val="00CF141D"/>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50BA"/>
    <w:rsid w:val="00CF5263"/>
    <w:rsid w:val="00CF536E"/>
    <w:rsid w:val="00CF578B"/>
    <w:rsid w:val="00CF5B69"/>
    <w:rsid w:val="00CF5E9B"/>
    <w:rsid w:val="00CF5EDD"/>
    <w:rsid w:val="00CF60B5"/>
    <w:rsid w:val="00CF6331"/>
    <w:rsid w:val="00CF6935"/>
    <w:rsid w:val="00CF6ED0"/>
    <w:rsid w:val="00CF723D"/>
    <w:rsid w:val="00CF7793"/>
    <w:rsid w:val="00CF7E2F"/>
    <w:rsid w:val="00CF7F39"/>
    <w:rsid w:val="00D00137"/>
    <w:rsid w:val="00D0027D"/>
    <w:rsid w:val="00D0029B"/>
    <w:rsid w:val="00D00347"/>
    <w:rsid w:val="00D0040A"/>
    <w:rsid w:val="00D004FA"/>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3FB"/>
    <w:rsid w:val="00D046CA"/>
    <w:rsid w:val="00D05132"/>
    <w:rsid w:val="00D0544F"/>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3CB"/>
    <w:rsid w:val="00D107CF"/>
    <w:rsid w:val="00D1116D"/>
    <w:rsid w:val="00D1160F"/>
    <w:rsid w:val="00D11B0B"/>
    <w:rsid w:val="00D11D79"/>
    <w:rsid w:val="00D11FD8"/>
    <w:rsid w:val="00D12293"/>
    <w:rsid w:val="00D1259E"/>
    <w:rsid w:val="00D125B2"/>
    <w:rsid w:val="00D12D71"/>
    <w:rsid w:val="00D1375E"/>
    <w:rsid w:val="00D13872"/>
    <w:rsid w:val="00D14236"/>
    <w:rsid w:val="00D143CD"/>
    <w:rsid w:val="00D14553"/>
    <w:rsid w:val="00D14ABB"/>
    <w:rsid w:val="00D14DB1"/>
    <w:rsid w:val="00D14F4B"/>
    <w:rsid w:val="00D15027"/>
    <w:rsid w:val="00D15F43"/>
    <w:rsid w:val="00D161C6"/>
    <w:rsid w:val="00D161E8"/>
    <w:rsid w:val="00D1620A"/>
    <w:rsid w:val="00D164C3"/>
    <w:rsid w:val="00D16622"/>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9BF"/>
    <w:rsid w:val="00D21A3C"/>
    <w:rsid w:val="00D21A83"/>
    <w:rsid w:val="00D22B39"/>
    <w:rsid w:val="00D22CB0"/>
    <w:rsid w:val="00D233F1"/>
    <w:rsid w:val="00D235C5"/>
    <w:rsid w:val="00D23FE9"/>
    <w:rsid w:val="00D23FF7"/>
    <w:rsid w:val="00D24929"/>
    <w:rsid w:val="00D2493A"/>
    <w:rsid w:val="00D24D92"/>
    <w:rsid w:val="00D2545F"/>
    <w:rsid w:val="00D256F8"/>
    <w:rsid w:val="00D2604D"/>
    <w:rsid w:val="00D2605B"/>
    <w:rsid w:val="00D261FA"/>
    <w:rsid w:val="00D262E9"/>
    <w:rsid w:val="00D2654A"/>
    <w:rsid w:val="00D2685C"/>
    <w:rsid w:val="00D26A3B"/>
    <w:rsid w:val="00D277AC"/>
    <w:rsid w:val="00D27B8C"/>
    <w:rsid w:val="00D27DDE"/>
    <w:rsid w:val="00D302FD"/>
    <w:rsid w:val="00D3038A"/>
    <w:rsid w:val="00D303D8"/>
    <w:rsid w:val="00D3042F"/>
    <w:rsid w:val="00D3098D"/>
    <w:rsid w:val="00D30B54"/>
    <w:rsid w:val="00D30D64"/>
    <w:rsid w:val="00D315CC"/>
    <w:rsid w:val="00D31A02"/>
    <w:rsid w:val="00D32251"/>
    <w:rsid w:val="00D329C4"/>
    <w:rsid w:val="00D32D53"/>
    <w:rsid w:val="00D32DFE"/>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26A"/>
    <w:rsid w:val="00D3580A"/>
    <w:rsid w:val="00D35D4F"/>
    <w:rsid w:val="00D35F61"/>
    <w:rsid w:val="00D36234"/>
    <w:rsid w:val="00D362DD"/>
    <w:rsid w:val="00D36371"/>
    <w:rsid w:val="00D37E19"/>
    <w:rsid w:val="00D4004B"/>
    <w:rsid w:val="00D4017F"/>
    <w:rsid w:val="00D403F7"/>
    <w:rsid w:val="00D40622"/>
    <w:rsid w:val="00D41685"/>
    <w:rsid w:val="00D416F0"/>
    <w:rsid w:val="00D41784"/>
    <w:rsid w:val="00D41AEC"/>
    <w:rsid w:val="00D42333"/>
    <w:rsid w:val="00D42981"/>
    <w:rsid w:val="00D42A20"/>
    <w:rsid w:val="00D4341C"/>
    <w:rsid w:val="00D435B6"/>
    <w:rsid w:val="00D437D8"/>
    <w:rsid w:val="00D437E6"/>
    <w:rsid w:val="00D43C52"/>
    <w:rsid w:val="00D43D6A"/>
    <w:rsid w:val="00D446F6"/>
    <w:rsid w:val="00D44994"/>
    <w:rsid w:val="00D44C01"/>
    <w:rsid w:val="00D45053"/>
    <w:rsid w:val="00D4557B"/>
    <w:rsid w:val="00D45748"/>
    <w:rsid w:val="00D45B94"/>
    <w:rsid w:val="00D45DF3"/>
    <w:rsid w:val="00D46174"/>
    <w:rsid w:val="00D46182"/>
    <w:rsid w:val="00D467D1"/>
    <w:rsid w:val="00D468F8"/>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956"/>
    <w:rsid w:val="00D519F3"/>
    <w:rsid w:val="00D51CBF"/>
    <w:rsid w:val="00D51D12"/>
    <w:rsid w:val="00D52124"/>
    <w:rsid w:val="00D52A75"/>
    <w:rsid w:val="00D52B1D"/>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41E"/>
    <w:rsid w:val="00D5747F"/>
    <w:rsid w:val="00D57495"/>
    <w:rsid w:val="00D574FA"/>
    <w:rsid w:val="00D57EA7"/>
    <w:rsid w:val="00D6009E"/>
    <w:rsid w:val="00D60368"/>
    <w:rsid w:val="00D60869"/>
    <w:rsid w:val="00D60C8D"/>
    <w:rsid w:val="00D60D30"/>
    <w:rsid w:val="00D61374"/>
    <w:rsid w:val="00D61562"/>
    <w:rsid w:val="00D6168A"/>
    <w:rsid w:val="00D616A5"/>
    <w:rsid w:val="00D61B44"/>
    <w:rsid w:val="00D61C7A"/>
    <w:rsid w:val="00D61FF0"/>
    <w:rsid w:val="00D6211D"/>
    <w:rsid w:val="00D62C97"/>
    <w:rsid w:val="00D632A1"/>
    <w:rsid w:val="00D63517"/>
    <w:rsid w:val="00D637A1"/>
    <w:rsid w:val="00D63B75"/>
    <w:rsid w:val="00D63F33"/>
    <w:rsid w:val="00D640E7"/>
    <w:rsid w:val="00D64B43"/>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2A5"/>
    <w:rsid w:val="00D71516"/>
    <w:rsid w:val="00D71904"/>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6EB"/>
    <w:rsid w:val="00D84BA8"/>
    <w:rsid w:val="00D84D0B"/>
    <w:rsid w:val="00D84ECC"/>
    <w:rsid w:val="00D854EC"/>
    <w:rsid w:val="00D85693"/>
    <w:rsid w:val="00D857B8"/>
    <w:rsid w:val="00D85C8E"/>
    <w:rsid w:val="00D85ED9"/>
    <w:rsid w:val="00D869D3"/>
    <w:rsid w:val="00D87175"/>
    <w:rsid w:val="00D87321"/>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9A5"/>
    <w:rsid w:val="00D93BA6"/>
    <w:rsid w:val="00D94563"/>
    <w:rsid w:val="00D945A1"/>
    <w:rsid w:val="00D94B24"/>
    <w:rsid w:val="00D95104"/>
    <w:rsid w:val="00D9513B"/>
    <w:rsid w:val="00D9534A"/>
    <w:rsid w:val="00D95600"/>
    <w:rsid w:val="00D95C94"/>
    <w:rsid w:val="00D95CDB"/>
    <w:rsid w:val="00D96077"/>
    <w:rsid w:val="00D960E5"/>
    <w:rsid w:val="00D96114"/>
    <w:rsid w:val="00D96328"/>
    <w:rsid w:val="00D964F3"/>
    <w:rsid w:val="00D9683C"/>
    <w:rsid w:val="00D968BC"/>
    <w:rsid w:val="00D96DBE"/>
    <w:rsid w:val="00D96E4F"/>
    <w:rsid w:val="00D96F03"/>
    <w:rsid w:val="00D96F64"/>
    <w:rsid w:val="00D974EA"/>
    <w:rsid w:val="00D97884"/>
    <w:rsid w:val="00D979E0"/>
    <w:rsid w:val="00DA0205"/>
    <w:rsid w:val="00DA07FA"/>
    <w:rsid w:val="00DA0A7F"/>
    <w:rsid w:val="00DA11DD"/>
    <w:rsid w:val="00DA197B"/>
    <w:rsid w:val="00DA1C31"/>
    <w:rsid w:val="00DA1E61"/>
    <w:rsid w:val="00DA20BC"/>
    <w:rsid w:val="00DA25EB"/>
    <w:rsid w:val="00DA27FF"/>
    <w:rsid w:val="00DA2C0E"/>
    <w:rsid w:val="00DA2D9B"/>
    <w:rsid w:val="00DA2ED7"/>
    <w:rsid w:val="00DA2F3E"/>
    <w:rsid w:val="00DA3520"/>
    <w:rsid w:val="00DA37D9"/>
    <w:rsid w:val="00DA3E7A"/>
    <w:rsid w:val="00DA430C"/>
    <w:rsid w:val="00DA43A6"/>
    <w:rsid w:val="00DA4648"/>
    <w:rsid w:val="00DA464F"/>
    <w:rsid w:val="00DA49E0"/>
    <w:rsid w:val="00DA4C09"/>
    <w:rsid w:val="00DA59EE"/>
    <w:rsid w:val="00DA5F3B"/>
    <w:rsid w:val="00DA60D9"/>
    <w:rsid w:val="00DA615D"/>
    <w:rsid w:val="00DA6598"/>
    <w:rsid w:val="00DA6C0F"/>
    <w:rsid w:val="00DA6D49"/>
    <w:rsid w:val="00DA702F"/>
    <w:rsid w:val="00DA785C"/>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85D"/>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152"/>
    <w:rsid w:val="00DD1503"/>
    <w:rsid w:val="00DD15F7"/>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55C"/>
    <w:rsid w:val="00DD7613"/>
    <w:rsid w:val="00DD7B5A"/>
    <w:rsid w:val="00DE02AD"/>
    <w:rsid w:val="00DE0632"/>
    <w:rsid w:val="00DE0E3E"/>
    <w:rsid w:val="00DE0E59"/>
    <w:rsid w:val="00DE0F6C"/>
    <w:rsid w:val="00DE124E"/>
    <w:rsid w:val="00DE12D8"/>
    <w:rsid w:val="00DE2191"/>
    <w:rsid w:val="00DE219B"/>
    <w:rsid w:val="00DE23C6"/>
    <w:rsid w:val="00DE271A"/>
    <w:rsid w:val="00DE28B7"/>
    <w:rsid w:val="00DE2E7A"/>
    <w:rsid w:val="00DE2E7F"/>
    <w:rsid w:val="00DE332B"/>
    <w:rsid w:val="00DE3598"/>
    <w:rsid w:val="00DE37D4"/>
    <w:rsid w:val="00DE3A5F"/>
    <w:rsid w:val="00DE4066"/>
    <w:rsid w:val="00DE49CA"/>
    <w:rsid w:val="00DE4CB4"/>
    <w:rsid w:val="00DE514A"/>
    <w:rsid w:val="00DE52E3"/>
    <w:rsid w:val="00DE5BF1"/>
    <w:rsid w:val="00DE5D60"/>
    <w:rsid w:val="00DE5E32"/>
    <w:rsid w:val="00DE6344"/>
    <w:rsid w:val="00DE689E"/>
    <w:rsid w:val="00DE695F"/>
    <w:rsid w:val="00DE699E"/>
    <w:rsid w:val="00DE6C08"/>
    <w:rsid w:val="00DE71D3"/>
    <w:rsid w:val="00DE7363"/>
    <w:rsid w:val="00DE76F1"/>
    <w:rsid w:val="00DE7C00"/>
    <w:rsid w:val="00DE7C19"/>
    <w:rsid w:val="00DF00B9"/>
    <w:rsid w:val="00DF00F7"/>
    <w:rsid w:val="00DF0264"/>
    <w:rsid w:val="00DF03E9"/>
    <w:rsid w:val="00DF03ED"/>
    <w:rsid w:val="00DF04EE"/>
    <w:rsid w:val="00DF05D6"/>
    <w:rsid w:val="00DF0BF4"/>
    <w:rsid w:val="00DF0CF2"/>
    <w:rsid w:val="00DF0F54"/>
    <w:rsid w:val="00DF1422"/>
    <w:rsid w:val="00DF169E"/>
    <w:rsid w:val="00DF1720"/>
    <w:rsid w:val="00DF179D"/>
    <w:rsid w:val="00DF1AB1"/>
    <w:rsid w:val="00DF1E9C"/>
    <w:rsid w:val="00DF20A0"/>
    <w:rsid w:val="00DF222B"/>
    <w:rsid w:val="00DF2288"/>
    <w:rsid w:val="00DF26AA"/>
    <w:rsid w:val="00DF26FD"/>
    <w:rsid w:val="00DF2980"/>
    <w:rsid w:val="00DF2EB7"/>
    <w:rsid w:val="00DF3A4B"/>
    <w:rsid w:val="00DF3A83"/>
    <w:rsid w:val="00DF3B70"/>
    <w:rsid w:val="00DF3EBA"/>
    <w:rsid w:val="00DF4462"/>
    <w:rsid w:val="00DF4572"/>
    <w:rsid w:val="00DF4658"/>
    <w:rsid w:val="00DF4A00"/>
    <w:rsid w:val="00DF4AB8"/>
    <w:rsid w:val="00DF5508"/>
    <w:rsid w:val="00DF56FA"/>
    <w:rsid w:val="00DF5B71"/>
    <w:rsid w:val="00DF5F1F"/>
    <w:rsid w:val="00DF6006"/>
    <w:rsid w:val="00DF68C8"/>
    <w:rsid w:val="00DF6C8B"/>
    <w:rsid w:val="00DF6D88"/>
    <w:rsid w:val="00DF6DDE"/>
    <w:rsid w:val="00DF6E05"/>
    <w:rsid w:val="00DF6F17"/>
    <w:rsid w:val="00DF78FA"/>
    <w:rsid w:val="00E00279"/>
    <w:rsid w:val="00E002F1"/>
    <w:rsid w:val="00E0082C"/>
    <w:rsid w:val="00E00A46"/>
    <w:rsid w:val="00E00AFC"/>
    <w:rsid w:val="00E00D4F"/>
    <w:rsid w:val="00E012D0"/>
    <w:rsid w:val="00E01387"/>
    <w:rsid w:val="00E01427"/>
    <w:rsid w:val="00E0181B"/>
    <w:rsid w:val="00E0187A"/>
    <w:rsid w:val="00E01DAA"/>
    <w:rsid w:val="00E0206E"/>
    <w:rsid w:val="00E02212"/>
    <w:rsid w:val="00E023E5"/>
    <w:rsid w:val="00E02432"/>
    <w:rsid w:val="00E028A9"/>
    <w:rsid w:val="00E02A77"/>
    <w:rsid w:val="00E02CBA"/>
    <w:rsid w:val="00E02E3B"/>
    <w:rsid w:val="00E037CB"/>
    <w:rsid w:val="00E03851"/>
    <w:rsid w:val="00E03D74"/>
    <w:rsid w:val="00E03F1B"/>
    <w:rsid w:val="00E04022"/>
    <w:rsid w:val="00E04A75"/>
    <w:rsid w:val="00E04BC7"/>
    <w:rsid w:val="00E04C08"/>
    <w:rsid w:val="00E0514B"/>
    <w:rsid w:val="00E05207"/>
    <w:rsid w:val="00E0539F"/>
    <w:rsid w:val="00E05568"/>
    <w:rsid w:val="00E05DFF"/>
    <w:rsid w:val="00E065C3"/>
    <w:rsid w:val="00E0694A"/>
    <w:rsid w:val="00E06F96"/>
    <w:rsid w:val="00E0728F"/>
    <w:rsid w:val="00E0755C"/>
    <w:rsid w:val="00E075CE"/>
    <w:rsid w:val="00E07758"/>
    <w:rsid w:val="00E10240"/>
    <w:rsid w:val="00E104B5"/>
    <w:rsid w:val="00E10D69"/>
    <w:rsid w:val="00E11087"/>
    <w:rsid w:val="00E11411"/>
    <w:rsid w:val="00E1143C"/>
    <w:rsid w:val="00E118A2"/>
    <w:rsid w:val="00E127A6"/>
    <w:rsid w:val="00E12B3E"/>
    <w:rsid w:val="00E12FD9"/>
    <w:rsid w:val="00E14026"/>
    <w:rsid w:val="00E144C8"/>
    <w:rsid w:val="00E145FD"/>
    <w:rsid w:val="00E14946"/>
    <w:rsid w:val="00E14A42"/>
    <w:rsid w:val="00E14A7E"/>
    <w:rsid w:val="00E14D25"/>
    <w:rsid w:val="00E151E1"/>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A11"/>
    <w:rsid w:val="00E23FB7"/>
    <w:rsid w:val="00E240FF"/>
    <w:rsid w:val="00E2441B"/>
    <w:rsid w:val="00E245F4"/>
    <w:rsid w:val="00E24752"/>
    <w:rsid w:val="00E248C2"/>
    <w:rsid w:val="00E24903"/>
    <w:rsid w:val="00E24A26"/>
    <w:rsid w:val="00E24A27"/>
    <w:rsid w:val="00E24B2D"/>
    <w:rsid w:val="00E24DA0"/>
    <w:rsid w:val="00E253B3"/>
    <w:rsid w:val="00E25C91"/>
    <w:rsid w:val="00E25DBE"/>
    <w:rsid w:val="00E25F89"/>
    <w:rsid w:val="00E25F8B"/>
    <w:rsid w:val="00E263A3"/>
    <w:rsid w:val="00E26418"/>
    <w:rsid w:val="00E269DA"/>
    <w:rsid w:val="00E26C0B"/>
    <w:rsid w:val="00E26D6D"/>
    <w:rsid w:val="00E27360"/>
    <w:rsid w:val="00E2766A"/>
    <w:rsid w:val="00E27773"/>
    <w:rsid w:val="00E27A4C"/>
    <w:rsid w:val="00E27BAE"/>
    <w:rsid w:val="00E30253"/>
    <w:rsid w:val="00E302D0"/>
    <w:rsid w:val="00E30D23"/>
    <w:rsid w:val="00E30E7B"/>
    <w:rsid w:val="00E313B4"/>
    <w:rsid w:val="00E31632"/>
    <w:rsid w:val="00E3163B"/>
    <w:rsid w:val="00E3165B"/>
    <w:rsid w:val="00E3182A"/>
    <w:rsid w:val="00E31F2A"/>
    <w:rsid w:val="00E32282"/>
    <w:rsid w:val="00E32639"/>
    <w:rsid w:val="00E32D62"/>
    <w:rsid w:val="00E32F06"/>
    <w:rsid w:val="00E33000"/>
    <w:rsid w:val="00E339C0"/>
    <w:rsid w:val="00E339DC"/>
    <w:rsid w:val="00E33DF6"/>
    <w:rsid w:val="00E33E15"/>
    <w:rsid w:val="00E347F8"/>
    <w:rsid w:val="00E34D6A"/>
    <w:rsid w:val="00E35085"/>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1FFA"/>
    <w:rsid w:val="00E42832"/>
    <w:rsid w:val="00E429ED"/>
    <w:rsid w:val="00E42A62"/>
    <w:rsid w:val="00E42B69"/>
    <w:rsid w:val="00E42F25"/>
    <w:rsid w:val="00E434CC"/>
    <w:rsid w:val="00E435E4"/>
    <w:rsid w:val="00E43F37"/>
    <w:rsid w:val="00E44185"/>
    <w:rsid w:val="00E44539"/>
    <w:rsid w:val="00E447F7"/>
    <w:rsid w:val="00E44C06"/>
    <w:rsid w:val="00E4504B"/>
    <w:rsid w:val="00E450CC"/>
    <w:rsid w:val="00E450ED"/>
    <w:rsid w:val="00E4547D"/>
    <w:rsid w:val="00E45A10"/>
    <w:rsid w:val="00E46802"/>
    <w:rsid w:val="00E46B27"/>
    <w:rsid w:val="00E472E4"/>
    <w:rsid w:val="00E4754D"/>
    <w:rsid w:val="00E4768B"/>
    <w:rsid w:val="00E47755"/>
    <w:rsid w:val="00E4791B"/>
    <w:rsid w:val="00E479BB"/>
    <w:rsid w:val="00E47A66"/>
    <w:rsid w:val="00E47E31"/>
    <w:rsid w:val="00E47F32"/>
    <w:rsid w:val="00E50AC6"/>
    <w:rsid w:val="00E50C55"/>
    <w:rsid w:val="00E50D43"/>
    <w:rsid w:val="00E50EB6"/>
    <w:rsid w:val="00E51148"/>
    <w:rsid w:val="00E511EE"/>
    <w:rsid w:val="00E51227"/>
    <w:rsid w:val="00E515A9"/>
    <w:rsid w:val="00E51C97"/>
    <w:rsid w:val="00E51DDD"/>
    <w:rsid w:val="00E51F06"/>
    <w:rsid w:val="00E51FDD"/>
    <w:rsid w:val="00E522CB"/>
    <w:rsid w:val="00E523C1"/>
    <w:rsid w:val="00E52435"/>
    <w:rsid w:val="00E524D9"/>
    <w:rsid w:val="00E5263A"/>
    <w:rsid w:val="00E528B8"/>
    <w:rsid w:val="00E52E31"/>
    <w:rsid w:val="00E53122"/>
    <w:rsid w:val="00E5320C"/>
    <w:rsid w:val="00E5336A"/>
    <w:rsid w:val="00E5351B"/>
    <w:rsid w:val="00E537F4"/>
    <w:rsid w:val="00E5390A"/>
    <w:rsid w:val="00E53E26"/>
    <w:rsid w:val="00E53FA9"/>
    <w:rsid w:val="00E5414C"/>
    <w:rsid w:val="00E54649"/>
    <w:rsid w:val="00E547B3"/>
    <w:rsid w:val="00E54A59"/>
    <w:rsid w:val="00E55900"/>
    <w:rsid w:val="00E55D5A"/>
    <w:rsid w:val="00E56619"/>
    <w:rsid w:val="00E56800"/>
    <w:rsid w:val="00E5694D"/>
    <w:rsid w:val="00E56B1E"/>
    <w:rsid w:val="00E56CA2"/>
    <w:rsid w:val="00E56E14"/>
    <w:rsid w:val="00E5733D"/>
    <w:rsid w:val="00E57786"/>
    <w:rsid w:val="00E57921"/>
    <w:rsid w:val="00E57A4F"/>
    <w:rsid w:val="00E6017E"/>
    <w:rsid w:val="00E60485"/>
    <w:rsid w:val="00E60C65"/>
    <w:rsid w:val="00E61001"/>
    <w:rsid w:val="00E61602"/>
    <w:rsid w:val="00E61812"/>
    <w:rsid w:val="00E61B59"/>
    <w:rsid w:val="00E61CC0"/>
    <w:rsid w:val="00E61DEB"/>
    <w:rsid w:val="00E6201E"/>
    <w:rsid w:val="00E620E6"/>
    <w:rsid w:val="00E6277B"/>
    <w:rsid w:val="00E6344E"/>
    <w:rsid w:val="00E6393D"/>
    <w:rsid w:val="00E63A3E"/>
    <w:rsid w:val="00E63D5A"/>
    <w:rsid w:val="00E63D89"/>
    <w:rsid w:val="00E63E78"/>
    <w:rsid w:val="00E6409A"/>
    <w:rsid w:val="00E641D9"/>
    <w:rsid w:val="00E64424"/>
    <w:rsid w:val="00E6443D"/>
    <w:rsid w:val="00E64C99"/>
    <w:rsid w:val="00E64CD3"/>
    <w:rsid w:val="00E65F9E"/>
    <w:rsid w:val="00E66148"/>
    <w:rsid w:val="00E66A0C"/>
    <w:rsid w:val="00E66EDB"/>
    <w:rsid w:val="00E671C9"/>
    <w:rsid w:val="00E6743F"/>
    <w:rsid w:val="00E674CC"/>
    <w:rsid w:val="00E6758E"/>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BAE"/>
    <w:rsid w:val="00E803B1"/>
    <w:rsid w:val="00E80514"/>
    <w:rsid w:val="00E80813"/>
    <w:rsid w:val="00E809D0"/>
    <w:rsid w:val="00E80E5B"/>
    <w:rsid w:val="00E8109C"/>
    <w:rsid w:val="00E811EC"/>
    <w:rsid w:val="00E8128F"/>
    <w:rsid w:val="00E815EF"/>
    <w:rsid w:val="00E816C5"/>
    <w:rsid w:val="00E81CD4"/>
    <w:rsid w:val="00E81CE0"/>
    <w:rsid w:val="00E81E7C"/>
    <w:rsid w:val="00E8224D"/>
    <w:rsid w:val="00E82268"/>
    <w:rsid w:val="00E829DE"/>
    <w:rsid w:val="00E82B74"/>
    <w:rsid w:val="00E83196"/>
    <w:rsid w:val="00E8340C"/>
    <w:rsid w:val="00E83765"/>
    <w:rsid w:val="00E83AC3"/>
    <w:rsid w:val="00E84B39"/>
    <w:rsid w:val="00E8519F"/>
    <w:rsid w:val="00E852E3"/>
    <w:rsid w:val="00E855CD"/>
    <w:rsid w:val="00E85C32"/>
    <w:rsid w:val="00E85CC3"/>
    <w:rsid w:val="00E861A5"/>
    <w:rsid w:val="00E86431"/>
    <w:rsid w:val="00E8644A"/>
    <w:rsid w:val="00E868FF"/>
    <w:rsid w:val="00E86FE9"/>
    <w:rsid w:val="00E87DBD"/>
    <w:rsid w:val="00E87DF8"/>
    <w:rsid w:val="00E87F7E"/>
    <w:rsid w:val="00E90279"/>
    <w:rsid w:val="00E902EA"/>
    <w:rsid w:val="00E9061A"/>
    <w:rsid w:val="00E90635"/>
    <w:rsid w:val="00E906F2"/>
    <w:rsid w:val="00E90915"/>
    <w:rsid w:val="00E909A1"/>
    <w:rsid w:val="00E90BFF"/>
    <w:rsid w:val="00E90C46"/>
    <w:rsid w:val="00E9191D"/>
    <w:rsid w:val="00E91C0C"/>
    <w:rsid w:val="00E91E08"/>
    <w:rsid w:val="00E91F04"/>
    <w:rsid w:val="00E91F35"/>
    <w:rsid w:val="00E92000"/>
    <w:rsid w:val="00E9206E"/>
    <w:rsid w:val="00E921F0"/>
    <w:rsid w:val="00E923F3"/>
    <w:rsid w:val="00E92440"/>
    <w:rsid w:val="00E92609"/>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648"/>
    <w:rsid w:val="00E97A6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8C1"/>
    <w:rsid w:val="00EA3B5A"/>
    <w:rsid w:val="00EA3BF4"/>
    <w:rsid w:val="00EA410E"/>
    <w:rsid w:val="00EA4E50"/>
    <w:rsid w:val="00EA4FD1"/>
    <w:rsid w:val="00EA53C2"/>
    <w:rsid w:val="00EA5695"/>
    <w:rsid w:val="00EA5B0A"/>
    <w:rsid w:val="00EA61F6"/>
    <w:rsid w:val="00EA64F1"/>
    <w:rsid w:val="00EA65AD"/>
    <w:rsid w:val="00EA691C"/>
    <w:rsid w:val="00EA6953"/>
    <w:rsid w:val="00EA6C9A"/>
    <w:rsid w:val="00EA7A95"/>
    <w:rsid w:val="00EA7B35"/>
    <w:rsid w:val="00EA7F77"/>
    <w:rsid w:val="00EA7FCF"/>
    <w:rsid w:val="00EA7FF5"/>
    <w:rsid w:val="00EB0846"/>
    <w:rsid w:val="00EB0A08"/>
    <w:rsid w:val="00EB0CA3"/>
    <w:rsid w:val="00EB0F98"/>
    <w:rsid w:val="00EB0FCB"/>
    <w:rsid w:val="00EB104F"/>
    <w:rsid w:val="00EB120F"/>
    <w:rsid w:val="00EB14AA"/>
    <w:rsid w:val="00EB160C"/>
    <w:rsid w:val="00EB1A70"/>
    <w:rsid w:val="00EB1B27"/>
    <w:rsid w:val="00EB1DA8"/>
    <w:rsid w:val="00EB1DFA"/>
    <w:rsid w:val="00EB2310"/>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C64"/>
    <w:rsid w:val="00EB5EDD"/>
    <w:rsid w:val="00EB6050"/>
    <w:rsid w:val="00EB631A"/>
    <w:rsid w:val="00EB6524"/>
    <w:rsid w:val="00EB6D92"/>
    <w:rsid w:val="00EB7032"/>
    <w:rsid w:val="00EB7039"/>
    <w:rsid w:val="00EB70B0"/>
    <w:rsid w:val="00EB746B"/>
    <w:rsid w:val="00EB756E"/>
    <w:rsid w:val="00EB7612"/>
    <w:rsid w:val="00EB7633"/>
    <w:rsid w:val="00EB7736"/>
    <w:rsid w:val="00EB7F32"/>
    <w:rsid w:val="00EC0245"/>
    <w:rsid w:val="00EC069D"/>
    <w:rsid w:val="00EC1739"/>
    <w:rsid w:val="00EC2BA9"/>
    <w:rsid w:val="00EC2D00"/>
    <w:rsid w:val="00EC2E2D"/>
    <w:rsid w:val="00EC37AD"/>
    <w:rsid w:val="00EC3AB3"/>
    <w:rsid w:val="00EC3E0D"/>
    <w:rsid w:val="00EC462B"/>
    <w:rsid w:val="00EC4723"/>
    <w:rsid w:val="00EC4D18"/>
    <w:rsid w:val="00EC4D8E"/>
    <w:rsid w:val="00EC530A"/>
    <w:rsid w:val="00EC56C9"/>
    <w:rsid w:val="00EC56E0"/>
    <w:rsid w:val="00EC57B7"/>
    <w:rsid w:val="00EC5DAA"/>
    <w:rsid w:val="00EC6057"/>
    <w:rsid w:val="00EC6077"/>
    <w:rsid w:val="00EC6678"/>
    <w:rsid w:val="00EC6847"/>
    <w:rsid w:val="00EC729E"/>
    <w:rsid w:val="00EC749A"/>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9D9"/>
    <w:rsid w:val="00ED4D2F"/>
    <w:rsid w:val="00ED534E"/>
    <w:rsid w:val="00ED545D"/>
    <w:rsid w:val="00ED5474"/>
    <w:rsid w:val="00ED571E"/>
    <w:rsid w:val="00ED5DE0"/>
    <w:rsid w:val="00ED5FE4"/>
    <w:rsid w:val="00ED6816"/>
    <w:rsid w:val="00ED6BD2"/>
    <w:rsid w:val="00ED71C5"/>
    <w:rsid w:val="00ED75E5"/>
    <w:rsid w:val="00ED7F54"/>
    <w:rsid w:val="00EE0197"/>
    <w:rsid w:val="00EE0476"/>
    <w:rsid w:val="00EE04C4"/>
    <w:rsid w:val="00EE0BE7"/>
    <w:rsid w:val="00EE13AC"/>
    <w:rsid w:val="00EE13D4"/>
    <w:rsid w:val="00EE16FA"/>
    <w:rsid w:val="00EE1A9B"/>
    <w:rsid w:val="00EE225F"/>
    <w:rsid w:val="00EE237D"/>
    <w:rsid w:val="00EE3C42"/>
    <w:rsid w:val="00EE3D4F"/>
    <w:rsid w:val="00EE3E62"/>
    <w:rsid w:val="00EE404D"/>
    <w:rsid w:val="00EE424F"/>
    <w:rsid w:val="00EE4AD5"/>
    <w:rsid w:val="00EE4D07"/>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0DC5"/>
    <w:rsid w:val="00EF1F9C"/>
    <w:rsid w:val="00EF205E"/>
    <w:rsid w:val="00EF2149"/>
    <w:rsid w:val="00EF2585"/>
    <w:rsid w:val="00EF26BA"/>
    <w:rsid w:val="00EF2950"/>
    <w:rsid w:val="00EF29DD"/>
    <w:rsid w:val="00EF2CC5"/>
    <w:rsid w:val="00EF3B3A"/>
    <w:rsid w:val="00EF428A"/>
    <w:rsid w:val="00EF4366"/>
    <w:rsid w:val="00EF4CD6"/>
    <w:rsid w:val="00EF4D91"/>
    <w:rsid w:val="00EF54CC"/>
    <w:rsid w:val="00EF55A0"/>
    <w:rsid w:val="00EF55A4"/>
    <w:rsid w:val="00EF5D90"/>
    <w:rsid w:val="00EF5FB3"/>
    <w:rsid w:val="00EF63D1"/>
    <w:rsid w:val="00EF6513"/>
    <w:rsid w:val="00EF6665"/>
    <w:rsid w:val="00EF6683"/>
    <w:rsid w:val="00EF69CF"/>
    <w:rsid w:val="00EF7002"/>
    <w:rsid w:val="00EF769B"/>
    <w:rsid w:val="00EF794A"/>
    <w:rsid w:val="00EF7C7F"/>
    <w:rsid w:val="00EF7CC7"/>
    <w:rsid w:val="00EF7D70"/>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4F7"/>
    <w:rsid w:val="00F10551"/>
    <w:rsid w:val="00F1056C"/>
    <w:rsid w:val="00F1068D"/>
    <w:rsid w:val="00F106FF"/>
    <w:rsid w:val="00F107F1"/>
    <w:rsid w:val="00F109C9"/>
    <w:rsid w:val="00F10BAC"/>
    <w:rsid w:val="00F10DCD"/>
    <w:rsid w:val="00F10E6F"/>
    <w:rsid w:val="00F10EDD"/>
    <w:rsid w:val="00F10FC1"/>
    <w:rsid w:val="00F110F2"/>
    <w:rsid w:val="00F112FD"/>
    <w:rsid w:val="00F114F4"/>
    <w:rsid w:val="00F11540"/>
    <w:rsid w:val="00F121D1"/>
    <w:rsid w:val="00F12366"/>
    <w:rsid w:val="00F123AF"/>
    <w:rsid w:val="00F1253F"/>
    <w:rsid w:val="00F12A51"/>
    <w:rsid w:val="00F12BAD"/>
    <w:rsid w:val="00F12C2C"/>
    <w:rsid w:val="00F12C5F"/>
    <w:rsid w:val="00F133A1"/>
    <w:rsid w:val="00F1399D"/>
    <w:rsid w:val="00F13ECD"/>
    <w:rsid w:val="00F14298"/>
    <w:rsid w:val="00F14328"/>
    <w:rsid w:val="00F14D45"/>
    <w:rsid w:val="00F15010"/>
    <w:rsid w:val="00F1555F"/>
    <w:rsid w:val="00F155A3"/>
    <w:rsid w:val="00F155CE"/>
    <w:rsid w:val="00F156C0"/>
    <w:rsid w:val="00F159C8"/>
    <w:rsid w:val="00F15F33"/>
    <w:rsid w:val="00F17104"/>
    <w:rsid w:val="00F17166"/>
    <w:rsid w:val="00F173BA"/>
    <w:rsid w:val="00F177EA"/>
    <w:rsid w:val="00F17859"/>
    <w:rsid w:val="00F17C08"/>
    <w:rsid w:val="00F17D23"/>
    <w:rsid w:val="00F17EAE"/>
    <w:rsid w:val="00F17F4D"/>
    <w:rsid w:val="00F17FBB"/>
    <w:rsid w:val="00F2006A"/>
    <w:rsid w:val="00F2019B"/>
    <w:rsid w:val="00F202C0"/>
    <w:rsid w:val="00F203A9"/>
    <w:rsid w:val="00F21020"/>
    <w:rsid w:val="00F218D4"/>
    <w:rsid w:val="00F2250A"/>
    <w:rsid w:val="00F22738"/>
    <w:rsid w:val="00F23041"/>
    <w:rsid w:val="00F238DC"/>
    <w:rsid w:val="00F23A0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289"/>
    <w:rsid w:val="00F273DC"/>
    <w:rsid w:val="00F27C34"/>
    <w:rsid w:val="00F27E46"/>
    <w:rsid w:val="00F301C2"/>
    <w:rsid w:val="00F302E1"/>
    <w:rsid w:val="00F30346"/>
    <w:rsid w:val="00F303ED"/>
    <w:rsid w:val="00F30A46"/>
    <w:rsid w:val="00F30DE0"/>
    <w:rsid w:val="00F3126D"/>
    <w:rsid w:val="00F31B22"/>
    <w:rsid w:val="00F31B49"/>
    <w:rsid w:val="00F31F67"/>
    <w:rsid w:val="00F322B6"/>
    <w:rsid w:val="00F32836"/>
    <w:rsid w:val="00F32B12"/>
    <w:rsid w:val="00F32CB8"/>
    <w:rsid w:val="00F32F0E"/>
    <w:rsid w:val="00F32F56"/>
    <w:rsid w:val="00F32FF1"/>
    <w:rsid w:val="00F33D2A"/>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28A"/>
    <w:rsid w:val="00F44B2F"/>
    <w:rsid w:val="00F44DA3"/>
    <w:rsid w:val="00F44E54"/>
    <w:rsid w:val="00F44EC5"/>
    <w:rsid w:val="00F45209"/>
    <w:rsid w:val="00F45AC1"/>
    <w:rsid w:val="00F45C72"/>
    <w:rsid w:val="00F45E97"/>
    <w:rsid w:val="00F468CB"/>
    <w:rsid w:val="00F46EDA"/>
    <w:rsid w:val="00F47043"/>
    <w:rsid w:val="00F4729A"/>
    <w:rsid w:val="00F47498"/>
    <w:rsid w:val="00F477F8"/>
    <w:rsid w:val="00F47DE5"/>
    <w:rsid w:val="00F47EF5"/>
    <w:rsid w:val="00F503D2"/>
    <w:rsid w:val="00F50E75"/>
    <w:rsid w:val="00F512B2"/>
    <w:rsid w:val="00F512BD"/>
    <w:rsid w:val="00F51C31"/>
    <w:rsid w:val="00F51DBD"/>
    <w:rsid w:val="00F51F5A"/>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A53"/>
    <w:rsid w:val="00F55BE7"/>
    <w:rsid w:val="00F55C1D"/>
    <w:rsid w:val="00F56043"/>
    <w:rsid w:val="00F561FF"/>
    <w:rsid w:val="00F567F4"/>
    <w:rsid w:val="00F56DCF"/>
    <w:rsid w:val="00F56E9F"/>
    <w:rsid w:val="00F57034"/>
    <w:rsid w:val="00F57411"/>
    <w:rsid w:val="00F5743F"/>
    <w:rsid w:val="00F5753A"/>
    <w:rsid w:val="00F57AB0"/>
    <w:rsid w:val="00F57F3E"/>
    <w:rsid w:val="00F60459"/>
    <w:rsid w:val="00F608E3"/>
    <w:rsid w:val="00F60BE9"/>
    <w:rsid w:val="00F60E71"/>
    <w:rsid w:val="00F60EB2"/>
    <w:rsid w:val="00F616DF"/>
    <w:rsid w:val="00F6182C"/>
    <w:rsid w:val="00F618B5"/>
    <w:rsid w:val="00F61FD8"/>
    <w:rsid w:val="00F62446"/>
    <w:rsid w:val="00F62ABE"/>
    <w:rsid w:val="00F62DBF"/>
    <w:rsid w:val="00F631AD"/>
    <w:rsid w:val="00F63287"/>
    <w:rsid w:val="00F63631"/>
    <w:rsid w:val="00F6379A"/>
    <w:rsid w:val="00F63D26"/>
    <w:rsid w:val="00F641BF"/>
    <w:rsid w:val="00F641FC"/>
    <w:rsid w:val="00F6424A"/>
    <w:rsid w:val="00F647F7"/>
    <w:rsid w:val="00F65206"/>
    <w:rsid w:val="00F6566A"/>
    <w:rsid w:val="00F6583C"/>
    <w:rsid w:val="00F6589A"/>
    <w:rsid w:val="00F658EF"/>
    <w:rsid w:val="00F65D0C"/>
    <w:rsid w:val="00F6603D"/>
    <w:rsid w:val="00F66333"/>
    <w:rsid w:val="00F6642C"/>
    <w:rsid w:val="00F664D1"/>
    <w:rsid w:val="00F66660"/>
    <w:rsid w:val="00F66CF8"/>
    <w:rsid w:val="00F66D99"/>
    <w:rsid w:val="00F66E4E"/>
    <w:rsid w:val="00F6727F"/>
    <w:rsid w:val="00F6730B"/>
    <w:rsid w:val="00F674C9"/>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B88"/>
    <w:rsid w:val="00F812C8"/>
    <w:rsid w:val="00F8132D"/>
    <w:rsid w:val="00F817C5"/>
    <w:rsid w:val="00F818AE"/>
    <w:rsid w:val="00F81B40"/>
    <w:rsid w:val="00F820C4"/>
    <w:rsid w:val="00F820CE"/>
    <w:rsid w:val="00F8214C"/>
    <w:rsid w:val="00F822C3"/>
    <w:rsid w:val="00F823A5"/>
    <w:rsid w:val="00F823DE"/>
    <w:rsid w:val="00F828EB"/>
    <w:rsid w:val="00F82BB5"/>
    <w:rsid w:val="00F8302F"/>
    <w:rsid w:val="00F83829"/>
    <w:rsid w:val="00F83D15"/>
    <w:rsid w:val="00F83D49"/>
    <w:rsid w:val="00F83F6E"/>
    <w:rsid w:val="00F84069"/>
    <w:rsid w:val="00F842C8"/>
    <w:rsid w:val="00F843D7"/>
    <w:rsid w:val="00F84769"/>
    <w:rsid w:val="00F84BB2"/>
    <w:rsid w:val="00F84EF6"/>
    <w:rsid w:val="00F8509F"/>
    <w:rsid w:val="00F85536"/>
    <w:rsid w:val="00F85562"/>
    <w:rsid w:val="00F8587A"/>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87D25"/>
    <w:rsid w:val="00F87DE6"/>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2F11"/>
    <w:rsid w:val="00F93177"/>
    <w:rsid w:val="00F931C7"/>
    <w:rsid w:val="00F933F1"/>
    <w:rsid w:val="00F93559"/>
    <w:rsid w:val="00F93C6E"/>
    <w:rsid w:val="00F93D72"/>
    <w:rsid w:val="00F93E65"/>
    <w:rsid w:val="00F94070"/>
    <w:rsid w:val="00F94178"/>
    <w:rsid w:val="00F94CC3"/>
    <w:rsid w:val="00F94E93"/>
    <w:rsid w:val="00F94EF9"/>
    <w:rsid w:val="00F950B5"/>
    <w:rsid w:val="00F9513F"/>
    <w:rsid w:val="00F952D1"/>
    <w:rsid w:val="00F956A9"/>
    <w:rsid w:val="00F95B78"/>
    <w:rsid w:val="00F96249"/>
    <w:rsid w:val="00F9649D"/>
    <w:rsid w:val="00F96D93"/>
    <w:rsid w:val="00F97117"/>
    <w:rsid w:val="00F97908"/>
    <w:rsid w:val="00F97AF7"/>
    <w:rsid w:val="00F97B43"/>
    <w:rsid w:val="00F97C64"/>
    <w:rsid w:val="00FA027A"/>
    <w:rsid w:val="00FA0413"/>
    <w:rsid w:val="00FA07F8"/>
    <w:rsid w:val="00FA0A77"/>
    <w:rsid w:val="00FA104B"/>
    <w:rsid w:val="00FA105C"/>
    <w:rsid w:val="00FA120B"/>
    <w:rsid w:val="00FA1475"/>
    <w:rsid w:val="00FA148A"/>
    <w:rsid w:val="00FA14ED"/>
    <w:rsid w:val="00FA1E9E"/>
    <w:rsid w:val="00FA226C"/>
    <w:rsid w:val="00FA27C8"/>
    <w:rsid w:val="00FA2C40"/>
    <w:rsid w:val="00FA2D4C"/>
    <w:rsid w:val="00FA2D56"/>
    <w:rsid w:val="00FA2EB2"/>
    <w:rsid w:val="00FA327F"/>
    <w:rsid w:val="00FA349D"/>
    <w:rsid w:val="00FA366B"/>
    <w:rsid w:val="00FA3B76"/>
    <w:rsid w:val="00FA3F05"/>
    <w:rsid w:val="00FA444F"/>
    <w:rsid w:val="00FA4622"/>
    <w:rsid w:val="00FA48D9"/>
    <w:rsid w:val="00FA4D66"/>
    <w:rsid w:val="00FA54F8"/>
    <w:rsid w:val="00FA55E7"/>
    <w:rsid w:val="00FA5A4E"/>
    <w:rsid w:val="00FA5EFE"/>
    <w:rsid w:val="00FA65ED"/>
    <w:rsid w:val="00FA685B"/>
    <w:rsid w:val="00FA69A0"/>
    <w:rsid w:val="00FA6B27"/>
    <w:rsid w:val="00FA6C5A"/>
    <w:rsid w:val="00FA7550"/>
    <w:rsid w:val="00FA75C9"/>
    <w:rsid w:val="00FA75FA"/>
    <w:rsid w:val="00FA7C14"/>
    <w:rsid w:val="00FA7C44"/>
    <w:rsid w:val="00FB0082"/>
    <w:rsid w:val="00FB0243"/>
    <w:rsid w:val="00FB0469"/>
    <w:rsid w:val="00FB068B"/>
    <w:rsid w:val="00FB0E87"/>
    <w:rsid w:val="00FB1123"/>
    <w:rsid w:val="00FB1454"/>
    <w:rsid w:val="00FB1527"/>
    <w:rsid w:val="00FB1E64"/>
    <w:rsid w:val="00FB1FD4"/>
    <w:rsid w:val="00FB2066"/>
    <w:rsid w:val="00FB220E"/>
    <w:rsid w:val="00FB2537"/>
    <w:rsid w:val="00FB2EFC"/>
    <w:rsid w:val="00FB33DC"/>
    <w:rsid w:val="00FB3BF1"/>
    <w:rsid w:val="00FB3D2C"/>
    <w:rsid w:val="00FB4313"/>
    <w:rsid w:val="00FB4338"/>
    <w:rsid w:val="00FB477E"/>
    <w:rsid w:val="00FB4C32"/>
    <w:rsid w:val="00FB4C9C"/>
    <w:rsid w:val="00FB5B0A"/>
    <w:rsid w:val="00FB5BAE"/>
    <w:rsid w:val="00FB5BE9"/>
    <w:rsid w:val="00FB5F43"/>
    <w:rsid w:val="00FB600B"/>
    <w:rsid w:val="00FB6106"/>
    <w:rsid w:val="00FB6165"/>
    <w:rsid w:val="00FB6C03"/>
    <w:rsid w:val="00FB6D26"/>
    <w:rsid w:val="00FB7402"/>
    <w:rsid w:val="00FB7430"/>
    <w:rsid w:val="00FB74B6"/>
    <w:rsid w:val="00FB76BF"/>
    <w:rsid w:val="00FB7E35"/>
    <w:rsid w:val="00FC0150"/>
    <w:rsid w:val="00FC03AB"/>
    <w:rsid w:val="00FC058F"/>
    <w:rsid w:val="00FC05D5"/>
    <w:rsid w:val="00FC06D8"/>
    <w:rsid w:val="00FC0755"/>
    <w:rsid w:val="00FC14BB"/>
    <w:rsid w:val="00FC17F6"/>
    <w:rsid w:val="00FC1BE1"/>
    <w:rsid w:val="00FC1D20"/>
    <w:rsid w:val="00FC2241"/>
    <w:rsid w:val="00FC233E"/>
    <w:rsid w:val="00FC2366"/>
    <w:rsid w:val="00FC247D"/>
    <w:rsid w:val="00FC2596"/>
    <w:rsid w:val="00FC2849"/>
    <w:rsid w:val="00FC2E1E"/>
    <w:rsid w:val="00FC3315"/>
    <w:rsid w:val="00FC3C6D"/>
    <w:rsid w:val="00FC3CF1"/>
    <w:rsid w:val="00FC4572"/>
    <w:rsid w:val="00FC4729"/>
    <w:rsid w:val="00FC4A8C"/>
    <w:rsid w:val="00FC53DB"/>
    <w:rsid w:val="00FC5FC2"/>
    <w:rsid w:val="00FC6177"/>
    <w:rsid w:val="00FC63D1"/>
    <w:rsid w:val="00FC6564"/>
    <w:rsid w:val="00FC6690"/>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24"/>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4E4"/>
    <w:rsid w:val="00FE1E6E"/>
    <w:rsid w:val="00FE1EAB"/>
    <w:rsid w:val="00FE21A0"/>
    <w:rsid w:val="00FE27D8"/>
    <w:rsid w:val="00FE29AB"/>
    <w:rsid w:val="00FE2E01"/>
    <w:rsid w:val="00FE2F08"/>
    <w:rsid w:val="00FE3465"/>
    <w:rsid w:val="00FE35C2"/>
    <w:rsid w:val="00FE391C"/>
    <w:rsid w:val="00FE41B8"/>
    <w:rsid w:val="00FE42DD"/>
    <w:rsid w:val="00FE459F"/>
    <w:rsid w:val="00FE4CBF"/>
    <w:rsid w:val="00FE4D0B"/>
    <w:rsid w:val="00FE50E9"/>
    <w:rsid w:val="00FE5121"/>
    <w:rsid w:val="00FE51F6"/>
    <w:rsid w:val="00FE52BF"/>
    <w:rsid w:val="00FE53F5"/>
    <w:rsid w:val="00FE5783"/>
    <w:rsid w:val="00FE602C"/>
    <w:rsid w:val="00FE6703"/>
    <w:rsid w:val="00FE67CF"/>
    <w:rsid w:val="00FE69C1"/>
    <w:rsid w:val="00FE6D20"/>
    <w:rsid w:val="00FE6F2C"/>
    <w:rsid w:val="00FE6FB9"/>
    <w:rsid w:val="00FE7075"/>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BC58F3"/>
  <w15:docId w15:val="{C2C1E311-A074-4E05-8F45-7C84DEFF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34D"/>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
    <w:basedOn w:val="Tableau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qFormat/>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F78F8"/>
    <w:pPr>
      <w:numPr>
        <w:numId w:val="7"/>
      </w:numPr>
      <w:ind w:left="360"/>
    </w:pPr>
    <w:rPr>
      <w:b/>
      <w:i/>
      <w:sz w:val="20"/>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cs="Calibri"/>
      <w:b/>
      <w:i/>
      <w:sz w:val="22"/>
      <w:szCs w:val="21"/>
    </w:rPr>
  </w:style>
  <w:style w:type="paragraph" w:customStyle="1" w:styleId="Prop1">
    <w:name w:val="Prop1"/>
    <w:basedOn w:val="Paragraphedeliste"/>
    <w:autoRedefine/>
    <w:qFormat/>
    <w:rsid w:val="00886BBF"/>
    <w:pPr>
      <w:ind w:left="0"/>
      <w:jc w:val="left"/>
    </w:pPr>
    <w:rPr>
      <w:b/>
      <w:sz w:val="20"/>
      <w:lang w:eastAsia="ko-KR"/>
    </w:rPr>
  </w:style>
  <w:style w:type="paragraph" w:styleId="NormalWeb">
    <w:name w:val="Normal (Web)"/>
    <w:basedOn w:val="Normal"/>
    <w:uiPriority w:val="99"/>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3B5392"/>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enumros3">
    <w:name w:val="List Number 3"/>
    <w:basedOn w:val="Listenumros2"/>
    <w:qFormat/>
    <w:rsid w:val="00D219BF"/>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paragraph" w:styleId="Listenumros2">
    <w:name w:val="List Number 2"/>
    <w:basedOn w:val="Normal"/>
    <w:semiHidden/>
    <w:unhideWhenUsed/>
    <w:rsid w:val="00D219BF"/>
    <w:pPr>
      <w:tabs>
        <w:tab w:val="num" w:pos="360"/>
      </w:tabs>
      <w:contextualSpacing/>
    </w:pPr>
  </w:style>
  <w:style w:type="paragraph" w:styleId="En-ttedetabledesmatires">
    <w:name w:val="TOC Heading"/>
    <w:basedOn w:val="Titre1"/>
    <w:next w:val="Normal"/>
    <w:uiPriority w:val="39"/>
    <w:unhideWhenUsed/>
    <w:qFormat/>
    <w:rsid w:val="002250D9"/>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val="fr-FR" w:eastAsia="fr-FR"/>
    </w:rPr>
  </w:style>
  <w:style w:type="paragraph" w:styleId="TM1">
    <w:name w:val="toc 1"/>
    <w:basedOn w:val="Normal"/>
    <w:next w:val="Normal"/>
    <w:autoRedefine/>
    <w:uiPriority w:val="39"/>
    <w:unhideWhenUsed/>
    <w:rsid w:val="002250D9"/>
    <w:pPr>
      <w:spacing w:after="100"/>
    </w:pPr>
  </w:style>
  <w:style w:type="paragraph" w:styleId="TM2">
    <w:name w:val="toc 2"/>
    <w:basedOn w:val="Normal"/>
    <w:next w:val="Normal"/>
    <w:autoRedefine/>
    <w:uiPriority w:val="39"/>
    <w:unhideWhenUsed/>
    <w:rsid w:val="002250D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6415">
      <w:bodyDiv w:val="1"/>
      <w:marLeft w:val="0"/>
      <w:marRight w:val="0"/>
      <w:marTop w:val="0"/>
      <w:marBottom w:val="0"/>
      <w:divBdr>
        <w:top w:val="none" w:sz="0" w:space="0" w:color="auto"/>
        <w:left w:val="none" w:sz="0" w:space="0" w:color="auto"/>
        <w:bottom w:val="none" w:sz="0" w:space="0" w:color="auto"/>
        <w:right w:val="none" w:sz="0" w:space="0" w:color="auto"/>
      </w:divBdr>
      <w:divsChild>
        <w:div w:id="569388502">
          <w:marLeft w:val="418"/>
          <w:marRight w:val="0"/>
          <w:marTop w:val="0"/>
          <w:marBottom w:val="60"/>
          <w:divBdr>
            <w:top w:val="none" w:sz="0" w:space="0" w:color="auto"/>
            <w:left w:val="none" w:sz="0" w:space="0" w:color="auto"/>
            <w:bottom w:val="none" w:sz="0" w:space="0" w:color="auto"/>
            <w:right w:val="none" w:sz="0" w:space="0" w:color="auto"/>
          </w:divBdr>
        </w:div>
        <w:div w:id="195821611">
          <w:marLeft w:val="418"/>
          <w:marRight w:val="0"/>
          <w:marTop w:val="0"/>
          <w:marBottom w:val="60"/>
          <w:divBdr>
            <w:top w:val="none" w:sz="0" w:space="0" w:color="auto"/>
            <w:left w:val="none" w:sz="0" w:space="0" w:color="auto"/>
            <w:bottom w:val="none" w:sz="0" w:space="0" w:color="auto"/>
            <w:right w:val="none" w:sz="0" w:space="0" w:color="auto"/>
          </w:divBdr>
        </w:div>
      </w:divsChild>
    </w:div>
    <w:div w:id="39257077">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7118145">
      <w:bodyDiv w:val="1"/>
      <w:marLeft w:val="0"/>
      <w:marRight w:val="0"/>
      <w:marTop w:val="0"/>
      <w:marBottom w:val="0"/>
      <w:divBdr>
        <w:top w:val="none" w:sz="0" w:space="0" w:color="auto"/>
        <w:left w:val="none" w:sz="0" w:space="0" w:color="auto"/>
        <w:bottom w:val="none" w:sz="0" w:space="0" w:color="auto"/>
        <w:right w:val="none" w:sz="0" w:space="0" w:color="auto"/>
      </w:divBdr>
    </w:div>
    <w:div w:id="68234772">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01002880">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13127111">
      <w:bodyDiv w:val="1"/>
      <w:marLeft w:val="0"/>
      <w:marRight w:val="0"/>
      <w:marTop w:val="0"/>
      <w:marBottom w:val="0"/>
      <w:divBdr>
        <w:top w:val="none" w:sz="0" w:space="0" w:color="auto"/>
        <w:left w:val="none" w:sz="0" w:space="0" w:color="auto"/>
        <w:bottom w:val="none" w:sz="0" w:space="0" w:color="auto"/>
        <w:right w:val="none" w:sz="0" w:space="0" w:color="auto"/>
      </w:divBdr>
    </w:div>
    <w:div w:id="2164028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304485">
      <w:bodyDiv w:val="1"/>
      <w:marLeft w:val="0"/>
      <w:marRight w:val="0"/>
      <w:marTop w:val="0"/>
      <w:marBottom w:val="0"/>
      <w:divBdr>
        <w:top w:val="none" w:sz="0" w:space="0" w:color="auto"/>
        <w:left w:val="none" w:sz="0" w:space="0" w:color="auto"/>
        <w:bottom w:val="none" w:sz="0" w:space="0" w:color="auto"/>
        <w:right w:val="none" w:sz="0" w:space="0" w:color="auto"/>
      </w:divBdr>
      <w:divsChild>
        <w:div w:id="1123226675">
          <w:marLeft w:val="418"/>
          <w:marRight w:val="0"/>
          <w:marTop w:val="0"/>
          <w:marBottom w:val="60"/>
          <w:divBdr>
            <w:top w:val="none" w:sz="0" w:space="0" w:color="auto"/>
            <w:left w:val="none" w:sz="0" w:space="0" w:color="auto"/>
            <w:bottom w:val="none" w:sz="0" w:space="0" w:color="auto"/>
            <w:right w:val="none" w:sz="0" w:space="0" w:color="auto"/>
          </w:divBdr>
        </w:div>
        <w:div w:id="1703631587">
          <w:marLeft w:val="1138"/>
          <w:marRight w:val="0"/>
          <w:marTop w:val="0"/>
          <w:marBottom w:val="60"/>
          <w:divBdr>
            <w:top w:val="none" w:sz="0" w:space="0" w:color="auto"/>
            <w:left w:val="none" w:sz="0" w:space="0" w:color="auto"/>
            <w:bottom w:val="none" w:sz="0" w:space="0" w:color="auto"/>
            <w:right w:val="none" w:sz="0" w:space="0" w:color="auto"/>
          </w:divBdr>
        </w:div>
        <w:div w:id="1454132269">
          <w:marLeft w:val="1858"/>
          <w:marRight w:val="0"/>
          <w:marTop w:val="0"/>
          <w:marBottom w:val="60"/>
          <w:divBdr>
            <w:top w:val="none" w:sz="0" w:space="0" w:color="auto"/>
            <w:left w:val="none" w:sz="0" w:space="0" w:color="auto"/>
            <w:bottom w:val="none" w:sz="0" w:space="0" w:color="auto"/>
            <w:right w:val="none" w:sz="0" w:space="0" w:color="auto"/>
          </w:divBdr>
        </w:div>
        <w:div w:id="502551017">
          <w:marLeft w:val="1138"/>
          <w:marRight w:val="0"/>
          <w:marTop w:val="0"/>
          <w:marBottom w:val="60"/>
          <w:divBdr>
            <w:top w:val="none" w:sz="0" w:space="0" w:color="auto"/>
            <w:left w:val="none" w:sz="0" w:space="0" w:color="auto"/>
            <w:bottom w:val="none" w:sz="0" w:space="0" w:color="auto"/>
            <w:right w:val="none" w:sz="0" w:space="0" w:color="auto"/>
          </w:divBdr>
        </w:div>
        <w:div w:id="1600990805">
          <w:marLeft w:val="1858"/>
          <w:marRight w:val="0"/>
          <w:marTop w:val="0"/>
          <w:marBottom w:val="60"/>
          <w:divBdr>
            <w:top w:val="none" w:sz="0" w:space="0" w:color="auto"/>
            <w:left w:val="none" w:sz="0" w:space="0" w:color="auto"/>
            <w:bottom w:val="none" w:sz="0" w:space="0" w:color="auto"/>
            <w:right w:val="none" w:sz="0" w:space="0" w:color="auto"/>
          </w:divBdr>
        </w:div>
      </w:divsChild>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05850">
      <w:bodyDiv w:val="1"/>
      <w:marLeft w:val="0"/>
      <w:marRight w:val="0"/>
      <w:marTop w:val="0"/>
      <w:marBottom w:val="0"/>
      <w:divBdr>
        <w:top w:val="none" w:sz="0" w:space="0" w:color="auto"/>
        <w:left w:val="none" w:sz="0" w:space="0" w:color="auto"/>
        <w:bottom w:val="none" w:sz="0" w:space="0" w:color="auto"/>
        <w:right w:val="none" w:sz="0" w:space="0" w:color="auto"/>
      </w:divBdr>
      <w:divsChild>
        <w:div w:id="1228687749">
          <w:marLeft w:val="418"/>
          <w:marRight w:val="0"/>
          <w:marTop w:val="0"/>
          <w:marBottom w:val="60"/>
          <w:divBdr>
            <w:top w:val="none" w:sz="0" w:space="0" w:color="auto"/>
            <w:left w:val="none" w:sz="0" w:space="0" w:color="auto"/>
            <w:bottom w:val="none" w:sz="0" w:space="0" w:color="auto"/>
            <w:right w:val="none" w:sz="0" w:space="0" w:color="auto"/>
          </w:divBdr>
        </w:div>
        <w:div w:id="1494955496">
          <w:marLeft w:val="418"/>
          <w:marRight w:val="0"/>
          <w:marTop w:val="0"/>
          <w:marBottom w:val="60"/>
          <w:divBdr>
            <w:top w:val="none" w:sz="0" w:space="0" w:color="auto"/>
            <w:left w:val="none" w:sz="0" w:space="0" w:color="auto"/>
            <w:bottom w:val="none" w:sz="0" w:space="0" w:color="auto"/>
            <w:right w:val="none" w:sz="0" w:space="0" w:color="auto"/>
          </w:divBdr>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53921589">
      <w:bodyDiv w:val="1"/>
      <w:marLeft w:val="0"/>
      <w:marRight w:val="0"/>
      <w:marTop w:val="0"/>
      <w:marBottom w:val="0"/>
      <w:divBdr>
        <w:top w:val="none" w:sz="0" w:space="0" w:color="auto"/>
        <w:left w:val="none" w:sz="0" w:space="0" w:color="auto"/>
        <w:bottom w:val="none" w:sz="0" w:space="0" w:color="auto"/>
        <w:right w:val="none" w:sz="0" w:space="0" w:color="auto"/>
      </w:divBdr>
      <w:divsChild>
        <w:div w:id="1046101664">
          <w:marLeft w:val="418"/>
          <w:marRight w:val="0"/>
          <w:marTop w:val="0"/>
          <w:marBottom w:val="60"/>
          <w:divBdr>
            <w:top w:val="none" w:sz="0" w:space="0" w:color="auto"/>
            <w:left w:val="none" w:sz="0" w:space="0" w:color="auto"/>
            <w:bottom w:val="none" w:sz="0" w:space="0" w:color="auto"/>
            <w:right w:val="none" w:sz="0" w:space="0" w:color="auto"/>
          </w:divBdr>
        </w:div>
      </w:divsChild>
    </w:div>
    <w:div w:id="36995809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64663948">
      <w:bodyDiv w:val="1"/>
      <w:marLeft w:val="0"/>
      <w:marRight w:val="0"/>
      <w:marTop w:val="0"/>
      <w:marBottom w:val="0"/>
      <w:divBdr>
        <w:top w:val="none" w:sz="0" w:space="0" w:color="auto"/>
        <w:left w:val="none" w:sz="0" w:space="0" w:color="auto"/>
        <w:bottom w:val="none" w:sz="0" w:space="0" w:color="auto"/>
        <w:right w:val="none" w:sz="0" w:space="0" w:color="auto"/>
      </w:divBdr>
    </w:div>
    <w:div w:id="472061944">
      <w:bodyDiv w:val="1"/>
      <w:marLeft w:val="0"/>
      <w:marRight w:val="0"/>
      <w:marTop w:val="0"/>
      <w:marBottom w:val="0"/>
      <w:divBdr>
        <w:top w:val="none" w:sz="0" w:space="0" w:color="auto"/>
        <w:left w:val="none" w:sz="0" w:space="0" w:color="auto"/>
        <w:bottom w:val="none" w:sz="0" w:space="0" w:color="auto"/>
        <w:right w:val="none" w:sz="0" w:space="0" w:color="auto"/>
      </w:divBdr>
    </w:div>
    <w:div w:id="497382436">
      <w:bodyDiv w:val="1"/>
      <w:marLeft w:val="0"/>
      <w:marRight w:val="0"/>
      <w:marTop w:val="0"/>
      <w:marBottom w:val="0"/>
      <w:divBdr>
        <w:top w:val="none" w:sz="0" w:space="0" w:color="auto"/>
        <w:left w:val="none" w:sz="0" w:space="0" w:color="auto"/>
        <w:bottom w:val="none" w:sz="0" w:space="0" w:color="auto"/>
        <w:right w:val="none" w:sz="0" w:space="0" w:color="auto"/>
      </w:divBdr>
    </w:div>
    <w:div w:id="513881721">
      <w:bodyDiv w:val="1"/>
      <w:marLeft w:val="0"/>
      <w:marRight w:val="0"/>
      <w:marTop w:val="0"/>
      <w:marBottom w:val="0"/>
      <w:divBdr>
        <w:top w:val="none" w:sz="0" w:space="0" w:color="auto"/>
        <w:left w:val="none" w:sz="0" w:space="0" w:color="auto"/>
        <w:bottom w:val="none" w:sz="0" w:space="0" w:color="auto"/>
        <w:right w:val="none" w:sz="0" w:space="0" w:color="auto"/>
      </w:divBdr>
    </w:div>
    <w:div w:id="5216736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596598067">
      <w:bodyDiv w:val="1"/>
      <w:marLeft w:val="0"/>
      <w:marRight w:val="0"/>
      <w:marTop w:val="0"/>
      <w:marBottom w:val="0"/>
      <w:divBdr>
        <w:top w:val="none" w:sz="0" w:space="0" w:color="auto"/>
        <w:left w:val="none" w:sz="0" w:space="0" w:color="auto"/>
        <w:bottom w:val="none" w:sz="0" w:space="0" w:color="auto"/>
        <w:right w:val="none" w:sz="0" w:space="0" w:color="auto"/>
      </w:divBdr>
      <w:divsChild>
        <w:div w:id="849682388">
          <w:marLeft w:val="418"/>
          <w:marRight w:val="0"/>
          <w:marTop w:val="0"/>
          <w:marBottom w:val="60"/>
          <w:divBdr>
            <w:top w:val="none" w:sz="0" w:space="0" w:color="auto"/>
            <w:left w:val="none" w:sz="0" w:space="0" w:color="auto"/>
            <w:bottom w:val="none" w:sz="0" w:space="0" w:color="auto"/>
            <w:right w:val="none" w:sz="0" w:space="0" w:color="auto"/>
          </w:divBdr>
        </w:div>
        <w:div w:id="1022559491">
          <w:marLeft w:val="1138"/>
          <w:marRight w:val="0"/>
          <w:marTop w:val="0"/>
          <w:marBottom w:val="60"/>
          <w:divBdr>
            <w:top w:val="none" w:sz="0" w:space="0" w:color="auto"/>
            <w:left w:val="none" w:sz="0" w:space="0" w:color="auto"/>
            <w:bottom w:val="none" w:sz="0" w:space="0" w:color="auto"/>
            <w:right w:val="none" w:sz="0" w:space="0" w:color="auto"/>
          </w:divBdr>
        </w:div>
        <w:div w:id="1086463165">
          <w:marLeft w:val="1138"/>
          <w:marRight w:val="0"/>
          <w:marTop w:val="0"/>
          <w:marBottom w:val="60"/>
          <w:divBdr>
            <w:top w:val="none" w:sz="0" w:space="0" w:color="auto"/>
            <w:left w:val="none" w:sz="0" w:space="0" w:color="auto"/>
            <w:bottom w:val="none" w:sz="0" w:space="0" w:color="auto"/>
            <w:right w:val="none" w:sz="0" w:space="0" w:color="auto"/>
          </w:divBdr>
        </w:div>
        <w:div w:id="1003751192">
          <w:marLeft w:val="418"/>
          <w:marRight w:val="0"/>
          <w:marTop w:val="0"/>
          <w:marBottom w:val="60"/>
          <w:divBdr>
            <w:top w:val="none" w:sz="0" w:space="0" w:color="auto"/>
            <w:left w:val="none" w:sz="0" w:space="0" w:color="auto"/>
            <w:bottom w:val="none" w:sz="0" w:space="0" w:color="auto"/>
            <w:right w:val="none" w:sz="0" w:space="0" w:color="auto"/>
          </w:divBdr>
        </w:div>
      </w:divsChild>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1965020">
      <w:bodyDiv w:val="1"/>
      <w:marLeft w:val="0"/>
      <w:marRight w:val="0"/>
      <w:marTop w:val="0"/>
      <w:marBottom w:val="0"/>
      <w:divBdr>
        <w:top w:val="none" w:sz="0" w:space="0" w:color="auto"/>
        <w:left w:val="none" w:sz="0" w:space="0" w:color="auto"/>
        <w:bottom w:val="none" w:sz="0" w:space="0" w:color="auto"/>
        <w:right w:val="none" w:sz="0" w:space="0" w:color="auto"/>
      </w:divBdr>
      <w:divsChild>
        <w:div w:id="1368333518">
          <w:marLeft w:val="418"/>
          <w:marRight w:val="0"/>
          <w:marTop w:val="0"/>
          <w:marBottom w:val="60"/>
          <w:divBdr>
            <w:top w:val="none" w:sz="0" w:space="0" w:color="auto"/>
            <w:left w:val="none" w:sz="0" w:space="0" w:color="auto"/>
            <w:bottom w:val="none" w:sz="0" w:space="0" w:color="auto"/>
            <w:right w:val="none" w:sz="0" w:space="0" w:color="auto"/>
          </w:divBdr>
        </w:div>
        <w:div w:id="1816529855">
          <w:marLeft w:val="418"/>
          <w:marRight w:val="0"/>
          <w:marTop w:val="0"/>
          <w:marBottom w:val="60"/>
          <w:divBdr>
            <w:top w:val="none" w:sz="0" w:space="0" w:color="auto"/>
            <w:left w:val="none" w:sz="0" w:space="0" w:color="auto"/>
            <w:bottom w:val="none" w:sz="0" w:space="0" w:color="auto"/>
            <w:right w:val="none" w:sz="0" w:space="0" w:color="auto"/>
          </w:divBdr>
        </w:div>
        <w:div w:id="1555655440">
          <w:marLeft w:val="418"/>
          <w:marRight w:val="0"/>
          <w:marTop w:val="0"/>
          <w:marBottom w:val="60"/>
          <w:divBdr>
            <w:top w:val="none" w:sz="0" w:space="0" w:color="auto"/>
            <w:left w:val="none" w:sz="0" w:space="0" w:color="auto"/>
            <w:bottom w:val="none" w:sz="0" w:space="0" w:color="auto"/>
            <w:right w:val="none" w:sz="0" w:space="0" w:color="auto"/>
          </w:divBdr>
        </w:div>
        <w:div w:id="809983545">
          <w:marLeft w:val="1138"/>
          <w:marRight w:val="0"/>
          <w:marTop w:val="0"/>
          <w:marBottom w:val="60"/>
          <w:divBdr>
            <w:top w:val="none" w:sz="0" w:space="0" w:color="auto"/>
            <w:left w:val="none" w:sz="0" w:space="0" w:color="auto"/>
            <w:bottom w:val="none" w:sz="0" w:space="0" w:color="auto"/>
            <w:right w:val="none" w:sz="0" w:space="0" w:color="auto"/>
          </w:divBdr>
        </w:div>
        <w:div w:id="727530245">
          <w:marLeft w:val="418"/>
          <w:marRight w:val="0"/>
          <w:marTop w:val="0"/>
          <w:marBottom w:val="60"/>
          <w:divBdr>
            <w:top w:val="none" w:sz="0" w:space="0" w:color="auto"/>
            <w:left w:val="none" w:sz="0" w:space="0" w:color="auto"/>
            <w:bottom w:val="none" w:sz="0" w:space="0" w:color="auto"/>
            <w:right w:val="none" w:sz="0" w:space="0" w:color="auto"/>
          </w:divBdr>
        </w:div>
        <w:div w:id="1421566757">
          <w:marLeft w:val="1138"/>
          <w:marRight w:val="0"/>
          <w:marTop w:val="0"/>
          <w:marBottom w:val="6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1323765">
      <w:bodyDiv w:val="1"/>
      <w:marLeft w:val="0"/>
      <w:marRight w:val="0"/>
      <w:marTop w:val="0"/>
      <w:marBottom w:val="0"/>
      <w:divBdr>
        <w:top w:val="none" w:sz="0" w:space="0" w:color="auto"/>
        <w:left w:val="none" w:sz="0" w:space="0" w:color="auto"/>
        <w:bottom w:val="none" w:sz="0" w:space="0" w:color="auto"/>
        <w:right w:val="none" w:sz="0" w:space="0" w:color="auto"/>
      </w:divBdr>
      <w:divsChild>
        <w:div w:id="889995493">
          <w:marLeft w:val="418"/>
          <w:marRight w:val="0"/>
          <w:marTop w:val="0"/>
          <w:marBottom w:val="60"/>
          <w:divBdr>
            <w:top w:val="none" w:sz="0" w:space="0" w:color="auto"/>
            <w:left w:val="none" w:sz="0" w:space="0" w:color="auto"/>
            <w:bottom w:val="none" w:sz="0" w:space="0" w:color="auto"/>
            <w:right w:val="none" w:sz="0" w:space="0" w:color="auto"/>
          </w:divBdr>
        </w:div>
        <w:div w:id="1549610692">
          <w:marLeft w:val="418"/>
          <w:marRight w:val="0"/>
          <w:marTop w:val="0"/>
          <w:marBottom w:val="60"/>
          <w:divBdr>
            <w:top w:val="none" w:sz="0" w:space="0" w:color="auto"/>
            <w:left w:val="none" w:sz="0" w:space="0" w:color="auto"/>
            <w:bottom w:val="none" w:sz="0" w:space="0" w:color="auto"/>
            <w:right w:val="none" w:sz="0" w:space="0" w:color="auto"/>
          </w:divBdr>
        </w:div>
      </w:divsChild>
    </w:div>
    <w:div w:id="635721042">
      <w:bodyDiv w:val="1"/>
      <w:marLeft w:val="0"/>
      <w:marRight w:val="0"/>
      <w:marTop w:val="0"/>
      <w:marBottom w:val="0"/>
      <w:divBdr>
        <w:top w:val="none" w:sz="0" w:space="0" w:color="auto"/>
        <w:left w:val="none" w:sz="0" w:space="0" w:color="auto"/>
        <w:bottom w:val="none" w:sz="0" w:space="0" w:color="auto"/>
        <w:right w:val="none" w:sz="0" w:space="0" w:color="auto"/>
      </w:divBdr>
    </w:div>
    <w:div w:id="640966883">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78392429">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23258822">
      <w:bodyDiv w:val="1"/>
      <w:marLeft w:val="0"/>
      <w:marRight w:val="0"/>
      <w:marTop w:val="0"/>
      <w:marBottom w:val="0"/>
      <w:divBdr>
        <w:top w:val="none" w:sz="0" w:space="0" w:color="auto"/>
        <w:left w:val="none" w:sz="0" w:space="0" w:color="auto"/>
        <w:bottom w:val="none" w:sz="0" w:space="0" w:color="auto"/>
        <w:right w:val="none" w:sz="0" w:space="0" w:color="auto"/>
      </w:divBdr>
    </w:div>
    <w:div w:id="726612337">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40180916">
      <w:bodyDiv w:val="1"/>
      <w:marLeft w:val="0"/>
      <w:marRight w:val="0"/>
      <w:marTop w:val="0"/>
      <w:marBottom w:val="0"/>
      <w:divBdr>
        <w:top w:val="none" w:sz="0" w:space="0" w:color="auto"/>
        <w:left w:val="none" w:sz="0" w:space="0" w:color="auto"/>
        <w:bottom w:val="none" w:sz="0" w:space="0" w:color="auto"/>
        <w:right w:val="none" w:sz="0" w:space="0" w:color="auto"/>
      </w:divBdr>
      <w:divsChild>
        <w:div w:id="1269700405">
          <w:marLeft w:val="547"/>
          <w:marRight w:val="0"/>
          <w:marTop w:val="0"/>
          <w:marBottom w:val="0"/>
          <w:divBdr>
            <w:top w:val="none" w:sz="0" w:space="0" w:color="auto"/>
            <w:left w:val="none" w:sz="0" w:space="0" w:color="auto"/>
            <w:bottom w:val="none" w:sz="0" w:space="0" w:color="auto"/>
            <w:right w:val="none" w:sz="0" w:space="0" w:color="auto"/>
          </w:divBdr>
        </w:div>
        <w:div w:id="1020012965">
          <w:marLeft w:val="1166"/>
          <w:marRight w:val="0"/>
          <w:marTop w:val="0"/>
          <w:marBottom w:val="0"/>
          <w:divBdr>
            <w:top w:val="none" w:sz="0" w:space="0" w:color="auto"/>
            <w:left w:val="none" w:sz="0" w:space="0" w:color="auto"/>
            <w:bottom w:val="none" w:sz="0" w:space="0" w:color="auto"/>
            <w:right w:val="none" w:sz="0" w:space="0" w:color="auto"/>
          </w:divBdr>
        </w:div>
        <w:div w:id="1371955787">
          <w:marLeft w:val="1166"/>
          <w:marRight w:val="0"/>
          <w:marTop w:val="0"/>
          <w:marBottom w:val="0"/>
          <w:divBdr>
            <w:top w:val="none" w:sz="0" w:space="0" w:color="auto"/>
            <w:left w:val="none" w:sz="0" w:space="0" w:color="auto"/>
            <w:bottom w:val="none" w:sz="0" w:space="0" w:color="auto"/>
            <w:right w:val="none" w:sz="0" w:space="0" w:color="auto"/>
          </w:divBdr>
        </w:div>
        <w:div w:id="1173447424">
          <w:marLeft w:val="547"/>
          <w:marRight w:val="0"/>
          <w:marTop w:val="0"/>
          <w:marBottom w:val="0"/>
          <w:divBdr>
            <w:top w:val="none" w:sz="0" w:space="0" w:color="auto"/>
            <w:left w:val="none" w:sz="0" w:space="0" w:color="auto"/>
            <w:bottom w:val="none" w:sz="0" w:space="0" w:color="auto"/>
            <w:right w:val="none" w:sz="0" w:space="0" w:color="auto"/>
          </w:divBdr>
        </w:div>
        <w:div w:id="96214894">
          <w:marLeft w:val="1166"/>
          <w:marRight w:val="0"/>
          <w:marTop w:val="0"/>
          <w:marBottom w:val="0"/>
          <w:divBdr>
            <w:top w:val="none" w:sz="0" w:space="0" w:color="auto"/>
            <w:left w:val="none" w:sz="0" w:space="0" w:color="auto"/>
            <w:bottom w:val="none" w:sz="0" w:space="0" w:color="auto"/>
            <w:right w:val="none" w:sz="0" w:space="0" w:color="auto"/>
          </w:divBdr>
        </w:div>
        <w:div w:id="1869221900">
          <w:marLeft w:val="1166"/>
          <w:marRight w:val="0"/>
          <w:marTop w:val="0"/>
          <w:marBottom w:val="0"/>
          <w:divBdr>
            <w:top w:val="none" w:sz="0" w:space="0" w:color="auto"/>
            <w:left w:val="none" w:sz="0" w:space="0" w:color="auto"/>
            <w:bottom w:val="none" w:sz="0" w:space="0" w:color="auto"/>
            <w:right w:val="none" w:sz="0" w:space="0" w:color="auto"/>
          </w:divBdr>
        </w:div>
        <w:div w:id="1725761847">
          <w:marLeft w:val="1166"/>
          <w:marRight w:val="0"/>
          <w:marTop w:val="0"/>
          <w:marBottom w:val="0"/>
          <w:divBdr>
            <w:top w:val="none" w:sz="0" w:space="0" w:color="auto"/>
            <w:left w:val="none" w:sz="0" w:space="0" w:color="auto"/>
            <w:bottom w:val="none" w:sz="0" w:space="0" w:color="auto"/>
            <w:right w:val="none" w:sz="0" w:space="0" w:color="auto"/>
          </w:divBdr>
        </w:div>
        <w:div w:id="206112330">
          <w:marLeft w:val="1166"/>
          <w:marRight w:val="0"/>
          <w:marTop w:val="0"/>
          <w:marBottom w:val="0"/>
          <w:divBdr>
            <w:top w:val="none" w:sz="0" w:space="0" w:color="auto"/>
            <w:left w:val="none" w:sz="0" w:space="0" w:color="auto"/>
            <w:bottom w:val="none" w:sz="0" w:space="0" w:color="auto"/>
            <w:right w:val="none" w:sz="0" w:space="0" w:color="auto"/>
          </w:divBdr>
        </w:div>
        <w:div w:id="1125389431">
          <w:marLeft w:val="1166"/>
          <w:marRight w:val="0"/>
          <w:marTop w:val="0"/>
          <w:marBottom w:val="0"/>
          <w:divBdr>
            <w:top w:val="none" w:sz="0" w:space="0" w:color="auto"/>
            <w:left w:val="none" w:sz="0" w:space="0" w:color="auto"/>
            <w:bottom w:val="none" w:sz="0" w:space="0" w:color="auto"/>
            <w:right w:val="none" w:sz="0" w:space="0" w:color="auto"/>
          </w:divBdr>
        </w:div>
        <w:div w:id="667366485">
          <w:marLeft w:val="1166"/>
          <w:marRight w:val="0"/>
          <w:marTop w:val="0"/>
          <w:marBottom w:val="0"/>
          <w:divBdr>
            <w:top w:val="none" w:sz="0" w:space="0" w:color="auto"/>
            <w:left w:val="none" w:sz="0" w:space="0" w:color="auto"/>
            <w:bottom w:val="none" w:sz="0" w:space="0" w:color="auto"/>
            <w:right w:val="none" w:sz="0" w:space="0" w:color="auto"/>
          </w:divBdr>
        </w:div>
      </w:divsChild>
    </w:div>
    <w:div w:id="740981066">
      <w:bodyDiv w:val="1"/>
      <w:marLeft w:val="0"/>
      <w:marRight w:val="0"/>
      <w:marTop w:val="0"/>
      <w:marBottom w:val="0"/>
      <w:divBdr>
        <w:top w:val="none" w:sz="0" w:space="0" w:color="auto"/>
        <w:left w:val="none" w:sz="0" w:space="0" w:color="auto"/>
        <w:bottom w:val="none" w:sz="0" w:space="0" w:color="auto"/>
        <w:right w:val="none" w:sz="0" w:space="0" w:color="auto"/>
      </w:divBdr>
      <w:divsChild>
        <w:div w:id="825513453">
          <w:marLeft w:val="547"/>
          <w:marRight w:val="0"/>
          <w:marTop w:val="0"/>
          <w:marBottom w:val="0"/>
          <w:divBdr>
            <w:top w:val="none" w:sz="0" w:space="0" w:color="auto"/>
            <w:left w:val="none" w:sz="0" w:space="0" w:color="auto"/>
            <w:bottom w:val="none" w:sz="0" w:space="0" w:color="auto"/>
            <w:right w:val="none" w:sz="0" w:space="0" w:color="auto"/>
          </w:divBdr>
        </w:div>
        <w:div w:id="1529952221">
          <w:marLeft w:val="1166"/>
          <w:marRight w:val="0"/>
          <w:marTop w:val="0"/>
          <w:marBottom w:val="0"/>
          <w:divBdr>
            <w:top w:val="none" w:sz="0" w:space="0" w:color="auto"/>
            <w:left w:val="none" w:sz="0" w:space="0" w:color="auto"/>
            <w:bottom w:val="none" w:sz="0" w:space="0" w:color="auto"/>
            <w:right w:val="none" w:sz="0" w:space="0" w:color="auto"/>
          </w:divBdr>
        </w:div>
        <w:div w:id="141897882">
          <w:marLeft w:val="547"/>
          <w:marRight w:val="0"/>
          <w:marTop w:val="0"/>
          <w:marBottom w:val="0"/>
          <w:divBdr>
            <w:top w:val="none" w:sz="0" w:space="0" w:color="auto"/>
            <w:left w:val="none" w:sz="0" w:space="0" w:color="auto"/>
            <w:bottom w:val="none" w:sz="0" w:space="0" w:color="auto"/>
            <w:right w:val="none" w:sz="0" w:space="0" w:color="auto"/>
          </w:divBdr>
        </w:div>
        <w:div w:id="2020038184">
          <w:marLeft w:val="547"/>
          <w:marRight w:val="0"/>
          <w:marTop w:val="0"/>
          <w:marBottom w:val="0"/>
          <w:divBdr>
            <w:top w:val="none" w:sz="0" w:space="0" w:color="auto"/>
            <w:left w:val="none" w:sz="0" w:space="0" w:color="auto"/>
            <w:bottom w:val="none" w:sz="0" w:space="0" w:color="auto"/>
            <w:right w:val="none" w:sz="0" w:space="0" w:color="auto"/>
          </w:divBdr>
        </w:div>
        <w:div w:id="1210802885">
          <w:marLeft w:val="547"/>
          <w:marRight w:val="0"/>
          <w:marTop w:val="0"/>
          <w:marBottom w:val="0"/>
          <w:divBdr>
            <w:top w:val="none" w:sz="0" w:space="0" w:color="auto"/>
            <w:left w:val="none" w:sz="0" w:space="0" w:color="auto"/>
            <w:bottom w:val="none" w:sz="0" w:space="0" w:color="auto"/>
            <w:right w:val="none" w:sz="0" w:space="0" w:color="auto"/>
          </w:divBdr>
        </w:div>
        <w:div w:id="1241140452">
          <w:marLeft w:val="1166"/>
          <w:marRight w:val="0"/>
          <w:marTop w:val="0"/>
          <w:marBottom w:val="0"/>
          <w:divBdr>
            <w:top w:val="none" w:sz="0" w:space="0" w:color="auto"/>
            <w:left w:val="none" w:sz="0" w:space="0" w:color="auto"/>
            <w:bottom w:val="none" w:sz="0" w:space="0" w:color="auto"/>
            <w:right w:val="none" w:sz="0" w:space="0" w:color="auto"/>
          </w:divBdr>
        </w:div>
        <w:div w:id="1806662140">
          <w:marLeft w:val="547"/>
          <w:marRight w:val="0"/>
          <w:marTop w:val="0"/>
          <w:marBottom w:val="0"/>
          <w:divBdr>
            <w:top w:val="none" w:sz="0" w:space="0" w:color="auto"/>
            <w:left w:val="none" w:sz="0" w:space="0" w:color="auto"/>
            <w:bottom w:val="none" w:sz="0" w:space="0" w:color="auto"/>
            <w:right w:val="none" w:sz="0" w:space="0" w:color="auto"/>
          </w:divBdr>
        </w:div>
      </w:divsChild>
    </w:div>
    <w:div w:id="752045435">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5218952">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1735691">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21194827">
      <w:bodyDiv w:val="1"/>
      <w:marLeft w:val="0"/>
      <w:marRight w:val="0"/>
      <w:marTop w:val="0"/>
      <w:marBottom w:val="0"/>
      <w:divBdr>
        <w:top w:val="none" w:sz="0" w:space="0" w:color="auto"/>
        <w:left w:val="none" w:sz="0" w:space="0" w:color="auto"/>
        <w:bottom w:val="none" w:sz="0" w:space="0" w:color="auto"/>
        <w:right w:val="none" w:sz="0" w:space="0" w:color="auto"/>
      </w:divBdr>
    </w:div>
    <w:div w:id="1132210580">
      <w:bodyDiv w:val="1"/>
      <w:marLeft w:val="0"/>
      <w:marRight w:val="0"/>
      <w:marTop w:val="0"/>
      <w:marBottom w:val="0"/>
      <w:divBdr>
        <w:top w:val="none" w:sz="0" w:space="0" w:color="auto"/>
        <w:left w:val="none" w:sz="0" w:space="0" w:color="auto"/>
        <w:bottom w:val="none" w:sz="0" w:space="0" w:color="auto"/>
        <w:right w:val="none" w:sz="0" w:space="0" w:color="auto"/>
      </w:divBdr>
      <w:divsChild>
        <w:div w:id="1700426019">
          <w:marLeft w:val="0"/>
          <w:marRight w:val="0"/>
          <w:marTop w:val="0"/>
          <w:marBottom w:val="60"/>
          <w:divBdr>
            <w:top w:val="none" w:sz="0" w:space="0" w:color="auto"/>
            <w:left w:val="none" w:sz="0" w:space="0" w:color="auto"/>
            <w:bottom w:val="none" w:sz="0" w:space="0" w:color="auto"/>
            <w:right w:val="none" w:sz="0" w:space="0" w:color="auto"/>
          </w:divBdr>
        </w:div>
        <w:div w:id="1690640280">
          <w:marLeft w:val="418"/>
          <w:marRight w:val="0"/>
          <w:marTop w:val="0"/>
          <w:marBottom w:val="60"/>
          <w:divBdr>
            <w:top w:val="none" w:sz="0" w:space="0" w:color="auto"/>
            <w:left w:val="none" w:sz="0" w:space="0" w:color="auto"/>
            <w:bottom w:val="none" w:sz="0" w:space="0" w:color="auto"/>
            <w:right w:val="none" w:sz="0" w:space="0" w:color="auto"/>
          </w:divBdr>
        </w:div>
        <w:div w:id="1578980395">
          <w:marLeft w:val="418"/>
          <w:marRight w:val="0"/>
          <w:marTop w:val="0"/>
          <w:marBottom w:val="60"/>
          <w:divBdr>
            <w:top w:val="none" w:sz="0" w:space="0" w:color="auto"/>
            <w:left w:val="none" w:sz="0" w:space="0" w:color="auto"/>
            <w:bottom w:val="none" w:sz="0" w:space="0" w:color="auto"/>
            <w:right w:val="none" w:sz="0" w:space="0" w:color="auto"/>
          </w:divBdr>
        </w:div>
        <w:div w:id="1114979745">
          <w:marLeft w:val="1138"/>
          <w:marRight w:val="0"/>
          <w:marTop w:val="0"/>
          <w:marBottom w:val="60"/>
          <w:divBdr>
            <w:top w:val="none" w:sz="0" w:space="0" w:color="auto"/>
            <w:left w:val="none" w:sz="0" w:space="0" w:color="auto"/>
            <w:bottom w:val="none" w:sz="0" w:space="0" w:color="auto"/>
            <w:right w:val="none" w:sz="0" w:space="0" w:color="auto"/>
          </w:divBdr>
        </w:div>
        <w:div w:id="22288732">
          <w:marLeft w:val="1138"/>
          <w:marRight w:val="0"/>
          <w:marTop w:val="0"/>
          <w:marBottom w:val="60"/>
          <w:divBdr>
            <w:top w:val="none" w:sz="0" w:space="0" w:color="auto"/>
            <w:left w:val="none" w:sz="0" w:space="0" w:color="auto"/>
            <w:bottom w:val="none" w:sz="0" w:space="0" w:color="auto"/>
            <w:right w:val="none" w:sz="0" w:space="0" w:color="auto"/>
          </w:divBdr>
        </w:div>
        <w:div w:id="1647197146">
          <w:marLeft w:val="1138"/>
          <w:marRight w:val="0"/>
          <w:marTop w:val="0"/>
          <w:marBottom w:val="60"/>
          <w:divBdr>
            <w:top w:val="none" w:sz="0" w:space="0" w:color="auto"/>
            <w:left w:val="none" w:sz="0" w:space="0" w:color="auto"/>
            <w:bottom w:val="none" w:sz="0" w:space="0" w:color="auto"/>
            <w:right w:val="none" w:sz="0" w:space="0" w:color="auto"/>
          </w:divBdr>
        </w:div>
        <w:div w:id="690886432">
          <w:marLeft w:val="1138"/>
          <w:marRight w:val="0"/>
          <w:marTop w:val="0"/>
          <w:marBottom w:val="60"/>
          <w:divBdr>
            <w:top w:val="none" w:sz="0" w:space="0" w:color="auto"/>
            <w:left w:val="none" w:sz="0" w:space="0" w:color="auto"/>
            <w:bottom w:val="none" w:sz="0" w:space="0" w:color="auto"/>
            <w:right w:val="none" w:sz="0" w:space="0" w:color="auto"/>
          </w:divBdr>
        </w:div>
      </w:divsChild>
    </w:div>
    <w:div w:id="1157722098">
      <w:bodyDiv w:val="1"/>
      <w:marLeft w:val="0"/>
      <w:marRight w:val="0"/>
      <w:marTop w:val="0"/>
      <w:marBottom w:val="0"/>
      <w:divBdr>
        <w:top w:val="none" w:sz="0" w:space="0" w:color="auto"/>
        <w:left w:val="none" w:sz="0" w:space="0" w:color="auto"/>
        <w:bottom w:val="none" w:sz="0" w:space="0" w:color="auto"/>
        <w:right w:val="none" w:sz="0" w:space="0" w:color="auto"/>
      </w:divBdr>
      <w:divsChild>
        <w:div w:id="1423991190">
          <w:marLeft w:val="547"/>
          <w:marRight w:val="0"/>
          <w:marTop w:val="0"/>
          <w:marBottom w:val="0"/>
          <w:divBdr>
            <w:top w:val="none" w:sz="0" w:space="0" w:color="auto"/>
            <w:left w:val="none" w:sz="0" w:space="0" w:color="auto"/>
            <w:bottom w:val="none" w:sz="0" w:space="0" w:color="auto"/>
            <w:right w:val="none" w:sz="0" w:space="0" w:color="auto"/>
          </w:divBdr>
        </w:div>
        <w:div w:id="1879971831">
          <w:marLeft w:val="1166"/>
          <w:marRight w:val="0"/>
          <w:marTop w:val="0"/>
          <w:marBottom w:val="0"/>
          <w:divBdr>
            <w:top w:val="none" w:sz="0" w:space="0" w:color="auto"/>
            <w:left w:val="none" w:sz="0" w:space="0" w:color="auto"/>
            <w:bottom w:val="none" w:sz="0" w:space="0" w:color="auto"/>
            <w:right w:val="none" w:sz="0" w:space="0" w:color="auto"/>
          </w:divBdr>
        </w:div>
        <w:div w:id="54746280">
          <w:marLeft w:val="547"/>
          <w:marRight w:val="0"/>
          <w:marTop w:val="0"/>
          <w:marBottom w:val="0"/>
          <w:divBdr>
            <w:top w:val="none" w:sz="0" w:space="0" w:color="auto"/>
            <w:left w:val="none" w:sz="0" w:space="0" w:color="auto"/>
            <w:bottom w:val="none" w:sz="0" w:space="0" w:color="auto"/>
            <w:right w:val="none" w:sz="0" w:space="0" w:color="auto"/>
          </w:divBdr>
        </w:div>
        <w:div w:id="1087077168">
          <w:marLeft w:val="547"/>
          <w:marRight w:val="0"/>
          <w:marTop w:val="0"/>
          <w:marBottom w:val="0"/>
          <w:divBdr>
            <w:top w:val="none" w:sz="0" w:space="0" w:color="auto"/>
            <w:left w:val="none" w:sz="0" w:space="0" w:color="auto"/>
            <w:bottom w:val="none" w:sz="0" w:space="0" w:color="auto"/>
            <w:right w:val="none" w:sz="0" w:space="0" w:color="auto"/>
          </w:divBdr>
        </w:div>
        <w:div w:id="1050691027">
          <w:marLeft w:val="547"/>
          <w:marRight w:val="0"/>
          <w:marTop w:val="0"/>
          <w:marBottom w:val="0"/>
          <w:divBdr>
            <w:top w:val="none" w:sz="0" w:space="0" w:color="auto"/>
            <w:left w:val="none" w:sz="0" w:space="0" w:color="auto"/>
            <w:bottom w:val="none" w:sz="0" w:space="0" w:color="auto"/>
            <w:right w:val="none" w:sz="0" w:space="0" w:color="auto"/>
          </w:divBdr>
        </w:div>
        <w:div w:id="2108500941">
          <w:marLeft w:val="1166"/>
          <w:marRight w:val="0"/>
          <w:marTop w:val="0"/>
          <w:marBottom w:val="0"/>
          <w:divBdr>
            <w:top w:val="none" w:sz="0" w:space="0" w:color="auto"/>
            <w:left w:val="none" w:sz="0" w:space="0" w:color="auto"/>
            <w:bottom w:val="none" w:sz="0" w:space="0" w:color="auto"/>
            <w:right w:val="none" w:sz="0" w:space="0" w:color="auto"/>
          </w:divBdr>
        </w:div>
        <w:div w:id="1203052120">
          <w:marLeft w:val="547"/>
          <w:marRight w:val="0"/>
          <w:marTop w:val="0"/>
          <w:marBottom w:val="0"/>
          <w:divBdr>
            <w:top w:val="none" w:sz="0" w:space="0" w:color="auto"/>
            <w:left w:val="none" w:sz="0" w:space="0" w:color="auto"/>
            <w:bottom w:val="none" w:sz="0" w:space="0" w:color="auto"/>
            <w:right w:val="none" w:sz="0" w:space="0" w:color="auto"/>
          </w:divBdr>
        </w:div>
      </w:divsChild>
    </w:div>
    <w:div w:id="1157919635">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5606266">
      <w:bodyDiv w:val="1"/>
      <w:marLeft w:val="0"/>
      <w:marRight w:val="0"/>
      <w:marTop w:val="0"/>
      <w:marBottom w:val="0"/>
      <w:divBdr>
        <w:top w:val="none" w:sz="0" w:space="0" w:color="auto"/>
        <w:left w:val="none" w:sz="0" w:space="0" w:color="auto"/>
        <w:bottom w:val="none" w:sz="0" w:space="0" w:color="auto"/>
        <w:right w:val="none" w:sz="0" w:space="0" w:color="auto"/>
      </w:divBdr>
    </w:div>
    <w:div w:id="1179394810">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6065256">
      <w:bodyDiv w:val="1"/>
      <w:marLeft w:val="0"/>
      <w:marRight w:val="0"/>
      <w:marTop w:val="0"/>
      <w:marBottom w:val="0"/>
      <w:divBdr>
        <w:top w:val="none" w:sz="0" w:space="0" w:color="auto"/>
        <w:left w:val="none" w:sz="0" w:space="0" w:color="auto"/>
        <w:bottom w:val="none" w:sz="0" w:space="0" w:color="auto"/>
        <w:right w:val="none" w:sz="0" w:space="0" w:color="auto"/>
      </w:divBdr>
      <w:divsChild>
        <w:div w:id="1134979458">
          <w:marLeft w:val="547"/>
          <w:marRight w:val="0"/>
          <w:marTop w:val="0"/>
          <w:marBottom w:val="0"/>
          <w:divBdr>
            <w:top w:val="none" w:sz="0" w:space="0" w:color="auto"/>
            <w:left w:val="none" w:sz="0" w:space="0" w:color="auto"/>
            <w:bottom w:val="none" w:sz="0" w:space="0" w:color="auto"/>
            <w:right w:val="none" w:sz="0" w:space="0" w:color="auto"/>
          </w:divBdr>
        </w:div>
      </w:divsChild>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13272277">
      <w:bodyDiv w:val="1"/>
      <w:marLeft w:val="0"/>
      <w:marRight w:val="0"/>
      <w:marTop w:val="0"/>
      <w:marBottom w:val="0"/>
      <w:divBdr>
        <w:top w:val="none" w:sz="0" w:space="0" w:color="auto"/>
        <w:left w:val="none" w:sz="0" w:space="0" w:color="auto"/>
        <w:bottom w:val="none" w:sz="0" w:space="0" w:color="auto"/>
        <w:right w:val="none" w:sz="0" w:space="0" w:color="auto"/>
      </w:divBdr>
      <w:divsChild>
        <w:div w:id="1093939384">
          <w:marLeft w:val="418"/>
          <w:marRight w:val="0"/>
          <w:marTop w:val="0"/>
          <w:marBottom w:val="60"/>
          <w:divBdr>
            <w:top w:val="none" w:sz="0" w:space="0" w:color="auto"/>
            <w:left w:val="none" w:sz="0" w:space="0" w:color="auto"/>
            <w:bottom w:val="none" w:sz="0" w:space="0" w:color="auto"/>
            <w:right w:val="none" w:sz="0" w:space="0" w:color="auto"/>
          </w:divBdr>
        </w:div>
        <w:div w:id="613947259">
          <w:marLeft w:val="418"/>
          <w:marRight w:val="0"/>
          <w:marTop w:val="0"/>
          <w:marBottom w:val="60"/>
          <w:divBdr>
            <w:top w:val="none" w:sz="0" w:space="0" w:color="auto"/>
            <w:left w:val="none" w:sz="0" w:space="0" w:color="auto"/>
            <w:bottom w:val="none" w:sz="0" w:space="0" w:color="auto"/>
            <w:right w:val="none" w:sz="0" w:space="0" w:color="auto"/>
          </w:divBdr>
        </w:div>
      </w:divsChild>
    </w:div>
    <w:div w:id="122482648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77251035">
      <w:bodyDiv w:val="1"/>
      <w:marLeft w:val="0"/>
      <w:marRight w:val="0"/>
      <w:marTop w:val="0"/>
      <w:marBottom w:val="0"/>
      <w:divBdr>
        <w:top w:val="none" w:sz="0" w:space="0" w:color="auto"/>
        <w:left w:val="none" w:sz="0" w:space="0" w:color="auto"/>
        <w:bottom w:val="none" w:sz="0" w:space="0" w:color="auto"/>
        <w:right w:val="none" w:sz="0" w:space="0" w:color="auto"/>
      </w:divBdr>
      <w:divsChild>
        <w:div w:id="1844738188">
          <w:marLeft w:val="1138"/>
          <w:marRight w:val="0"/>
          <w:marTop w:val="0"/>
          <w:marBottom w:val="60"/>
          <w:divBdr>
            <w:top w:val="none" w:sz="0" w:space="0" w:color="auto"/>
            <w:left w:val="none" w:sz="0" w:space="0" w:color="auto"/>
            <w:bottom w:val="none" w:sz="0" w:space="0" w:color="auto"/>
            <w:right w:val="none" w:sz="0" w:space="0" w:color="auto"/>
          </w:divBdr>
        </w:div>
        <w:div w:id="344790149">
          <w:marLeft w:val="1858"/>
          <w:marRight w:val="0"/>
          <w:marTop w:val="0"/>
          <w:marBottom w:val="60"/>
          <w:divBdr>
            <w:top w:val="none" w:sz="0" w:space="0" w:color="auto"/>
            <w:left w:val="none" w:sz="0" w:space="0" w:color="auto"/>
            <w:bottom w:val="none" w:sz="0" w:space="0" w:color="auto"/>
            <w:right w:val="none" w:sz="0" w:space="0" w:color="auto"/>
          </w:divBdr>
        </w:div>
      </w:divsChild>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18730757">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32374030">
      <w:bodyDiv w:val="1"/>
      <w:marLeft w:val="0"/>
      <w:marRight w:val="0"/>
      <w:marTop w:val="0"/>
      <w:marBottom w:val="0"/>
      <w:divBdr>
        <w:top w:val="none" w:sz="0" w:space="0" w:color="auto"/>
        <w:left w:val="none" w:sz="0" w:space="0" w:color="auto"/>
        <w:bottom w:val="none" w:sz="0" w:space="0" w:color="auto"/>
        <w:right w:val="none" w:sz="0" w:space="0" w:color="auto"/>
      </w:divBdr>
    </w:div>
    <w:div w:id="1335450514">
      <w:bodyDiv w:val="1"/>
      <w:marLeft w:val="0"/>
      <w:marRight w:val="0"/>
      <w:marTop w:val="0"/>
      <w:marBottom w:val="0"/>
      <w:divBdr>
        <w:top w:val="none" w:sz="0" w:space="0" w:color="auto"/>
        <w:left w:val="none" w:sz="0" w:space="0" w:color="auto"/>
        <w:bottom w:val="none" w:sz="0" w:space="0" w:color="auto"/>
        <w:right w:val="none" w:sz="0" w:space="0" w:color="auto"/>
      </w:divBdr>
    </w:div>
    <w:div w:id="134266544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5922701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1361235">
      <w:bodyDiv w:val="1"/>
      <w:marLeft w:val="0"/>
      <w:marRight w:val="0"/>
      <w:marTop w:val="0"/>
      <w:marBottom w:val="0"/>
      <w:divBdr>
        <w:top w:val="none" w:sz="0" w:space="0" w:color="auto"/>
        <w:left w:val="none" w:sz="0" w:space="0" w:color="auto"/>
        <w:bottom w:val="none" w:sz="0" w:space="0" w:color="auto"/>
        <w:right w:val="none" w:sz="0" w:space="0" w:color="auto"/>
      </w:divBdr>
      <w:divsChild>
        <w:div w:id="60838426">
          <w:marLeft w:val="1138"/>
          <w:marRight w:val="0"/>
          <w:marTop w:val="0"/>
          <w:marBottom w:val="6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40170016">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9019291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4015002">
      <w:bodyDiv w:val="1"/>
      <w:marLeft w:val="0"/>
      <w:marRight w:val="0"/>
      <w:marTop w:val="0"/>
      <w:marBottom w:val="0"/>
      <w:divBdr>
        <w:top w:val="none" w:sz="0" w:space="0" w:color="auto"/>
        <w:left w:val="none" w:sz="0" w:space="0" w:color="auto"/>
        <w:bottom w:val="none" w:sz="0" w:space="0" w:color="auto"/>
        <w:right w:val="none" w:sz="0" w:space="0" w:color="auto"/>
      </w:divBdr>
      <w:divsChild>
        <w:div w:id="4938976">
          <w:marLeft w:val="547"/>
          <w:marRight w:val="0"/>
          <w:marTop w:val="0"/>
          <w:marBottom w:val="0"/>
          <w:divBdr>
            <w:top w:val="none" w:sz="0" w:space="0" w:color="auto"/>
            <w:left w:val="none" w:sz="0" w:space="0" w:color="auto"/>
            <w:bottom w:val="none" w:sz="0" w:space="0" w:color="auto"/>
            <w:right w:val="none" w:sz="0" w:space="0" w:color="auto"/>
          </w:divBdr>
        </w:div>
        <w:div w:id="500589410">
          <w:marLeft w:val="1166"/>
          <w:marRight w:val="0"/>
          <w:marTop w:val="0"/>
          <w:marBottom w:val="0"/>
          <w:divBdr>
            <w:top w:val="none" w:sz="0" w:space="0" w:color="auto"/>
            <w:left w:val="none" w:sz="0" w:space="0" w:color="auto"/>
            <w:bottom w:val="none" w:sz="0" w:space="0" w:color="auto"/>
            <w:right w:val="none" w:sz="0" w:space="0" w:color="auto"/>
          </w:divBdr>
        </w:div>
        <w:div w:id="26315329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415963">
      <w:bodyDiv w:val="1"/>
      <w:marLeft w:val="0"/>
      <w:marRight w:val="0"/>
      <w:marTop w:val="0"/>
      <w:marBottom w:val="0"/>
      <w:divBdr>
        <w:top w:val="none" w:sz="0" w:space="0" w:color="auto"/>
        <w:left w:val="none" w:sz="0" w:space="0" w:color="auto"/>
        <w:bottom w:val="none" w:sz="0" w:space="0" w:color="auto"/>
        <w:right w:val="none" w:sz="0" w:space="0" w:color="auto"/>
      </w:divBdr>
    </w:div>
    <w:div w:id="1767536456">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22308311">
      <w:bodyDiv w:val="1"/>
      <w:marLeft w:val="0"/>
      <w:marRight w:val="0"/>
      <w:marTop w:val="0"/>
      <w:marBottom w:val="0"/>
      <w:divBdr>
        <w:top w:val="none" w:sz="0" w:space="0" w:color="auto"/>
        <w:left w:val="none" w:sz="0" w:space="0" w:color="auto"/>
        <w:bottom w:val="none" w:sz="0" w:space="0" w:color="auto"/>
        <w:right w:val="none" w:sz="0" w:space="0" w:color="auto"/>
      </w:divBdr>
      <w:divsChild>
        <w:div w:id="1981953337">
          <w:marLeft w:val="547"/>
          <w:marRight w:val="0"/>
          <w:marTop w:val="0"/>
          <w:marBottom w:val="0"/>
          <w:divBdr>
            <w:top w:val="none" w:sz="0" w:space="0" w:color="auto"/>
            <w:left w:val="none" w:sz="0" w:space="0" w:color="auto"/>
            <w:bottom w:val="none" w:sz="0" w:space="0" w:color="auto"/>
            <w:right w:val="none" w:sz="0" w:space="0" w:color="auto"/>
          </w:divBdr>
        </w:div>
        <w:div w:id="1723209764">
          <w:marLeft w:val="1166"/>
          <w:marRight w:val="0"/>
          <w:marTop w:val="0"/>
          <w:marBottom w:val="0"/>
          <w:divBdr>
            <w:top w:val="none" w:sz="0" w:space="0" w:color="auto"/>
            <w:left w:val="none" w:sz="0" w:space="0" w:color="auto"/>
            <w:bottom w:val="none" w:sz="0" w:space="0" w:color="auto"/>
            <w:right w:val="none" w:sz="0" w:space="0" w:color="auto"/>
          </w:divBdr>
        </w:div>
        <w:div w:id="776172810">
          <w:marLeft w:val="1166"/>
          <w:marRight w:val="0"/>
          <w:marTop w:val="0"/>
          <w:marBottom w:val="0"/>
          <w:divBdr>
            <w:top w:val="none" w:sz="0" w:space="0" w:color="auto"/>
            <w:left w:val="none" w:sz="0" w:space="0" w:color="auto"/>
            <w:bottom w:val="none" w:sz="0" w:space="0" w:color="auto"/>
            <w:right w:val="none" w:sz="0" w:space="0" w:color="auto"/>
          </w:divBdr>
        </w:div>
        <w:div w:id="242885364">
          <w:marLeft w:val="547"/>
          <w:marRight w:val="0"/>
          <w:marTop w:val="0"/>
          <w:marBottom w:val="0"/>
          <w:divBdr>
            <w:top w:val="none" w:sz="0" w:space="0" w:color="auto"/>
            <w:left w:val="none" w:sz="0" w:space="0" w:color="auto"/>
            <w:bottom w:val="none" w:sz="0" w:space="0" w:color="auto"/>
            <w:right w:val="none" w:sz="0" w:space="0" w:color="auto"/>
          </w:divBdr>
        </w:div>
        <w:div w:id="615911207">
          <w:marLeft w:val="1166"/>
          <w:marRight w:val="0"/>
          <w:marTop w:val="0"/>
          <w:marBottom w:val="0"/>
          <w:divBdr>
            <w:top w:val="none" w:sz="0" w:space="0" w:color="auto"/>
            <w:left w:val="none" w:sz="0" w:space="0" w:color="auto"/>
            <w:bottom w:val="none" w:sz="0" w:space="0" w:color="auto"/>
            <w:right w:val="none" w:sz="0" w:space="0" w:color="auto"/>
          </w:divBdr>
        </w:div>
        <w:div w:id="1376735321">
          <w:marLeft w:val="1166"/>
          <w:marRight w:val="0"/>
          <w:marTop w:val="0"/>
          <w:marBottom w:val="0"/>
          <w:divBdr>
            <w:top w:val="none" w:sz="0" w:space="0" w:color="auto"/>
            <w:left w:val="none" w:sz="0" w:space="0" w:color="auto"/>
            <w:bottom w:val="none" w:sz="0" w:space="0" w:color="auto"/>
            <w:right w:val="none" w:sz="0" w:space="0" w:color="auto"/>
          </w:divBdr>
        </w:div>
        <w:div w:id="1306885722">
          <w:marLeft w:val="1166"/>
          <w:marRight w:val="0"/>
          <w:marTop w:val="0"/>
          <w:marBottom w:val="0"/>
          <w:divBdr>
            <w:top w:val="none" w:sz="0" w:space="0" w:color="auto"/>
            <w:left w:val="none" w:sz="0" w:space="0" w:color="auto"/>
            <w:bottom w:val="none" w:sz="0" w:space="0" w:color="auto"/>
            <w:right w:val="none" w:sz="0" w:space="0" w:color="auto"/>
          </w:divBdr>
        </w:div>
        <w:div w:id="1664504138">
          <w:marLeft w:val="1166"/>
          <w:marRight w:val="0"/>
          <w:marTop w:val="0"/>
          <w:marBottom w:val="0"/>
          <w:divBdr>
            <w:top w:val="none" w:sz="0" w:space="0" w:color="auto"/>
            <w:left w:val="none" w:sz="0" w:space="0" w:color="auto"/>
            <w:bottom w:val="none" w:sz="0" w:space="0" w:color="auto"/>
            <w:right w:val="none" w:sz="0" w:space="0" w:color="auto"/>
          </w:divBdr>
        </w:div>
        <w:div w:id="175119540">
          <w:marLeft w:val="1166"/>
          <w:marRight w:val="0"/>
          <w:marTop w:val="0"/>
          <w:marBottom w:val="0"/>
          <w:divBdr>
            <w:top w:val="none" w:sz="0" w:space="0" w:color="auto"/>
            <w:left w:val="none" w:sz="0" w:space="0" w:color="auto"/>
            <w:bottom w:val="none" w:sz="0" w:space="0" w:color="auto"/>
            <w:right w:val="none" w:sz="0" w:space="0" w:color="auto"/>
          </w:divBdr>
        </w:div>
        <w:div w:id="411858268">
          <w:marLeft w:val="1166"/>
          <w:marRight w:val="0"/>
          <w:marTop w:val="0"/>
          <w:marBottom w:val="0"/>
          <w:divBdr>
            <w:top w:val="none" w:sz="0" w:space="0" w:color="auto"/>
            <w:left w:val="none" w:sz="0" w:space="0" w:color="auto"/>
            <w:bottom w:val="none" w:sz="0" w:space="0" w:color="auto"/>
            <w:right w:val="none" w:sz="0" w:space="0" w:color="auto"/>
          </w:divBdr>
        </w:div>
      </w:divsChild>
    </w:div>
    <w:div w:id="1837264609">
      <w:bodyDiv w:val="1"/>
      <w:marLeft w:val="0"/>
      <w:marRight w:val="0"/>
      <w:marTop w:val="0"/>
      <w:marBottom w:val="0"/>
      <w:divBdr>
        <w:top w:val="none" w:sz="0" w:space="0" w:color="auto"/>
        <w:left w:val="none" w:sz="0" w:space="0" w:color="auto"/>
        <w:bottom w:val="none" w:sz="0" w:space="0" w:color="auto"/>
        <w:right w:val="none" w:sz="0" w:space="0" w:color="auto"/>
      </w:divBdr>
    </w:div>
    <w:div w:id="1860852987">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0144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7606798">
      <w:bodyDiv w:val="1"/>
      <w:marLeft w:val="0"/>
      <w:marRight w:val="0"/>
      <w:marTop w:val="0"/>
      <w:marBottom w:val="0"/>
      <w:divBdr>
        <w:top w:val="none" w:sz="0" w:space="0" w:color="auto"/>
        <w:left w:val="none" w:sz="0" w:space="0" w:color="auto"/>
        <w:bottom w:val="none" w:sz="0" w:space="0" w:color="auto"/>
        <w:right w:val="none" w:sz="0" w:space="0" w:color="auto"/>
      </w:divBdr>
      <w:divsChild>
        <w:div w:id="1843546817">
          <w:marLeft w:val="418"/>
          <w:marRight w:val="0"/>
          <w:marTop w:val="0"/>
          <w:marBottom w:val="60"/>
          <w:divBdr>
            <w:top w:val="none" w:sz="0" w:space="0" w:color="auto"/>
            <w:left w:val="none" w:sz="0" w:space="0" w:color="auto"/>
            <w:bottom w:val="none" w:sz="0" w:space="0" w:color="auto"/>
            <w:right w:val="none" w:sz="0" w:space="0" w:color="auto"/>
          </w:divBdr>
        </w:div>
        <w:div w:id="27878600">
          <w:marLeft w:val="1138"/>
          <w:marRight w:val="0"/>
          <w:marTop w:val="0"/>
          <w:marBottom w:val="60"/>
          <w:divBdr>
            <w:top w:val="none" w:sz="0" w:space="0" w:color="auto"/>
            <w:left w:val="none" w:sz="0" w:space="0" w:color="auto"/>
            <w:bottom w:val="none" w:sz="0" w:space="0" w:color="auto"/>
            <w:right w:val="none" w:sz="0" w:space="0" w:color="auto"/>
          </w:divBdr>
        </w:div>
        <w:div w:id="138810628">
          <w:marLeft w:val="1858"/>
          <w:marRight w:val="0"/>
          <w:marTop w:val="0"/>
          <w:marBottom w:val="60"/>
          <w:divBdr>
            <w:top w:val="none" w:sz="0" w:space="0" w:color="auto"/>
            <w:left w:val="none" w:sz="0" w:space="0" w:color="auto"/>
            <w:bottom w:val="none" w:sz="0" w:space="0" w:color="auto"/>
            <w:right w:val="none" w:sz="0" w:space="0" w:color="auto"/>
          </w:divBdr>
        </w:div>
        <w:div w:id="1027173339">
          <w:marLeft w:val="1138"/>
          <w:marRight w:val="0"/>
          <w:marTop w:val="0"/>
          <w:marBottom w:val="60"/>
          <w:divBdr>
            <w:top w:val="none" w:sz="0" w:space="0" w:color="auto"/>
            <w:left w:val="none" w:sz="0" w:space="0" w:color="auto"/>
            <w:bottom w:val="none" w:sz="0" w:space="0" w:color="auto"/>
            <w:right w:val="none" w:sz="0" w:space="0" w:color="auto"/>
          </w:divBdr>
        </w:div>
        <w:div w:id="1461995474">
          <w:marLeft w:val="418"/>
          <w:marRight w:val="0"/>
          <w:marTop w:val="0"/>
          <w:marBottom w:val="60"/>
          <w:divBdr>
            <w:top w:val="none" w:sz="0" w:space="0" w:color="auto"/>
            <w:left w:val="none" w:sz="0" w:space="0" w:color="auto"/>
            <w:bottom w:val="none" w:sz="0" w:space="0" w:color="auto"/>
            <w:right w:val="none" w:sz="0" w:space="0" w:color="auto"/>
          </w:divBdr>
        </w:div>
        <w:div w:id="275065505">
          <w:marLeft w:val="418"/>
          <w:marRight w:val="0"/>
          <w:marTop w:val="0"/>
          <w:marBottom w:val="60"/>
          <w:divBdr>
            <w:top w:val="none" w:sz="0" w:space="0" w:color="auto"/>
            <w:left w:val="none" w:sz="0" w:space="0" w:color="auto"/>
            <w:bottom w:val="none" w:sz="0" w:space="0" w:color="auto"/>
            <w:right w:val="none" w:sz="0" w:space="0" w:color="auto"/>
          </w:divBdr>
        </w:div>
        <w:div w:id="332491185">
          <w:marLeft w:val="418"/>
          <w:marRight w:val="0"/>
          <w:marTop w:val="0"/>
          <w:marBottom w:val="60"/>
          <w:divBdr>
            <w:top w:val="none" w:sz="0" w:space="0" w:color="auto"/>
            <w:left w:val="none" w:sz="0" w:space="0" w:color="auto"/>
            <w:bottom w:val="none" w:sz="0" w:space="0" w:color="auto"/>
            <w:right w:val="none" w:sz="0" w:space="0" w:color="auto"/>
          </w:divBdr>
        </w:div>
        <w:div w:id="1406875611">
          <w:marLeft w:val="418"/>
          <w:marRight w:val="0"/>
          <w:marTop w:val="0"/>
          <w:marBottom w:val="60"/>
          <w:divBdr>
            <w:top w:val="none" w:sz="0" w:space="0" w:color="auto"/>
            <w:left w:val="none" w:sz="0" w:space="0" w:color="auto"/>
            <w:bottom w:val="none" w:sz="0" w:space="0" w:color="auto"/>
            <w:right w:val="none" w:sz="0" w:space="0" w:color="auto"/>
          </w:divBdr>
        </w:div>
      </w:divsChild>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40012301">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21098234">
      <w:bodyDiv w:val="1"/>
      <w:marLeft w:val="0"/>
      <w:marRight w:val="0"/>
      <w:marTop w:val="0"/>
      <w:marBottom w:val="0"/>
      <w:divBdr>
        <w:top w:val="none" w:sz="0" w:space="0" w:color="auto"/>
        <w:left w:val="none" w:sz="0" w:space="0" w:color="auto"/>
        <w:bottom w:val="none" w:sz="0" w:space="0" w:color="auto"/>
        <w:right w:val="none" w:sz="0" w:space="0" w:color="auto"/>
      </w:divBdr>
      <w:divsChild>
        <w:div w:id="1082873584">
          <w:marLeft w:val="274"/>
          <w:marRight w:val="0"/>
          <w:marTop w:val="150"/>
          <w:marBottom w:val="60"/>
          <w:divBdr>
            <w:top w:val="none" w:sz="0" w:space="0" w:color="auto"/>
            <w:left w:val="none" w:sz="0" w:space="0" w:color="auto"/>
            <w:bottom w:val="none" w:sz="0" w:space="0" w:color="auto"/>
            <w:right w:val="none" w:sz="0" w:space="0" w:color="auto"/>
          </w:divBdr>
        </w:div>
        <w:div w:id="1737361769">
          <w:marLeft w:val="418"/>
          <w:marRight w:val="0"/>
          <w:marTop w:val="0"/>
          <w:marBottom w:val="60"/>
          <w:divBdr>
            <w:top w:val="none" w:sz="0" w:space="0" w:color="auto"/>
            <w:left w:val="none" w:sz="0" w:space="0" w:color="auto"/>
            <w:bottom w:val="none" w:sz="0" w:space="0" w:color="auto"/>
            <w:right w:val="none" w:sz="0" w:space="0" w:color="auto"/>
          </w:divBdr>
        </w:div>
        <w:div w:id="742601863">
          <w:marLeft w:val="418"/>
          <w:marRight w:val="0"/>
          <w:marTop w:val="0"/>
          <w:marBottom w:val="60"/>
          <w:divBdr>
            <w:top w:val="none" w:sz="0" w:space="0" w:color="auto"/>
            <w:left w:val="none" w:sz="0" w:space="0" w:color="auto"/>
            <w:bottom w:val="none" w:sz="0" w:space="0" w:color="auto"/>
            <w:right w:val="none" w:sz="0" w:space="0" w:color="auto"/>
          </w:divBdr>
        </w:div>
        <w:div w:id="1060635604">
          <w:marLeft w:val="418"/>
          <w:marRight w:val="0"/>
          <w:marTop w:val="0"/>
          <w:marBottom w:val="60"/>
          <w:divBdr>
            <w:top w:val="none" w:sz="0" w:space="0" w:color="auto"/>
            <w:left w:val="none" w:sz="0" w:space="0" w:color="auto"/>
            <w:bottom w:val="none" w:sz="0" w:space="0" w:color="auto"/>
            <w:right w:val="none" w:sz="0" w:space="0" w:color="auto"/>
          </w:divBdr>
        </w:div>
        <w:div w:id="721487359">
          <w:marLeft w:val="418"/>
          <w:marRight w:val="0"/>
          <w:marTop w:val="0"/>
          <w:marBottom w:val="60"/>
          <w:divBdr>
            <w:top w:val="none" w:sz="0" w:space="0" w:color="auto"/>
            <w:left w:val="none" w:sz="0" w:space="0" w:color="auto"/>
            <w:bottom w:val="none" w:sz="0" w:space="0" w:color="auto"/>
            <w:right w:val="none" w:sz="0" w:space="0" w:color="auto"/>
          </w:divBdr>
        </w:div>
        <w:div w:id="1505704337">
          <w:marLeft w:val="418"/>
          <w:marRight w:val="0"/>
          <w:marTop w:val="0"/>
          <w:marBottom w:val="60"/>
          <w:divBdr>
            <w:top w:val="none" w:sz="0" w:space="0" w:color="auto"/>
            <w:left w:val="none" w:sz="0" w:space="0" w:color="auto"/>
            <w:bottom w:val="none" w:sz="0" w:space="0" w:color="auto"/>
            <w:right w:val="none" w:sz="0" w:space="0" w:color="auto"/>
          </w:divBdr>
        </w:div>
      </w:divsChild>
    </w:div>
    <w:div w:id="2140758787">
      <w:bodyDiv w:val="1"/>
      <w:marLeft w:val="0"/>
      <w:marRight w:val="0"/>
      <w:marTop w:val="0"/>
      <w:marBottom w:val="0"/>
      <w:divBdr>
        <w:top w:val="none" w:sz="0" w:space="0" w:color="auto"/>
        <w:left w:val="none" w:sz="0" w:space="0" w:color="auto"/>
        <w:bottom w:val="none" w:sz="0" w:space="0" w:color="auto"/>
        <w:right w:val="none" w:sz="0" w:space="0" w:color="auto"/>
      </w:divBdr>
      <w:divsChild>
        <w:div w:id="2112511286">
          <w:marLeft w:val="418"/>
          <w:marRight w:val="0"/>
          <w:marTop w:val="0"/>
          <w:marBottom w:val="60"/>
          <w:divBdr>
            <w:top w:val="none" w:sz="0" w:space="0" w:color="auto"/>
            <w:left w:val="none" w:sz="0" w:space="0" w:color="auto"/>
            <w:bottom w:val="none" w:sz="0" w:space="0" w:color="auto"/>
            <w:right w:val="none" w:sz="0" w:space="0" w:color="auto"/>
          </w:divBdr>
        </w:div>
        <w:div w:id="1822623238">
          <w:marLeft w:val="1138"/>
          <w:marRight w:val="0"/>
          <w:marTop w:val="0"/>
          <w:marBottom w:val="60"/>
          <w:divBdr>
            <w:top w:val="none" w:sz="0" w:space="0" w:color="auto"/>
            <w:left w:val="none" w:sz="0" w:space="0" w:color="auto"/>
            <w:bottom w:val="none" w:sz="0" w:space="0" w:color="auto"/>
            <w:right w:val="none" w:sz="0" w:space="0" w:color="auto"/>
          </w:divBdr>
        </w:div>
        <w:div w:id="33506104">
          <w:marLeft w:val="1858"/>
          <w:marRight w:val="0"/>
          <w:marTop w:val="0"/>
          <w:marBottom w:val="60"/>
          <w:divBdr>
            <w:top w:val="none" w:sz="0" w:space="0" w:color="auto"/>
            <w:left w:val="none" w:sz="0" w:space="0" w:color="auto"/>
            <w:bottom w:val="none" w:sz="0" w:space="0" w:color="auto"/>
            <w:right w:val="none" w:sz="0" w:space="0" w:color="auto"/>
          </w:divBdr>
        </w:div>
        <w:div w:id="2011133779">
          <w:marLeft w:val="1138"/>
          <w:marRight w:val="0"/>
          <w:marTop w:val="0"/>
          <w:marBottom w:val="60"/>
          <w:divBdr>
            <w:top w:val="none" w:sz="0" w:space="0" w:color="auto"/>
            <w:left w:val="none" w:sz="0" w:space="0" w:color="auto"/>
            <w:bottom w:val="none" w:sz="0" w:space="0" w:color="auto"/>
            <w:right w:val="none" w:sz="0" w:space="0" w:color="auto"/>
          </w:divBdr>
        </w:div>
        <w:div w:id="1349218486">
          <w:marLeft w:val="418"/>
          <w:marRight w:val="0"/>
          <w:marTop w:val="0"/>
          <w:marBottom w:val="60"/>
          <w:divBdr>
            <w:top w:val="none" w:sz="0" w:space="0" w:color="auto"/>
            <w:left w:val="none" w:sz="0" w:space="0" w:color="auto"/>
            <w:bottom w:val="none" w:sz="0" w:space="0" w:color="auto"/>
            <w:right w:val="none" w:sz="0" w:space="0" w:color="auto"/>
          </w:divBdr>
        </w:div>
        <w:div w:id="1071544787">
          <w:marLeft w:val="418"/>
          <w:marRight w:val="0"/>
          <w:marTop w:val="0"/>
          <w:marBottom w:val="60"/>
          <w:divBdr>
            <w:top w:val="none" w:sz="0" w:space="0" w:color="auto"/>
            <w:left w:val="none" w:sz="0" w:space="0" w:color="auto"/>
            <w:bottom w:val="none" w:sz="0" w:space="0" w:color="auto"/>
            <w:right w:val="none" w:sz="0" w:space="0" w:color="auto"/>
          </w:divBdr>
        </w:div>
        <w:div w:id="711460269">
          <w:marLeft w:val="418"/>
          <w:marRight w:val="0"/>
          <w:marTop w:val="0"/>
          <w:marBottom w:val="60"/>
          <w:divBdr>
            <w:top w:val="none" w:sz="0" w:space="0" w:color="auto"/>
            <w:left w:val="none" w:sz="0" w:space="0" w:color="auto"/>
            <w:bottom w:val="none" w:sz="0" w:space="0" w:color="auto"/>
            <w:right w:val="none" w:sz="0" w:space="0" w:color="auto"/>
          </w:divBdr>
        </w:div>
        <w:div w:id="1600336836">
          <w:marLeft w:val="418"/>
          <w:marRight w:val="0"/>
          <w:marTop w:val="0"/>
          <w:marBottom w:val="60"/>
          <w:divBdr>
            <w:top w:val="none" w:sz="0" w:space="0" w:color="auto"/>
            <w:left w:val="none" w:sz="0" w:space="0" w:color="auto"/>
            <w:bottom w:val="none" w:sz="0" w:space="0" w:color="auto"/>
            <w:right w:val="none" w:sz="0" w:space="0" w:color="auto"/>
          </w:divBdr>
        </w:div>
      </w:divsChild>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A66399B0-11F6-450E-B968-309092C3D2D5}">
  <ds:schemaRefs>
    <ds:schemaRef ds:uri="http://schemas.microsoft.com/sharepoint/v3/contenttype/forms"/>
  </ds:schemaRefs>
</ds:datastoreItem>
</file>

<file path=customXml/itemProps2.xml><?xml version="1.0" encoding="utf-8"?>
<ds:datastoreItem xmlns:ds="http://schemas.openxmlformats.org/officeDocument/2006/customXml" ds:itemID="{474CFC33-0FD9-4830-950A-8F215BF50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40946-815B-4E50-AD32-291B824936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F1B0B0-9F66-461C-B72B-6F1D1157C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4254</Words>
  <Characters>24254</Characters>
  <Application>Microsoft Office Word</Application>
  <DocSecurity>0</DocSecurity>
  <Lines>202</Lines>
  <Paragraphs>56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Huawei Technologies Co.,Ltd.</Company>
  <LinksUpToDate>false</LinksUpToDate>
  <CharactersWithSpaces>28452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El jaafari Mohamed</cp:lastModifiedBy>
  <cp:revision>118</cp:revision>
  <cp:lastPrinted>2015-07-25T09:06:00Z</cp:lastPrinted>
  <dcterms:created xsi:type="dcterms:W3CDTF">2021-10-20T03:06:00Z</dcterms:created>
  <dcterms:modified xsi:type="dcterms:W3CDTF">2021-11-19T19:55:00Z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(3)WuK8JOl3zQz1z8r1GAkj0oFw3h8S2tihypvDSWRHdmrQfadSPKU1L8CncXOGxRH6Pw/wV6v4
3Za/2oAbR1PSTTMO+X0sTs2moH8zLT9LEyDtz7oTFSD1k4DBZTpI6bVKFPA5ppidDlep6iYz
+sLpn3ATOpTLm/vRtN10ZsjDCNGGHVca8Kcj1jV0h15mZXkHgQH0Dw7zzsk+vnsgVYFZhAJM
fCXyGpF+K7p+arpjt0</vt:lpwstr>
  </property>
  <property fmtid="{D5CDD505-2E9C-101B-9397-08002B2CF9AE}" pid="27" name="_2015_ms_pID_7253431">
    <vt:lpwstr>I5QWpJijL9SjnWaQufHx8Nm6vSIX8JTIDYRT9cTXrGSoMRsvKmm3i2
yyqCYaoHwFZNE/iozA77nV9f5GjczkK0aDEWXpg789hIrU7rAKfgIb3GgXQDpZ4oTg/5gMth
X6FdSMuTnGfEWh/613qRGIFgX5FYgc2Wc8Lthau1bo7GWQc59Psg+TSfq+aKfMsL6J0u7Xo6
+cTFvn1HJRolr4e+TNP93Z7McY/RcVsJF3A3</vt:lpwstr>
  </property>
  <property fmtid="{D5CDD505-2E9C-101B-9397-08002B2CF9AE}" pid="28" name="_2015_ms_pID_7253432">
    <vt:lpwstr>newehe0AQSgOMEfBGA9rbxo78q3tSoxRmViX
MawDMlleD+U2h6xBbYdg4SwrRuKwYNfQA2XX3L979sUz11e/UnM=</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0x010100EB28163D68FE8E4D9361964FDD814FC4</vt:lpwstr>
  </property>
</Properties>
</file>