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E1A6" w14:textId="69CC940F"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w:t>
      </w:r>
      <w:r w:rsidR="000276DF">
        <w:rPr>
          <w:rFonts w:ascii="Arial" w:hAnsi="Arial" w:cs="Arial"/>
          <w:b/>
          <w:sz w:val="24"/>
        </w:rPr>
        <w:t>7</w:t>
      </w:r>
      <w:r>
        <w:rPr>
          <w:rFonts w:ascii="Arial" w:hAnsi="Arial" w:cs="Arial"/>
          <w:b/>
          <w:sz w:val="24"/>
        </w:rPr>
        <w:t>-e</w:t>
      </w:r>
      <w:r w:rsidRPr="00DA12F7">
        <w:rPr>
          <w:rFonts w:ascii="Arial" w:hAnsi="Arial" w:cs="Arial"/>
          <w:b/>
          <w:sz w:val="24"/>
        </w:rPr>
        <w:tab/>
      </w:r>
      <w:r w:rsidR="00D52FAC" w:rsidRPr="00D52FAC">
        <w:rPr>
          <w:rFonts w:ascii="Arial" w:hAnsi="Arial" w:cs="Arial"/>
          <w:b/>
          <w:sz w:val="24"/>
        </w:rPr>
        <w:t>R1-21</w:t>
      </w:r>
      <w:r w:rsidR="00293D29">
        <w:rPr>
          <w:rFonts w:ascii="Arial" w:hAnsi="Arial" w:cs="Arial"/>
          <w:b/>
          <w:sz w:val="24"/>
        </w:rPr>
        <w:t>11952</w:t>
      </w:r>
    </w:p>
    <w:p w14:paraId="1131045E" w14:textId="7BA2049E"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 xml:space="preserve">e-Meeting, </w:t>
      </w:r>
      <w:r w:rsidR="00293D29">
        <w:rPr>
          <w:rFonts w:ascii="Arial" w:hAnsi="Arial" w:cs="Arial"/>
          <w:b/>
          <w:sz w:val="24"/>
          <w:szCs w:val="24"/>
        </w:rPr>
        <w:t>November</w:t>
      </w:r>
      <w:r>
        <w:rPr>
          <w:rFonts w:ascii="Arial" w:hAnsi="Arial" w:cs="Arial"/>
          <w:b/>
          <w:sz w:val="24"/>
          <w:szCs w:val="24"/>
        </w:rPr>
        <w:t xml:space="preserve"> </w:t>
      </w:r>
      <w:r w:rsidR="00713665">
        <w:rPr>
          <w:rFonts w:ascii="Arial" w:hAnsi="Arial" w:cs="Arial"/>
          <w:b/>
          <w:sz w:val="24"/>
          <w:szCs w:val="24"/>
        </w:rPr>
        <w:t>1</w:t>
      </w:r>
      <w:r w:rsidR="00AA5A48">
        <w:rPr>
          <w:rFonts w:ascii="Arial" w:hAnsi="Arial" w:cs="Arial"/>
          <w:b/>
          <w:sz w:val="24"/>
          <w:szCs w:val="24"/>
        </w:rPr>
        <w:t>1</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w:t>
      </w:r>
      <w:r w:rsidR="00AA5A48">
        <w:rPr>
          <w:rFonts w:ascii="Arial" w:hAnsi="Arial" w:cs="Arial"/>
          <w:b/>
          <w:sz w:val="24"/>
          <w:szCs w:val="24"/>
        </w:rPr>
        <w:t>19</w:t>
      </w:r>
      <w:r>
        <w:rPr>
          <w:rFonts w:ascii="Arial" w:hAnsi="Arial" w:cs="Arial"/>
          <w:b/>
          <w:sz w:val="24"/>
          <w:szCs w:val="24"/>
          <w:vertAlign w:val="superscript"/>
        </w:rPr>
        <w:t>th</w:t>
      </w:r>
      <w:r>
        <w:rPr>
          <w:rFonts w:ascii="Arial" w:hAnsi="Arial" w:cs="Arial"/>
          <w:b/>
          <w:sz w:val="24"/>
          <w:szCs w:val="24"/>
        </w:rPr>
        <w:t xml:space="preserve"> 2021</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2B43573C" w14:textId="3C945663" w:rsidR="00164961" w:rsidRDefault="00384735" w:rsidP="00FF498A">
      <w:r w:rsidRPr="00DD2221">
        <w:t xml:space="preserve">In </w:t>
      </w:r>
      <w:r w:rsidR="00155593" w:rsidRPr="00DD2221">
        <w:t>this paper,</w:t>
      </w:r>
      <w:r w:rsidRPr="00DD2221">
        <w:t xml:space="preserve"> we provide our views on specification of </w:t>
      </w:r>
      <w:r w:rsidR="00286426" w:rsidRPr="00DD2221">
        <w:t xml:space="preserve">resource multiplexing enhancements </w:t>
      </w:r>
      <w:r w:rsidR="00DD2221" w:rsidRPr="00DD2221">
        <w:t xml:space="preserve">for simultaneous IAB-MT/IAB-DU operations </w:t>
      </w:r>
      <w:r w:rsidR="00286426" w:rsidRPr="00DD2221">
        <w:t>in eIAB systems</w:t>
      </w:r>
      <w:r w:rsidR="00155593" w:rsidRPr="00DD2221">
        <w:t>.</w:t>
      </w:r>
      <w:r w:rsidR="00FF498A" w:rsidRPr="00FF498A">
        <w:t xml:space="preserve"> </w:t>
      </w:r>
      <w:r w:rsidR="00FF498A">
        <w:t>Then, in a companion paper</w:t>
      </w:r>
      <w:r w:rsidR="00813B25">
        <w:t xml:space="preserve"> </w:t>
      </w:r>
      <w:r w:rsidR="00813B25">
        <w:fldChar w:fldCharType="begin"/>
      </w:r>
      <w:r w:rsidR="00813B25">
        <w:instrText xml:space="preserve"> REF _Ref54187073 \r \h </w:instrText>
      </w:r>
      <w:r w:rsidR="00813B25">
        <w:fldChar w:fldCharType="separate"/>
      </w:r>
      <w:r w:rsidR="009F4637">
        <w:rPr>
          <w:cs/>
        </w:rPr>
        <w:t>‎</w:t>
      </w:r>
      <w:r w:rsidR="009F4637">
        <w:t>[1]</w:t>
      </w:r>
      <w:r w:rsidR="00813B25">
        <w:fldChar w:fldCharType="end"/>
      </w:r>
      <w:r w:rsidR="00FF498A">
        <w:t>, we provide our views on specification of timing modes</w:t>
      </w:r>
      <w:r w:rsidR="00293D29">
        <w:t xml:space="preserve"> and</w:t>
      </w:r>
      <w:r w:rsidR="00FF498A">
        <w:t xml:space="preserve"> power control related to the enhancements.</w:t>
      </w:r>
    </w:p>
    <w:p w14:paraId="0AB8F4C6" w14:textId="5AD18CF2" w:rsidR="00B1741F" w:rsidRDefault="00B1741F" w:rsidP="003D3577">
      <w:pPr>
        <w:pStyle w:val="Heading1"/>
      </w:pPr>
      <w:bookmarkStart w:id="2" w:name="_Ref30491904"/>
      <w:bookmarkStart w:id="3" w:name="_Ref30492156"/>
      <w:bookmarkStart w:id="4" w:name="_Ref30491838"/>
      <w:r>
        <w:t>Discussion</w:t>
      </w:r>
    </w:p>
    <w:p w14:paraId="65F946C3" w14:textId="1E72E98E" w:rsidR="007842F0" w:rsidRPr="007842F0" w:rsidRDefault="00064E31" w:rsidP="007842F0">
      <w:pPr>
        <w:pStyle w:val="Heading2"/>
      </w:pPr>
      <w:r>
        <w:t>Frequency domain</w:t>
      </w:r>
    </w:p>
    <w:p w14:paraId="1C9AE41B" w14:textId="0673F714" w:rsidR="000B7B66" w:rsidRPr="00D54BE3" w:rsidRDefault="00D41E9F" w:rsidP="000B7B66">
      <w:pPr>
        <w:rPr>
          <w:lang w:val="en-GB"/>
        </w:rPr>
      </w:pPr>
      <w:r w:rsidRPr="00D54BE3">
        <w:rPr>
          <w:lang w:val="en-GB"/>
        </w:rPr>
        <w:t>It was agreed in the previous meeting</w:t>
      </w:r>
      <w:r w:rsidR="006E72D1" w:rsidRPr="00D54BE3">
        <w:rPr>
          <w:lang w:val="en-GB"/>
        </w:rPr>
        <w:t>s</w:t>
      </w:r>
      <w:r w:rsidRPr="00D54BE3">
        <w:rPr>
          <w:lang w:val="en-GB"/>
        </w:rPr>
        <w:t xml:space="preserve"> to provide separate H/S/NA configurations for the frequency domain. This choice improves backward compatibility.</w:t>
      </w:r>
    </w:p>
    <w:p w14:paraId="475A4820" w14:textId="172757FD" w:rsidR="00643168" w:rsidRDefault="000B7B66" w:rsidP="000B7B66">
      <w:pPr>
        <w:rPr>
          <w:lang w:val="en-GB"/>
        </w:rPr>
      </w:pPr>
      <w:r>
        <w:rPr>
          <w:lang w:val="en-GB"/>
        </w:rPr>
        <w:t>H</w:t>
      </w:r>
      <w:r w:rsidR="00643168">
        <w:rPr>
          <w:lang w:val="en-GB"/>
        </w:rPr>
        <w:t xml:space="preserve">owever, </w:t>
      </w:r>
      <w:r>
        <w:rPr>
          <w:lang w:val="en-GB"/>
        </w:rPr>
        <w:t xml:space="preserve">the agreement </w:t>
      </w:r>
      <w:r w:rsidR="00D54BE3">
        <w:rPr>
          <w:lang w:val="en-GB"/>
        </w:rPr>
        <w:t xml:space="preserve">has </w:t>
      </w:r>
      <w:r w:rsidR="00643168">
        <w:rPr>
          <w:lang w:val="en-GB"/>
        </w:rPr>
        <w:t>led to a</w:t>
      </w:r>
      <w:r>
        <w:rPr>
          <w:lang w:val="en-GB"/>
        </w:rPr>
        <w:t xml:space="preserve"> </w:t>
      </w:r>
      <w:r w:rsidR="00643168">
        <w:rPr>
          <w:lang w:val="en-GB"/>
        </w:rPr>
        <w:t xml:space="preserve">discussion on whether and how to </w:t>
      </w:r>
      <w:r w:rsidR="00643168" w:rsidRPr="00643168">
        <w:rPr>
          <w:i/>
          <w:iCs/>
          <w:lang w:val="en-GB"/>
        </w:rPr>
        <w:t>apply</w:t>
      </w:r>
      <w:r w:rsidR="00643168">
        <w:rPr>
          <w:lang w:val="en-GB"/>
        </w:rPr>
        <w:t xml:space="preserve"> H/S/NA </w:t>
      </w:r>
      <w:r w:rsidR="00C5027B" w:rsidRPr="00D41E9F">
        <w:rPr>
          <w:lang w:val="en-GB"/>
        </w:rPr>
        <w:t>attributes of resources in the time-frequency grid</w:t>
      </w:r>
      <w:r w:rsidR="00D41E9F">
        <w:rPr>
          <w:lang w:val="en-GB"/>
        </w:rPr>
        <w:t>.</w:t>
      </w:r>
      <w:r w:rsidR="00643168">
        <w:rPr>
          <w:lang w:val="en-GB"/>
        </w:rPr>
        <w:t xml:space="preserve"> Some companies expressed preference for avoiding overlapping configurations such that there is no ambiguity on what H/S/NA attributes (Rel-16/time or Rel-17/frequency) are used for resource management and availability indication (DCI 2-5) </w:t>
      </w:r>
      <w:r w:rsidR="00DC5638">
        <w:rPr>
          <w:lang w:val="en-GB"/>
        </w:rPr>
        <w:t>signalling</w:t>
      </w:r>
      <w:r w:rsidR="00643168">
        <w:rPr>
          <w:lang w:val="en-GB"/>
        </w:rPr>
        <w:t xml:space="preserve">. Some other companies prefer to avoid such restriction on configuration, but </w:t>
      </w:r>
      <w:r w:rsidR="00DC5638">
        <w:rPr>
          <w:lang w:val="en-GB"/>
        </w:rPr>
        <w:t xml:space="preserve">they </w:t>
      </w:r>
      <w:r w:rsidR="00643168">
        <w:rPr>
          <w:lang w:val="en-GB"/>
        </w:rPr>
        <w:t xml:space="preserve">suggest </w:t>
      </w:r>
      <w:r w:rsidR="006038AE">
        <w:rPr>
          <w:lang w:val="en-GB"/>
        </w:rPr>
        <w:t>using</w:t>
      </w:r>
      <w:r w:rsidR="00643168">
        <w:rPr>
          <w:lang w:val="en-GB"/>
        </w:rPr>
        <w:t xml:space="preserve"> one set of the H/S/NA attributes at a time, i.e., either Rel-16/time or Rel-17/frequency attributes.</w:t>
      </w:r>
    </w:p>
    <w:p w14:paraId="74D4CD74" w14:textId="4BF942BA" w:rsidR="00F600D0" w:rsidRDefault="00F600D0" w:rsidP="00643168">
      <w:pPr>
        <w:rPr>
          <w:lang w:val="en-GB"/>
        </w:rPr>
      </w:pPr>
      <w:r>
        <w:rPr>
          <w:lang w:val="en-GB"/>
        </w:rPr>
        <w:t xml:space="preserve">The discussions did not conclude with an agreement, and instead, they led to the following working assumption </w:t>
      </w:r>
      <w:r>
        <w:rPr>
          <w:lang w:val="en-GB"/>
        </w:rPr>
        <w:fldChar w:fldCharType="begin"/>
      </w:r>
      <w:r>
        <w:rPr>
          <w:lang w:val="en-GB"/>
        </w:rPr>
        <w:instrText xml:space="preserve"> REF _Ref87005492 \r \h </w:instrText>
      </w:r>
      <w:r>
        <w:rPr>
          <w:lang w:val="en-GB"/>
        </w:rPr>
      </w:r>
      <w:r>
        <w:rPr>
          <w:lang w:val="en-GB"/>
        </w:rPr>
        <w:fldChar w:fldCharType="separate"/>
      </w:r>
      <w:r w:rsidR="009F4637">
        <w:rPr>
          <w:cs/>
          <w:lang w:val="en-GB"/>
        </w:rPr>
        <w:t>‎</w:t>
      </w:r>
      <w:r w:rsidR="009F4637">
        <w:rPr>
          <w:lang w:val="en-GB"/>
        </w:rPr>
        <w:t>[4]</w:t>
      </w:r>
      <w:r>
        <w:rPr>
          <w:lang w:val="en-GB"/>
        </w:rPr>
        <w:fldChar w:fldCharType="end"/>
      </w:r>
      <w:r>
        <w:rPr>
          <w:lang w:val="en-GB"/>
        </w:rPr>
        <w:t>:</w:t>
      </w:r>
    </w:p>
    <w:p w14:paraId="4763AF5A" w14:textId="77777777" w:rsidR="00F600D0" w:rsidRPr="009A2601" w:rsidRDefault="00F600D0" w:rsidP="00F600D0">
      <w:pPr>
        <w:rPr>
          <w:rFonts w:asciiTheme="majorBidi" w:hAnsiTheme="majorBidi" w:cstheme="majorBidi"/>
          <w:szCs w:val="20"/>
          <w:highlight w:val="darkYellow"/>
        </w:rPr>
      </w:pPr>
      <w:r w:rsidRPr="009A2601">
        <w:rPr>
          <w:rFonts w:asciiTheme="majorBidi" w:hAnsiTheme="majorBidi" w:cstheme="majorBidi"/>
          <w:szCs w:val="20"/>
          <w:highlight w:val="darkYellow"/>
        </w:rPr>
        <w:t>Working Assumption</w:t>
      </w:r>
    </w:p>
    <w:p w14:paraId="564AECAE" w14:textId="77777777" w:rsidR="00F600D0" w:rsidRPr="009A2601" w:rsidRDefault="00F600D0" w:rsidP="00F600D0">
      <w:pPr>
        <w:rPr>
          <w:rFonts w:asciiTheme="majorBidi" w:hAnsiTheme="majorBidi" w:cstheme="majorBidi"/>
          <w:szCs w:val="20"/>
        </w:rPr>
      </w:pPr>
      <w:r w:rsidRPr="009A2601">
        <w:rPr>
          <w:rFonts w:asciiTheme="majorBidi" w:hAnsiTheme="majorBidi" w:cstheme="majorBidi"/>
          <w:szCs w:val="20"/>
        </w:rPr>
        <w:t>If both the Rel-16 time domain H/S/NA configuration and Rel-17 frequency domain H/S/NA configuration are provided for a given RB set within a slot, one of the following is selected:</w:t>
      </w:r>
    </w:p>
    <w:p w14:paraId="1366B903" w14:textId="77777777" w:rsidR="00F600D0" w:rsidRPr="009A2601" w:rsidRDefault="00F600D0" w:rsidP="00F600D0">
      <w:pPr>
        <w:pStyle w:val="ListParagraph"/>
        <w:numPr>
          <w:ilvl w:val="0"/>
          <w:numId w:val="37"/>
        </w:numPr>
        <w:overflowPunct w:val="0"/>
        <w:autoSpaceDE w:val="0"/>
        <w:autoSpaceDN w:val="0"/>
        <w:adjustRightInd w:val="0"/>
        <w:spacing w:before="0" w:after="180" w:line="240" w:lineRule="auto"/>
        <w:textAlignment w:val="baseline"/>
        <w:rPr>
          <w:rFonts w:asciiTheme="majorBidi" w:hAnsiTheme="majorBidi" w:cstheme="majorBidi"/>
          <w:i/>
        </w:rPr>
      </w:pPr>
      <w:r w:rsidRPr="009A2601">
        <w:rPr>
          <w:rFonts w:asciiTheme="majorBidi" w:eastAsia="Calibri" w:hAnsiTheme="majorBidi" w:cstheme="majorBidi"/>
        </w:rPr>
        <w:t xml:space="preserve">Alt. 1: An IAB node applies the frequency domain H/S/NA only if the IAB node is currently operating in a non-TDM multiplexing mode </w:t>
      </w:r>
      <w:r w:rsidRPr="009A2601">
        <w:rPr>
          <w:rFonts w:asciiTheme="majorBidi" w:eastAsia="Calibri" w:hAnsiTheme="majorBidi" w:cstheme="majorBidi"/>
          <w:color w:val="000000"/>
        </w:rPr>
        <w:t>in the slot</w:t>
      </w:r>
      <w:r w:rsidRPr="009A2601">
        <w:rPr>
          <w:rFonts w:asciiTheme="majorBidi" w:eastAsia="Calibri" w:hAnsiTheme="majorBidi" w:cstheme="majorBidi"/>
        </w:rPr>
        <w:t>, otherwise the Rel-16 time domain H/S/NA configuration is applied.</w:t>
      </w:r>
    </w:p>
    <w:p w14:paraId="7D6D043A" w14:textId="77777777" w:rsidR="00273165" w:rsidRDefault="00273165" w:rsidP="00AE40F7">
      <w:pPr>
        <w:rPr>
          <w:rFonts w:asciiTheme="majorBidi" w:hAnsiTheme="majorBidi" w:cstheme="majorBidi"/>
          <w:bCs/>
          <w:szCs w:val="20"/>
          <w:lang w:eastAsia="x-none"/>
        </w:rPr>
      </w:pPr>
    </w:p>
    <w:p w14:paraId="19254F6E" w14:textId="779DD7CE" w:rsidR="00AE40F7" w:rsidRPr="00AE40F7" w:rsidRDefault="00AE40F7" w:rsidP="00AE40F7">
      <w:pPr>
        <w:rPr>
          <w:rFonts w:asciiTheme="majorBidi" w:hAnsiTheme="majorBidi" w:cstheme="majorBidi"/>
          <w:bCs/>
          <w:szCs w:val="20"/>
          <w:lang w:eastAsia="x-none"/>
        </w:rPr>
      </w:pPr>
      <w:r w:rsidRPr="00AE40F7">
        <w:rPr>
          <w:rFonts w:asciiTheme="majorBidi" w:hAnsiTheme="majorBidi" w:cstheme="majorBidi"/>
          <w:bCs/>
          <w:szCs w:val="20"/>
          <w:lang w:eastAsia="x-none"/>
        </w:rPr>
        <w:t>For RAN1#107-e, companies to consider the following decision point:</w:t>
      </w:r>
    </w:p>
    <w:p w14:paraId="4764F638" w14:textId="77777777" w:rsidR="00AE40F7" w:rsidRPr="00AE40F7" w:rsidRDefault="00AE40F7" w:rsidP="00AE40F7">
      <w:pPr>
        <w:rPr>
          <w:rFonts w:asciiTheme="majorBidi" w:hAnsiTheme="majorBidi" w:cstheme="majorBidi"/>
          <w:bCs/>
          <w:szCs w:val="20"/>
        </w:rPr>
      </w:pPr>
      <w:r w:rsidRPr="00AE40F7">
        <w:rPr>
          <w:rFonts w:asciiTheme="majorBidi" w:hAnsiTheme="majorBidi" w:cstheme="majorBidi"/>
          <w:bCs/>
          <w:szCs w:val="20"/>
        </w:rPr>
        <w:t>An IAB node (or parent node) cannot operate under a given non-TDM multiplexing mode until:</w:t>
      </w:r>
    </w:p>
    <w:p w14:paraId="0746A939" w14:textId="77777777" w:rsidR="00AE40F7" w:rsidRPr="00AE40F7" w:rsidRDefault="00AE40F7" w:rsidP="00AE40F7">
      <w:pPr>
        <w:pStyle w:val="ListParagraph"/>
        <w:numPr>
          <w:ilvl w:val="0"/>
          <w:numId w:val="37"/>
        </w:numPr>
        <w:overflowPunct w:val="0"/>
        <w:autoSpaceDE w:val="0"/>
        <w:autoSpaceDN w:val="0"/>
        <w:adjustRightInd w:val="0"/>
        <w:spacing w:before="0" w:after="180" w:line="240" w:lineRule="auto"/>
        <w:textAlignment w:val="baseline"/>
        <w:rPr>
          <w:rFonts w:asciiTheme="majorBidi" w:hAnsiTheme="majorBidi" w:cstheme="majorBidi"/>
          <w:bCs/>
        </w:rPr>
      </w:pPr>
      <w:r w:rsidRPr="00AE40F7">
        <w:rPr>
          <w:rFonts w:asciiTheme="majorBidi" w:hAnsiTheme="majorBidi" w:cstheme="majorBidi"/>
          <w:bCs/>
        </w:rPr>
        <w:t>Alt. 1: All required conditions and parameters which have been directly indicated/requested to the parent node (e.g. via MAC-CE) are explicitly acknowledged by the parent node.</w:t>
      </w:r>
    </w:p>
    <w:p w14:paraId="3CD6B23E" w14:textId="77777777" w:rsidR="00AE40F7" w:rsidRPr="00AE40F7" w:rsidRDefault="00AE40F7" w:rsidP="00AE40F7">
      <w:pPr>
        <w:pStyle w:val="ListParagraph"/>
        <w:numPr>
          <w:ilvl w:val="0"/>
          <w:numId w:val="37"/>
        </w:numPr>
        <w:overflowPunct w:val="0"/>
        <w:autoSpaceDE w:val="0"/>
        <w:autoSpaceDN w:val="0"/>
        <w:adjustRightInd w:val="0"/>
        <w:spacing w:before="0" w:after="180" w:line="240" w:lineRule="auto"/>
        <w:textAlignment w:val="baseline"/>
        <w:rPr>
          <w:rFonts w:asciiTheme="majorBidi" w:hAnsiTheme="majorBidi" w:cstheme="majorBidi"/>
          <w:bCs/>
        </w:rPr>
      </w:pPr>
      <w:r w:rsidRPr="00AE40F7">
        <w:rPr>
          <w:rFonts w:asciiTheme="majorBidi" w:hAnsiTheme="majorBidi" w:cstheme="majorBidi"/>
          <w:bCs/>
        </w:rPr>
        <w:t>Alt. 2: All required conditions and parameters which have been directly indicated/requested to the parent node (e.g. via MAC-CE) are implicitly acknowledged by the parent node or implicitly determined at the child node</w:t>
      </w:r>
    </w:p>
    <w:p w14:paraId="702A7C40" w14:textId="6E9576A5" w:rsidR="00FB2A50" w:rsidRDefault="000B7B66" w:rsidP="00643168">
      <w:r>
        <w:t>This working assumption</w:t>
      </w:r>
      <w:r w:rsidR="00FB2A50">
        <w:t xml:space="preserve"> suffers from a major issue: non-TDM is </w:t>
      </w:r>
      <w:r>
        <w:t xml:space="preserve">related to </w:t>
      </w:r>
      <w:r w:rsidR="00FB2A50">
        <w:t>capability signaling</w:t>
      </w:r>
      <w:r w:rsidR="00D54BE3">
        <w:t>; it is</w:t>
      </w:r>
      <w:r w:rsidR="00FB2A50">
        <w:t xml:space="preserve"> not </w:t>
      </w:r>
      <w:r w:rsidR="00D54BE3">
        <w:t xml:space="preserve">defined as </w:t>
      </w:r>
      <w:r w:rsidR="00FB2A50">
        <w:t xml:space="preserve">a mode of operation. </w:t>
      </w:r>
      <w:r w:rsidR="003448FF">
        <w:t xml:space="preserve">The related </w:t>
      </w:r>
      <w:r w:rsidR="00FB2A50">
        <w:t xml:space="preserve">capability signaling was introduced for IAB in Rel-16 such that the IAB-CU </w:t>
      </w:r>
      <w:r w:rsidR="006A3AC9">
        <w:t>use</w:t>
      </w:r>
      <w:r w:rsidR="00FB2A50">
        <w:t xml:space="preserve">s the capability information </w:t>
      </w:r>
      <w:r w:rsidR="003448FF">
        <w:t>for configurations</w:t>
      </w:r>
      <w:r w:rsidR="00FB2A50">
        <w:t xml:space="preserve">. </w:t>
      </w:r>
      <w:r>
        <w:t>In order to confirm the working assumption, RAN1 should first reach an agreement on a definition of non-TDM multiplexing mode.</w:t>
      </w:r>
    </w:p>
    <w:p w14:paraId="672A8596" w14:textId="4B6C59B9" w:rsidR="005F5001" w:rsidRDefault="005F5001" w:rsidP="005F5001">
      <w:pPr>
        <w:pStyle w:val="Observation"/>
      </w:pPr>
      <w:bookmarkStart w:id="5" w:name="_Toc87021755"/>
      <w:bookmarkStart w:id="6" w:name="_Toc87034772"/>
      <w:bookmarkStart w:id="7" w:name="_Toc87034926"/>
      <w:bookmarkStart w:id="8" w:name="_Toc87035706"/>
      <w:bookmarkStart w:id="9" w:name="_Toc87035731"/>
      <w:bookmarkStart w:id="10" w:name="_Toc87036430"/>
      <w:bookmarkStart w:id="11" w:name="_Toc87036773"/>
      <w:bookmarkStart w:id="12" w:name="_Toc87037749"/>
      <w:bookmarkStart w:id="13" w:name="_Toc87037945"/>
      <w:bookmarkStart w:id="14" w:name="_Toc87038098"/>
      <w:bookmarkStart w:id="15" w:name="_Toc87040003"/>
      <w:bookmarkStart w:id="16" w:name="_Toc87040167"/>
      <w:bookmarkStart w:id="17" w:name="_Toc87044996"/>
      <w:r>
        <w:t xml:space="preserve">The working assumption on applying the frequency-domain H/S/NA in RAN1#106-bis-e is </w:t>
      </w:r>
      <w:r w:rsidR="00CC54DF">
        <w:t>incorrect/in</w:t>
      </w:r>
      <w:r w:rsidR="00105328">
        <w:t xml:space="preserve">valid because it refers to “operating in a non-TDM multiplexing mode,” </w:t>
      </w:r>
      <w:r w:rsidR="00CC54DF">
        <w:t xml:space="preserve">the definition of </w:t>
      </w:r>
      <w:r w:rsidR="00105328">
        <w:t xml:space="preserve">which has not been </w:t>
      </w:r>
      <w:r w:rsidR="00C7719A">
        <w:t>agreed</w:t>
      </w:r>
      <w:r w:rsidR="00105328">
        <w:t>.</w:t>
      </w:r>
      <w:bookmarkEnd w:id="5"/>
      <w:bookmarkEnd w:id="6"/>
      <w:bookmarkEnd w:id="7"/>
      <w:bookmarkEnd w:id="8"/>
      <w:bookmarkEnd w:id="9"/>
      <w:bookmarkEnd w:id="10"/>
      <w:bookmarkEnd w:id="11"/>
      <w:bookmarkEnd w:id="12"/>
      <w:bookmarkEnd w:id="13"/>
      <w:bookmarkEnd w:id="14"/>
      <w:bookmarkEnd w:id="15"/>
      <w:bookmarkEnd w:id="16"/>
      <w:bookmarkEnd w:id="17"/>
    </w:p>
    <w:p w14:paraId="3976EF2B" w14:textId="4547A595" w:rsidR="00F600D0" w:rsidRDefault="004B0982" w:rsidP="00643168">
      <w:pPr>
        <w:rPr>
          <w:lang w:val="en-GB"/>
        </w:rPr>
      </w:pPr>
      <w:r>
        <w:rPr>
          <w:lang w:val="en-GB"/>
        </w:rPr>
        <w:lastRenderedPageBreak/>
        <w:t>W</w:t>
      </w:r>
      <w:r w:rsidR="00F600D0">
        <w:rPr>
          <w:lang w:val="en-GB"/>
        </w:rPr>
        <w:t xml:space="preserve">e propose to apply the H/S/NA attributes in time and frequency domains jointly, as this approach </w:t>
      </w:r>
      <w:r w:rsidR="006A3AC9">
        <w:rPr>
          <w:lang w:val="en-GB"/>
        </w:rPr>
        <w:t xml:space="preserve">aims at </w:t>
      </w:r>
      <w:r w:rsidR="00F600D0">
        <w:rPr>
          <w:lang w:val="en-GB"/>
        </w:rPr>
        <w:t>address</w:t>
      </w:r>
      <w:r w:rsidR="006A3AC9">
        <w:rPr>
          <w:lang w:val="en-GB"/>
        </w:rPr>
        <w:t>ing</w:t>
      </w:r>
      <w:r w:rsidR="00F600D0">
        <w:rPr>
          <w:lang w:val="en-GB"/>
        </w:rPr>
        <w:t xml:space="preserve"> the </w:t>
      </w:r>
      <w:r w:rsidR="00E4080B">
        <w:rPr>
          <w:lang w:val="en-GB"/>
        </w:rPr>
        <w:t>multiple</w:t>
      </w:r>
      <w:r>
        <w:rPr>
          <w:lang w:val="en-GB"/>
        </w:rPr>
        <w:t xml:space="preserve"> </w:t>
      </w:r>
      <w:r w:rsidR="00105328">
        <w:rPr>
          <w:lang w:val="en-GB"/>
        </w:rPr>
        <w:t>issues raised on this matter</w:t>
      </w:r>
      <w:r w:rsidR="00F600D0">
        <w:rPr>
          <w:lang w:val="en-GB"/>
        </w:rPr>
        <w:t>.</w:t>
      </w:r>
    </w:p>
    <w:p w14:paraId="4BAED1CD" w14:textId="6E6DB915" w:rsidR="00D41E9F" w:rsidRDefault="00FE38F3" w:rsidP="00434364">
      <w:pPr>
        <w:rPr>
          <w:lang w:val="en-GB"/>
        </w:rPr>
      </w:pPr>
      <w:r>
        <w:rPr>
          <w:lang w:val="en-GB"/>
        </w:rPr>
        <w:t xml:space="preserve">One </w:t>
      </w:r>
      <w:r w:rsidR="00453FE0">
        <w:rPr>
          <w:lang w:val="en-GB"/>
        </w:rPr>
        <w:t xml:space="preserve">main benefit for joint </w:t>
      </w:r>
      <w:r w:rsidR="00453FE0" w:rsidRPr="00D04718">
        <w:rPr>
          <w:lang w:val="en-GB"/>
        </w:rPr>
        <w:t>application</w:t>
      </w:r>
      <w:r w:rsidR="00453FE0">
        <w:rPr>
          <w:lang w:val="en-GB"/>
        </w:rPr>
        <w:t xml:space="preserve"> of time- and frequency-domain H/S/NA attributes is flexibility for a TDM fallback mode. If the H/S/NA configurations are applied separately, that will require the IAB-CU to dedicate non-overlapping resources, such as slots</w:t>
      </w:r>
      <w:r w:rsidR="00157A61">
        <w:rPr>
          <w:lang w:val="en-GB"/>
        </w:rPr>
        <w:t>,</w:t>
      </w:r>
      <w:r w:rsidR="00453FE0">
        <w:rPr>
          <w:lang w:val="en-GB"/>
        </w:rPr>
        <w:t xml:space="preserve"> to either TDM or FDM. Then, each slot may be used for </w:t>
      </w:r>
      <w:r w:rsidR="00157A61">
        <w:rPr>
          <w:lang w:val="en-GB"/>
        </w:rPr>
        <w:t xml:space="preserve">only one </w:t>
      </w:r>
      <w:r w:rsidR="00453FE0">
        <w:rPr>
          <w:lang w:val="en-GB"/>
        </w:rPr>
        <w:t xml:space="preserve">of </w:t>
      </w:r>
      <w:r w:rsidR="00391021">
        <w:rPr>
          <w:lang w:val="en-GB"/>
        </w:rPr>
        <w:t>TDM and FDM</w:t>
      </w:r>
      <w:r w:rsidR="00453FE0">
        <w:rPr>
          <w:lang w:val="en-GB"/>
        </w:rPr>
        <w:t xml:space="preserve">. </w:t>
      </w:r>
      <w:r w:rsidR="00157A61">
        <w:rPr>
          <w:lang w:val="en-GB"/>
        </w:rPr>
        <w:t xml:space="preserve">That limits resource management significantly: </w:t>
      </w:r>
      <w:r w:rsidR="00453FE0">
        <w:rPr>
          <w:lang w:val="en-GB"/>
        </w:rPr>
        <w:t xml:space="preserve">if the IAB node is not capable of performing FDM </w:t>
      </w:r>
      <w:r w:rsidR="00157A61">
        <w:rPr>
          <w:lang w:val="en-GB"/>
        </w:rPr>
        <w:t>at a moment</w:t>
      </w:r>
      <w:r w:rsidR="00453FE0">
        <w:rPr>
          <w:lang w:val="en-GB"/>
        </w:rPr>
        <w:t>, it does not have the option of using FDM slots as TDM, which may result in wasting all or a part of the bandwidth on those slots.</w:t>
      </w:r>
      <w:r w:rsidR="00D272FD">
        <w:rPr>
          <w:lang w:val="en-GB"/>
        </w:rPr>
        <w:t xml:space="preserve"> This issue is illustrated in </w:t>
      </w:r>
      <w:r w:rsidR="00D272FD">
        <w:rPr>
          <w:lang w:val="en-GB"/>
        </w:rPr>
        <w:fldChar w:fldCharType="begin"/>
      </w:r>
      <w:r w:rsidR="00D272FD">
        <w:rPr>
          <w:lang w:val="en-GB"/>
        </w:rPr>
        <w:instrText xml:space="preserve"> REF _Ref79137937 \r \h </w:instrText>
      </w:r>
      <w:r w:rsidR="00D272FD">
        <w:rPr>
          <w:lang w:val="en-GB"/>
        </w:rPr>
      </w:r>
      <w:r w:rsidR="00D272FD">
        <w:rPr>
          <w:lang w:val="en-GB"/>
        </w:rPr>
        <w:fldChar w:fldCharType="separate"/>
      </w:r>
      <w:r w:rsidR="009F4637">
        <w:rPr>
          <w:cs/>
          <w:lang w:val="en-GB"/>
        </w:rPr>
        <w:t>‎</w:t>
      </w:r>
      <w:r w:rsidR="009F4637">
        <w:rPr>
          <w:lang w:val="en-GB"/>
        </w:rPr>
        <w:t>Figure 1</w:t>
      </w:r>
      <w:r w:rsidR="00D272FD">
        <w:rPr>
          <w:lang w:val="en-GB"/>
        </w:rPr>
        <w:fldChar w:fldCharType="end"/>
      </w:r>
      <w:r w:rsidR="00D272FD">
        <w:rPr>
          <w:lang w:val="en-GB"/>
        </w:rPr>
        <w:t xml:space="preserve"> (a).</w:t>
      </w:r>
    </w:p>
    <w:p w14:paraId="6EDD7DA5" w14:textId="24004DC4" w:rsidR="00FE38F3" w:rsidRDefault="00E4080B" w:rsidP="00FE38F3">
      <w:pPr>
        <w:pStyle w:val="Observation"/>
      </w:pPr>
      <w:bookmarkStart w:id="18" w:name="_Toc83997372"/>
      <w:bookmarkStart w:id="19" w:name="_Toc84007468"/>
      <w:bookmarkStart w:id="20" w:name="_Toc84018527"/>
      <w:bookmarkStart w:id="21" w:name="_Toc87021756"/>
      <w:bookmarkStart w:id="22" w:name="_Toc87034773"/>
      <w:bookmarkStart w:id="23" w:name="_Toc87034927"/>
      <w:bookmarkStart w:id="24" w:name="_Toc87035707"/>
      <w:bookmarkStart w:id="25" w:name="_Toc87035732"/>
      <w:bookmarkStart w:id="26" w:name="_Toc87036431"/>
      <w:bookmarkStart w:id="27" w:name="_Toc87036774"/>
      <w:bookmarkStart w:id="28" w:name="_Toc87037750"/>
      <w:bookmarkStart w:id="29" w:name="_Toc87037946"/>
      <w:bookmarkStart w:id="30" w:name="_Toc87038099"/>
      <w:bookmarkStart w:id="31" w:name="_Toc87040004"/>
      <w:bookmarkStart w:id="32" w:name="_Toc87040168"/>
      <w:bookmarkStart w:id="33" w:name="_Toc87044997"/>
      <w:r>
        <w:t>Joint application of time-domain (Rel-16) and frequency-domain (Rel-17) H/S/NA attributes facilitates a fallback mode, avoids the complexity of defining a multiplexing mode, and provides higher resource efficiency if the IAB node is not capable of performing FDM</w:t>
      </w:r>
      <w:r w:rsidR="00FE38F3">
        <w:t xml:space="preserve"> at a moment.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1CD65FF" w14:textId="6406B53B" w:rsidR="00FE38F3" w:rsidRDefault="00FE38F3" w:rsidP="00FE38F3">
      <w:pPr>
        <w:rPr>
          <w:lang w:val="en-GB"/>
        </w:rPr>
      </w:pPr>
      <w:r>
        <w:rPr>
          <w:lang w:val="en-GB"/>
        </w:rPr>
        <w:t>Furthermore, separate application is a special case of joint application, e.g., IAB-CU may choose to configure IAB nodes with time- and frequency-domain H/S/NA on same slots for joint application, or alternatively, on separate slots for separate application.</w:t>
      </w:r>
    </w:p>
    <w:p w14:paraId="4F90A466" w14:textId="47235554" w:rsidR="00FE38F3" w:rsidRPr="00233718" w:rsidRDefault="00FE38F3" w:rsidP="00FE38F3">
      <w:pPr>
        <w:pStyle w:val="Observation"/>
      </w:pPr>
      <w:bookmarkStart w:id="34" w:name="_Toc83997373"/>
      <w:bookmarkStart w:id="35" w:name="_Toc84007469"/>
      <w:bookmarkStart w:id="36" w:name="_Toc84018528"/>
      <w:bookmarkStart w:id="37" w:name="_Toc87021757"/>
      <w:bookmarkStart w:id="38" w:name="_Toc87034774"/>
      <w:bookmarkStart w:id="39" w:name="_Toc87034928"/>
      <w:bookmarkStart w:id="40" w:name="_Toc87035708"/>
      <w:bookmarkStart w:id="41" w:name="_Toc87035733"/>
      <w:bookmarkStart w:id="42" w:name="_Toc87036432"/>
      <w:bookmarkStart w:id="43" w:name="_Toc87036775"/>
      <w:bookmarkStart w:id="44" w:name="_Toc87037751"/>
      <w:bookmarkStart w:id="45" w:name="_Toc87037947"/>
      <w:bookmarkStart w:id="46" w:name="_Toc87038100"/>
      <w:bookmarkStart w:id="47" w:name="_Toc87040005"/>
      <w:bookmarkStart w:id="48" w:name="_Toc87040169"/>
      <w:bookmarkStart w:id="49" w:name="_Toc87044998"/>
      <w:r>
        <w:t>Separate application of time-</w:t>
      </w:r>
      <w:r w:rsidR="00FF6967">
        <w:t>domain</w:t>
      </w:r>
      <w:r>
        <w:t xml:space="preserve"> and frequency-domain H/S/NA is a special case of joint application.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7BEFB93" w14:textId="16765FAA" w:rsidR="00C95B1E" w:rsidRDefault="00D038F6" w:rsidP="00453FE0">
      <w:pPr>
        <w:rPr>
          <w:lang w:val="en-GB"/>
        </w:rPr>
      </w:pPr>
      <w:r>
        <w:rPr>
          <w:lang w:val="en-GB"/>
        </w:rPr>
        <w:t>J</w:t>
      </w:r>
      <w:r w:rsidR="00453FE0">
        <w:rPr>
          <w:lang w:val="en-GB"/>
        </w:rPr>
        <w:t xml:space="preserve">oint application of time- and frequency-domain attributes will allow the IAB-CU to send configurations for overlapping resources, hence allowing a higher flexibility and improving resource efficiency in the presence of </w:t>
      </w:r>
      <w:r w:rsidR="00D04718">
        <w:rPr>
          <w:lang w:val="en-GB"/>
        </w:rPr>
        <w:t xml:space="preserve">intermittent </w:t>
      </w:r>
      <w:r w:rsidR="00157A61">
        <w:rPr>
          <w:lang w:val="en-GB"/>
        </w:rPr>
        <w:t xml:space="preserve">limitations for </w:t>
      </w:r>
      <w:r w:rsidR="00453FE0">
        <w:rPr>
          <w:lang w:val="en-GB"/>
        </w:rPr>
        <w:t>perform</w:t>
      </w:r>
      <w:r w:rsidR="00D04718">
        <w:rPr>
          <w:lang w:val="en-GB"/>
        </w:rPr>
        <w:t>ing</w:t>
      </w:r>
      <w:r w:rsidR="00453FE0">
        <w:rPr>
          <w:lang w:val="en-GB"/>
        </w:rPr>
        <w:t xml:space="preserve"> non-TDM multiplexing. This significant benefit comes at the small cost of defining rules to obtain T-F attributes jointly based on separate </w:t>
      </w:r>
      <w:r w:rsidR="00453FE0" w:rsidRPr="00453FE0">
        <w:rPr>
          <w:lang w:val="en-GB"/>
        </w:rPr>
        <w:t>configurations.</w:t>
      </w:r>
    </w:p>
    <w:p w14:paraId="384DEC15" w14:textId="09CD8CFE" w:rsidR="00233718" w:rsidRDefault="00233718" w:rsidP="00233718">
      <w:pPr>
        <w:pStyle w:val="Proposal"/>
        <w:rPr>
          <w:lang w:val="en-GB"/>
        </w:rPr>
      </w:pPr>
      <w:bookmarkStart w:id="50" w:name="_Toc79157017"/>
      <w:bookmarkStart w:id="51" w:name="_Toc79157209"/>
      <w:bookmarkStart w:id="52" w:name="_Toc79159799"/>
      <w:bookmarkStart w:id="53" w:name="_Toc79177820"/>
      <w:bookmarkStart w:id="54" w:name="_Toc83997377"/>
      <w:bookmarkStart w:id="55" w:name="_Toc84007473"/>
      <w:bookmarkStart w:id="56" w:name="_Toc84018532"/>
      <w:bookmarkStart w:id="57" w:name="_Toc87021760"/>
      <w:bookmarkStart w:id="58" w:name="_Toc87034777"/>
      <w:bookmarkStart w:id="59" w:name="_Toc87034931"/>
      <w:bookmarkStart w:id="60" w:name="_Toc87035711"/>
      <w:bookmarkStart w:id="61" w:name="_Toc87035736"/>
      <w:bookmarkStart w:id="62" w:name="_Toc87036435"/>
      <w:bookmarkStart w:id="63" w:name="_Toc87036778"/>
      <w:bookmarkStart w:id="64" w:name="_Toc87037754"/>
      <w:bookmarkStart w:id="65" w:name="_Toc87037950"/>
      <w:bookmarkStart w:id="66" w:name="_Toc87038103"/>
      <w:bookmarkStart w:id="67" w:name="_Toc87040008"/>
      <w:bookmarkStart w:id="68" w:name="_Toc87040174"/>
      <w:bookmarkStart w:id="69" w:name="_Toc71627795"/>
      <w:bookmarkStart w:id="70" w:name="_Toc71627845"/>
      <w:bookmarkStart w:id="71" w:name="_Toc71631391"/>
      <w:bookmarkStart w:id="72" w:name="_Toc71634731"/>
      <w:bookmarkStart w:id="73" w:name="_Toc71639077"/>
      <w:bookmarkStart w:id="74" w:name="_Toc71642076"/>
      <w:bookmarkStart w:id="75" w:name="_Toc71648829"/>
      <w:bookmarkStart w:id="76" w:name="_Toc71649579"/>
      <w:bookmarkStart w:id="77" w:name="_Toc71665424"/>
      <w:bookmarkStart w:id="78" w:name="_Toc71665673"/>
      <w:bookmarkStart w:id="79" w:name="_Toc71666692"/>
      <w:bookmarkStart w:id="80" w:name="_Toc87045004"/>
      <w:r>
        <w:rPr>
          <w:lang w:val="en-GB"/>
        </w:rPr>
        <w:t>Support joint application of time</w:t>
      </w:r>
      <w:r w:rsidR="00227C76">
        <w:rPr>
          <w:lang w:val="en-GB"/>
        </w:rPr>
        <w:t>-</w:t>
      </w:r>
      <w:r w:rsidR="00BD5D54">
        <w:rPr>
          <w:lang w:val="en-GB"/>
        </w:rPr>
        <w:t xml:space="preserve">domain </w:t>
      </w:r>
      <w:r>
        <w:rPr>
          <w:lang w:val="en-GB"/>
        </w:rPr>
        <w:t>and frequency-domain H/S/NA configurations.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80"/>
    </w:p>
    <w:p w14:paraId="2C86B1E4" w14:textId="28223E84" w:rsidR="00F84059" w:rsidRPr="00453FE0" w:rsidRDefault="00F84059" w:rsidP="00F84059">
      <w:pPr>
        <w:pStyle w:val="Proposal"/>
      </w:pPr>
      <w:bookmarkStart w:id="81" w:name="_Toc79157018"/>
      <w:bookmarkStart w:id="82" w:name="_Toc79157210"/>
      <w:bookmarkStart w:id="83" w:name="_Toc79159800"/>
      <w:bookmarkStart w:id="84" w:name="_Toc79177821"/>
      <w:bookmarkStart w:id="85" w:name="_Toc83997378"/>
      <w:bookmarkStart w:id="86" w:name="_Toc84007474"/>
      <w:bookmarkStart w:id="87" w:name="_Toc84018533"/>
      <w:bookmarkStart w:id="88" w:name="_Toc87021761"/>
      <w:bookmarkStart w:id="89" w:name="_Toc87034778"/>
      <w:bookmarkStart w:id="90" w:name="_Toc87034932"/>
      <w:bookmarkStart w:id="91" w:name="_Toc87035712"/>
      <w:bookmarkStart w:id="92" w:name="_Toc87035737"/>
      <w:bookmarkStart w:id="93" w:name="_Toc87036436"/>
      <w:bookmarkStart w:id="94" w:name="_Toc87036779"/>
      <w:bookmarkStart w:id="95" w:name="_Toc87037755"/>
      <w:bookmarkStart w:id="96" w:name="_Toc87037951"/>
      <w:bookmarkStart w:id="97" w:name="_Toc87038104"/>
      <w:bookmarkStart w:id="98" w:name="_Toc87040009"/>
      <w:bookmarkStart w:id="99" w:name="_Toc87040175"/>
      <w:bookmarkStart w:id="100" w:name="_Toc87045005"/>
      <w:bookmarkEnd w:id="69"/>
      <w:bookmarkEnd w:id="70"/>
      <w:bookmarkEnd w:id="71"/>
      <w:bookmarkEnd w:id="72"/>
      <w:bookmarkEnd w:id="73"/>
      <w:bookmarkEnd w:id="74"/>
      <w:bookmarkEnd w:id="75"/>
      <w:bookmarkEnd w:id="76"/>
      <w:bookmarkEnd w:id="77"/>
      <w:bookmarkEnd w:id="78"/>
      <w:bookmarkEnd w:id="79"/>
      <w:r w:rsidRPr="00233718">
        <w:rPr>
          <w:lang w:val="en-GB"/>
        </w:rPr>
        <w:t>Specify rules for determining H/S/NA resource types for time-frequency resources based on separate configurations in time and frequency domains.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06CC5D0" w14:textId="68346282" w:rsidR="00D038F6" w:rsidRPr="00453FE0" w:rsidRDefault="00D038F6" w:rsidP="00D038F6">
      <w:pPr>
        <w:rPr>
          <w:lang w:val="en-GB"/>
        </w:rPr>
      </w:pPr>
      <w:r w:rsidRPr="00453FE0">
        <w:rPr>
          <w:lang w:val="en-GB"/>
        </w:rPr>
        <w:t>The following are examples for rules</w:t>
      </w:r>
      <w:r>
        <w:rPr>
          <w:lang w:val="en-GB"/>
        </w:rPr>
        <w:t xml:space="preserve"> to determine an attribute for a resource jointly based on separate T-F configurations</w:t>
      </w:r>
      <w:r w:rsidRPr="00453FE0">
        <w:rPr>
          <w:lang w:val="en-GB"/>
        </w:rPr>
        <w:t>.</w:t>
      </w:r>
    </w:p>
    <w:p w14:paraId="77ED9C18" w14:textId="52C51A96" w:rsidR="00D038F6" w:rsidRPr="00453FE0" w:rsidRDefault="00D038F6" w:rsidP="00D038F6">
      <w:pPr>
        <w:rPr>
          <w:lang w:val="en-GB"/>
        </w:rPr>
      </w:pPr>
      <w:r w:rsidRPr="00453FE0">
        <w:rPr>
          <w:b/>
          <w:bCs/>
          <w:lang w:val="en-GB"/>
        </w:rPr>
        <w:t>Alt-1</w:t>
      </w:r>
      <w:r w:rsidRPr="00453FE0">
        <w:rPr>
          <w:lang w:val="en-GB"/>
        </w:rPr>
        <w:t>: If the resource is indicated NA in at least one of time and frequency domains, the resource is considered NA. Otherwise, if a resource is indicated soft in at least one domain, the resource is considered soft. Finally, the resource is considered hard if indicated hard in both domains.</w:t>
      </w:r>
    </w:p>
    <w:tbl>
      <w:tblPr>
        <w:tblStyle w:val="TableGrid"/>
        <w:tblW w:w="0" w:type="auto"/>
        <w:jc w:val="center"/>
        <w:tblLook w:val="04A0" w:firstRow="1" w:lastRow="0" w:firstColumn="1" w:lastColumn="0" w:noHBand="0" w:noVBand="1"/>
      </w:tblPr>
      <w:tblGrid>
        <w:gridCol w:w="1844"/>
        <w:gridCol w:w="1878"/>
        <w:gridCol w:w="1766"/>
        <w:gridCol w:w="1711"/>
      </w:tblGrid>
      <w:tr w:rsidR="00D038F6" w:rsidRPr="00453FE0" w14:paraId="3300BD8C" w14:textId="4BFE9F80" w:rsidTr="00D27944">
        <w:trPr>
          <w:trHeight w:val="422"/>
          <w:jc w:val="center"/>
        </w:trPr>
        <w:tc>
          <w:tcPr>
            <w:tcW w:w="0" w:type="auto"/>
            <w:vAlign w:val="center"/>
          </w:tcPr>
          <w:p w14:paraId="718A3542" w14:textId="6E99C9ED" w:rsidR="00D038F6" w:rsidRPr="00453FE0" w:rsidRDefault="00D038F6" w:rsidP="002E7B43">
            <w:pPr>
              <w:spacing w:before="80" w:after="80"/>
              <w:jc w:val="center"/>
              <w:rPr>
                <w:b/>
                <w:bCs/>
                <w:lang w:val="en-GB"/>
              </w:rPr>
            </w:pPr>
          </w:p>
        </w:tc>
        <w:tc>
          <w:tcPr>
            <w:tcW w:w="0" w:type="auto"/>
            <w:vAlign w:val="center"/>
          </w:tcPr>
          <w:p w14:paraId="5E2A1E95" w14:textId="039CE185" w:rsidR="00D038F6" w:rsidRPr="00453FE0" w:rsidRDefault="00D038F6" w:rsidP="002E7B43">
            <w:pPr>
              <w:spacing w:before="80" w:after="80"/>
              <w:jc w:val="center"/>
              <w:rPr>
                <w:b/>
                <w:bCs/>
                <w:lang w:val="en-GB"/>
              </w:rPr>
            </w:pPr>
            <w:r w:rsidRPr="00453FE0">
              <w:rPr>
                <w:b/>
                <w:bCs/>
                <w:lang w:val="en-GB"/>
              </w:rPr>
              <w:t>Time-domain Hard</w:t>
            </w:r>
          </w:p>
        </w:tc>
        <w:tc>
          <w:tcPr>
            <w:tcW w:w="0" w:type="auto"/>
            <w:vAlign w:val="center"/>
          </w:tcPr>
          <w:p w14:paraId="10E432D7" w14:textId="5280A296" w:rsidR="00D038F6" w:rsidRPr="00453FE0" w:rsidRDefault="00D038F6" w:rsidP="002E7B43">
            <w:pPr>
              <w:spacing w:before="80" w:after="80"/>
              <w:jc w:val="center"/>
              <w:rPr>
                <w:b/>
                <w:bCs/>
                <w:lang w:val="en-GB"/>
              </w:rPr>
            </w:pPr>
            <w:r w:rsidRPr="00453FE0">
              <w:rPr>
                <w:b/>
                <w:bCs/>
                <w:lang w:val="en-GB"/>
              </w:rPr>
              <w:t>Time-domain Soft</w:t>
            </w:r>
          </w:p>
        </w:tc>
        <w:tc>
          <w:tcPr>
            <w:tcW w:w="0" w:type="auto"/>
            <w:vAlign w:val="center"/>
          </w:tcPr>
          <w:p w14:paraId="1D7F2D7C" w14:textId="514B2CB3" w:rsidR="00D038F6" w:rsidRPr="00453FE0" w:rsidRDefault="00D038F6" w:rsidP="002E7B43">
            <w:pPr>
              <w:spacing w:before="80" w:after="80"/>
              <w:jc w:val="center"/>
              <w:rPr>
                <w:b/>
                <w:bCs/>
                <w:lang w:val="en-GB"/>
              </w:rPr>
            </w:pPr>
            <w:r w:rsidRPr="00453FE0">
              <w:rPr>
                <w:b/>
                <w:bCs/>
                <w:lang w:val="en-GB"/>
              </w:rPr>
              <w:t>Time-domain NA</w:t>
            </w:r>
          </w:p>
        </w:tc>
      </w:tr>
      <w:tr w:rsidR="00D038F6" w:rsidRPr="00453FE0" w14:paraId="2009A512" w14:textId="2413FE01" w:rsidTr="00D27944">
        <w:trPr>
          <w:jc w:val="center"/>
        </w:trPr>
        <w:tc>
          <w:tcPr>
            <w:tcW w:w="0" w:type="auto"/>
            <w:vAlign w:val="center"/>
          </w:tcPr>
          <w:p w14:paraId="3E7472FC" w14:textId="7EB354D8" w:rsidR="00D038F6" w:rsidRPr="00453FE0" w:rsidRDefault="00D038F6" w:rsidP="002E7B43">
            <w:pPr>
              <w:spacing w:before="80" w:after="80"/>
              <w:jc w:val="center"/>
              <w:rPr>
                <w:b/>
                <w:bCs/>
                <w:lang w:val="en-GB"/>
              </w:rPr>
            </w:pPr>
            <w:r w:rsidRPr="00453FE0">
              <w:rPr>
                <w:b/>
                <w:bCs/>
                <w:lang w:val="en-GB"/>
              </w:rPr>
              <w:t>Freq-domain Hard</w:t>
            </w:r>
          </w:p>
        </w:tc>
        <w:tc>
          <w:tcPr>
            <w:tcW w:w="0" w:type="auto"/>
            <w:vAlign w:val="center"/>
          </w:tcPr>
          <w:p w14:paraId="146C0032" w14:textId="3F646BD2" w:rsidR="00D038F6" w:rsidRPr="00453FE0" w:rsidRDefault="00D038F6" w:rsidP="002E7B43">
            <w:pPr>
              <w:spacing w:before="80" w:after="80"/>
              <w:jc w:val="center"/>
              <w:rPr>
                <w:lang w:val="en-GB"/>
              </w:rPr>
            </w:pPr>
            <w:r w:rsidRPr="00453FE0">
              <w:rPr>
                <w:lang w:val="en-GB"/>
              </w:rPr>
              <w:t>Hard</w:t>
            </w:r>
          </w:p>
        </w:tc>
        <w:tc>
          <w:tcPr>
            <w:tcW w:w="0" w:type="auto"/>
            <w:vAlign w:val="center"/>
          </w:tcPr>
          <w:p w14:paraId="0E503F0E" w14:textId="498B0F0D" w:rsidR="00D038F6" w:rsidRPr="00453FE0" w:rsidRDefault="00D038F6" w:rsidP="002E7B43">
            <w:pPr>
              <w:spacing w:before="80" w:after="80"/>
              <w:jc w:val="center"/>
              <w:rPr>
                <w:lang w:val="en-GB"/>
              </w:rPr>
            </w:pPr>
            <w:r w:rsidRPr="00453FE0">
              <w:rPr>
                <w:lang w:val="en-GB"/>
              </w:rPr>
              <w:t>Soft</w:t>
            </w:r>
          </w:p>
        </w:tc>
        <w:tc>
          <w:tcPr>
            <w:tcW w:w="0" w:type="auto"/>
            <w:vAlign w:val="center"/>
          </w:tcPr>
          <w:p w14:paraId="378FBB1A" w14:textId="3C625998" w:rsidR="00D038F6" w:rsidRPr="00453FE0" w:rsidRDefault="00D038F6" w:rsidP="002E7B43">
            <w:pPr>
              <w:spacing w:before="80" w:after="80"/>
              <w:jc w:val="center"/>
              <w:rPr>
                <w:lang w:val="en-GB"/>
              </w:rPr>
            </w:pPr>
            <w:r w:rsidRPr="00453FE0">
              <w:rPr>
                <w:lang w:val="en-GB"/>
              </w:rPr>
              <w:t>NA</w:t>
            </w:r>
          </w:p>
        </w:tc>
      </w:tr>
      <w:tr w:rsidR="00D038F6" w:rsidRPr="00453FE0" w14:paraId="57CBC518" w14:textId="5BF7A280" w:rsidTr="00D27944">
        <w:trPr>
          <w:jc w:val="center"/>
        </w:trPr>
        <w:tc>
          <w:tcPr>
            <w:tcW w:w="0" w:type="auto"/>
            <w:vAlign w:val="center"/>
          </w:tcPr>
          <w:p w14:paraId="2D0E681A" w14:textId="6F82AA0F" w:rsidR="00D038F6" w:rsidRPr="00453FE0" w:rsidRDefault="00D038F6" w:rsidP="002E7B43">
            <w:pPr>
              <w:spacing w:before="80" w:after="80"/>
              <w:jc w:val="center"/>
              <w:rPr>
                <w:b/>
                <w:bCs/>
                <w:lang w:val="en-GB"/>
              </w:rPr>
            </w:pPr>
            <w:r w:rsidRPr="00453FE0">
              <w:rPr>
                <w:b/>
                <w:bCs/>
                <w:lang w:val="en-GB"/>
              </w:rPr>
              <w:t>Freq-domain Soft</w:t>
            </w:r>
          </w:p>
        </w:tc>
        <w:tc>
          <w:tcPr>
            <w:tcW w:w="0" w:type="auto"/>
            <w:vAlign w:val="center"/>
          </w:tcPr>
          <w:p w14:paraId="1CBC68A4" w14:textId="0C996736" w:rsidR="00D038F6" w:rsidRPr="00453FE0" w:rsidRDefault="00D038F6" w:rsidP="002E7B43">
            <w:pPr>
              <w:spacing w:before="80" w:after="80"/>
              <w:jc w:val="center"/>
              <w:rPr>
                <w:lang w:val="en-GB"/>
              </w:rPr>
            </w:pPr>
            <w:r w:rsidRPr="00453FE0">
              <w:rPr>
                <w:lang w:val="en-GB"/>
              </w:rPr>
              <w:t>Soft</w:t>
            </w:r>
          </w:p>
        </w:tc>
        <w:tc>
          <w:tcPr>
            <w:tcW w:w="0" w:type="auto"/>
            <w:vAlign w:val="center"/>
          </w:tcPr>
          <w:p w14:paraId="03072217" w14:textId="06A1BADD" w:rsidR="00D038F6" w:rsidRPr="00453FE0" w:rsidRDefault="00D038F6" w:rsidP="002E7B43">
            <w:pPr>
              <w:spacing w:before="80" w:after="80"/>
              <w:jc w:val="center"/>
              <w:rPr>
                <w:lang w:val="en-GB"/>
              </w:rPr>
            </w:pPr>
            <w:r w:rsidRPr="00453FE0">
              <w:rPr>
                <w:lang w:val="en-GB"/>
              </w:rPr>
              <w:t>Soft</w:t>
            </w:r>
          </w:p>
        </w:tc>
        <w:tc>
          <w:tcPr>
            <w:tcW w:w="0" w:type="auto"/>
            <w:vAlign w:val="center"/>
          </w:tcPr>
          <w:p w14:paraId="43B37CE9" w14:textId="26D1DC28" w:rsidR="00D038F6" w:rsidRPr="00453FE0" w:rsidRDefault="00D038F6" w:rsidP="002E7B43">
            <w:pPr>
              <w:spacing w:before="80" w:after="80"/>
              <w:jc w:val="center"/>
              <w:rPr>
                <w:lang w:val="en-GB"/>
              </w:rPr>
            </w:pPr>
            <w:r w:rsidRPr="00453FE0">
              <w:rPr>
                <w:lang w:val="en-GB"/>
              </w:rPr>
              <w:t>NA</w:t>
            </w:r>
          </w:p>
        </w:tc>
      </w:tr>
      <w:tr w:rsidR="00D038F6" w:rsidRPr="00453FE0" w14:paraId="7899944D" w14:textId="40F1982D" w:rsidTr="002E7B43">
        <w:trPr>
          <w:trHeight w:val="75"/>
          <w:jc w:val="center"/>
        </w:trPr>
        <w:tc>
          <w:tcPr>
            <w:tcW w:w="0" w:type="auto"/>
            <w:vAlign w:val="center"/>
          </w:tcPr>
          <w:p w14:paraId="3F552161" w14:textId="20E5E7E3" w:rsidR="00D038F6" w:rsidRPr="00453FE0" w:rsidRDefault="00D038F6" w:rsidP="002E7B43">
            <w:pPr>
              <w:spacing w:before="80" w:after="80"/>
              <w:jc w:val="center"/>
              <w:rPr>
                <w:b/>
                <w:bCs/>
                <w:lang w:val="en-GB"/>
              </w:rPr>
            </w:pPr>
            <w:r w:rsidRPr="00453FE0">
              <w:rPr>
                <w:b/>
                <w:bCs/>
                <w:lang w:val="en-GB"/>
              </w:rPr>
              <w:t>Freq-domain NA</w:t>
            </w:r>
          </w:p>
        </w:tc>
        <w:tc>
          <w:tcPr>
            <w:tcW w:w="0" w:type="auto"/>
            <w:vAlign w:val="center"/>
          </w:tcPr>
          <w:p w14:paraId="3FEE6326" w14:textId="55019678" w:rsidR="00D038F6" w:rsidRPr="00453FE0" w:rsidRDefault="00D038F6" w:rsidP="002E7B43">
            <w:pPr>
              <w:spacing w:before="80" w:after="80"/>
              <w:jc w:val="center"/>
              <w:rPr>
                <w:lang w:val="en-GB"/>
              </w:rPr>
            </w:pPr>
            <w:r w:rsidRPr="00453FE0">
              <w:rPr>
                <w:lang w:val="en-GB"/>
              </w:rPr>
              <w:t>NA</w:t>
            </w:r>
          </w:p>
        </w:tc>
        <w:tc>
          <w:tcPr>
            <w:tcW w:w="0" w:type="auto"/>
            <w:vAlign w:val="center"/>
          </w:tcPr>
          <w:p w14:paraId="375E8BA3" w14:textId="5F4A1FB5" w:rsidR="00D038F6" w:rsidRPr="00453FE0" w:rsidRDefault="00D038F6" w:rsidP="002E7B43">
            <w:pPr>
              <w:spacing w:before="80" w:after="80"/>
              <w:jc w:val="center"/>
              <w:rPr>
                <w:lang w:val="en-GB"/>
              </w:rPr>
            </w:pPr>
            <w:r w:rsidRPr="00453FE0">
              <w:rPr>
                <w:lang w:val="en-GB"/>
              </w:rPr>
              <w:t>NA</w:t>
            </w:r>
          </w:p>
        </w:tc>
        <w:tc>
          <w:tcPr>
            <w:tcW w:w="0" w:type="auto"/>
            <w:vAlign w:val="center"/>
          </w:tcPr>
          <w:p w14:paraId="411FB618" w14:textId="148EAF8E" w:rsidR="00D038F6" w:rsidRPr="00453FE0" w:rsidRDefault="00D038F6" w:rsidP="002E7B43">
            <w:pPr>
              <w:spacing w:before="80" w:after="80"/>
              <w:jc w:val="center"/>
              <w:rPr>
                <w:lang w:val="en-GB"/>
              </w:rPr>
            </w:pPr>
            <w:r w:rsidRPr="00453FE0">
              <w:rPr>
                <w:lang w:val="en-GB"/>
              </w:rPr>
              <w:t>NA</w:t>
            </w:r>
          </w:p>
        </w:tc>
      </w:tr>
    </w:tbl>
    <w:p w14:paraId="40E08A3D" w14:textId="77777777" w:rsidR="00AE40F7" w:rsidRDefault="00AE40F7" w:rsidP="00D038F6">
      <w:pPr>
        <w:rPr>
          <w:b/>
          <w:bCs/>
          <w:lang w:val="en-GB"/>
        </w:rPr>
      </w:pPr>
    </w:p>
    <w:p w14:paraId="15924EB0" w14:textId="00831C47" w:rsidR="00D038F6" w:rsidRPr="00453FE0" w:rsidRDefault="00D038F6" w:rsidP="00D038F6">
      <w:pPr>
        <w:rPr>
          <w:lang w:val="en-GB"/>
        </w:rPr>
      </w:pPr>
      <w:r w:rsidRPr="00453FE0">
        <w:rPr>
          <w:b/>
          <w:bCs/>
          <w:lang w:val="en-GB"/>
        </w:rPr>
        <w:t>Alt-2</w:t>
      </w:r>
      <w:r w:rsidRPr="00453FE0">
        <w:rPr>
          <w:lang w:val="en-GB"/>
        </w:rPr>
        <w:t>: The resource preserves its hard/NA attributes in the time domain on all PRBs/RBGs. However, if the resource is indicated soft in the time domain, it is subject to availability indication in the frequency domain.</w:t>
      </w:r>
    </w:p>
    <w:tbl>
      <w:tblPr>
        <w:tblStyle w:val="TableGrid"/>
        <w:tblW w:w="0" w:type="auto"/>
        <w:jc w:val="center"/>
        <w:tblLook w:val="04A0" w:firstRow="1" w:lastRow="0" w:firstColumn="1" w:lastColumn="0" w:noHBand="0" w:noVBand="1"/>
      </w:tblPr>
      <w:tblGrid>
        <w:gridCol w:w="1844"/>
        <w:gridCol w:w="1878"/>
        <w:gridCol w:w="1766"/>
        <w:gridCol w:w="1711"/>
      </w:tblGrid>
      <w:tr w:rsidR="00D038F6" w:rsidRPr="00453FE0" w14:paraId="79B4F05D" w14:textId="11B60354" w:rsidTr="00D27944">
        <w:trPr>
          <w:trHeight w:val="422"/>
          <w:jc w:val="center"/>
        </w:trPr>
        <w:tc>
          <w:tcPr>
            <w:tcW w:w="0" w:type="auto"/>
            <w:vAlign w:val="center"/>
          </w:tcPr>
          <w:p w14:paraId="28E17088" w14:textId="65DBF556" w:rsidR="00D038F6" w:rsidRPr="00453FE0" w:rsidRDefault="00D038F6" w:rsidP="002E7B43">
            <w:pPr>
              <w:spacing w:before="80" w:after="80"/>
              <w:jc w:val="center"/>
              <w:rPr>
                <w:b/>
                <w:bCs/>
                <w:lang w:val="en-GB"/>
              </w:rPr>
            </w:pPr>
          </w:p>
        </w:tc>
        <w:tc>
          <w:tcPr>
            <w:tcW w:w="0" w:type="auto"/>
            <w:vAlign w:val="center"/>
          </w:tcPr>
          <w:p w14:paraId="6BA6ECE4" w14:textId="700306AB" w:rsidR="00D038F6" w:rsidRPr="00453FE0" w:rsidRDefault="00D038F6" w:rsidP="002E7B43">
            <w:pPr>
              <w:spacing w:before="80" w:after="80"/>
              <w:jc w:val="center"/>
              <w:rPr>
                <w:b/>
                <w:bCs/>
                <w:lang w:val="en-GB"/>
              </w:rPr>
            </w:pPr>
            <w:r w:rsidRPr="00453FE0">
              <w:rPr>
                <w:b/>
                <w:bCs/>
                <w:lang w:val="en-GB"/>
              </w:rPr>
              <w:t>Time-domain Hard</w:t>
            </w:r>
          </w:p>
        </w:tc>
        <w:tc>
          <w:tcPr>
            <w:tcW w:w="0" w:type="auto"/>
            <w:vAlign w:val="center"/>
          </w:tcPr>
          <w:p w14:paraId="7DDADEB6" w14:textId="57062D7E" w:rsidR="00D038F6" w:rsidRPr="00453FE0" w:rsidRDefault="00D038F6" w:rsidP="002E7B43">
            <w:pPr>
              <w:spacing w:before="80" w:after="80"/>
              <w:jc w:val="center"/>
              <w:rPr>
                <w:b/>
                <w:bCs/>
                <w:lang w:val="en-GB"/>
              </w:rPr>
            </w:pPr>
            <w:r w:rsidRPr="00453FE0">
              <w:rPr>
                <w:b/>
                <w:bCs/>
                <w:lang w:val="en-GB"/>
              </w:rPr>
              <w:t>Time-domain Soft</w:t>
            </w:r>
          </w:p>
        </w:tc>
        <w:tc>
          <w:tcPr>
            <w:tcW w:w="0" w:type="auto"/>
            <w:vAlign w:val="center"/>
          </w:tcPr>
          <w:p w14:paraId="509EDDEF" w14:textId="24C41713" w:rsidR="00D038F6" w:rsidRPr="00453FE0" w:rsidRDefault="00D038F6" w:rsidP="002E7B43">
            <w:pPr>
              <w:spacing w:before="80" w:after="80"/>
              <w:jc w:val="center"/>
              <w:rPr>
                <w:b/>
                <w:bCs/>
                <w:lang w:val="en-GB"/>
              </w:rPr>
            </w:pPr>
            <w:r w:rsidRPr="00453FE0">
              <w:rPr>
                <w:b/>
                <w:bCs/>
                <w:lang w:val="en-GB"/>
              </w:rPr>
              <w:t>Time-domain NA</w:t>
            </w:r>
          </w:p>
        </w:tc>
      </w:tr>
      <w:tr w:rsidR="00D038F6" w:rsidRPr="00453FE0" w14:paraId="496381E9" w14:textId="2148F3EA" w:rsidTr="00D27944">
        <w:trPr>
          <w:jc w:val="center"/>
        </w:trPr>
        <w:tc>
          <w:tcPr>
            <w:tcW w:w="0" w:type="auto"/>
            <w:vAlign w:val="center"/>
          </w:tcPr>
          <w:p w14:paraId="2D76181F" w14:textId="3C711E40" w:rsidR="00D038F6" w:rsidRPr="00453FE0" w:rsidRDefault="00D038F6" w:rsidP="002E7B43">
            <w:pPr>
              <w:spacing w:before="80" w:after="80"/>
              <w:jc w:val="center"/>
              <w:rPr>
                <w:b/>
                <w:bCs/>
                <w:lang w:val="en-GB"/>
              </w:rPr>
            </w:pPr>
            <w:r w:rsidRPr="00453FE0">
              <w:rPr>
                <w:b/>
                <w:bCs/>
                <w:lang w:val="en-GB"/>
              </w:rPr>
              <w:t>Freq-domain Hard</w:t>
            </w:r>
          </w:p>
        </w:tc>
        <w:tc>
          <w:tcPr>
            <w:tcW w:w="0" w:type="auto"/>
            <w:vAlign w:val="center"/>
          </w:tcPr>
          <w:p w14:paraId="26882C50" w14:textId="22E80887" w:rsidR="00D038F6" w:rsidRPr="00453FE0" w:rsidRDefault="00D038F6" w:rsidP="002E7B43">
            <w:pPr>
              <w:spacing w:before="80" w:after="80"/>
              <w:jc w:val="center"/>
              <w:rPr>
                <w:lang w:val="en-GB"/>
              </w:rPr>
            </w:pPr>
            <w:r w:rsidRPr="00453FE0">
              <w:rPr>
                <w:lang w:val="en-GB"/>
              </w:rPr>
              <w:t>Hard</w:t>
            </w:r>
          </w:p>
        </w:tc>
        <w:tc>
          <w:tcPr>
            <w:tcW w:w="0" w:type="auto"/>
            <w:vAlign w:val="center"/>
          </w:tcPr>
          <w:p w14:paraId="5118C4BD" w14:textId="079A0BAF" w:rsidR="00D038F6" w:rsidRPr="00453FE0" w:rsidRDefault="00D038F6" w:rsidP="002E7B43">
            <w:pPr>
              <w:spacing w:before="80" w:after="80"/>
              <w:jc w:val="center"/>
              <w:rPr>
                <w:lang w:val="en-GB"/>
              </w:rPr>
            </w:pPr>
            <w:r w:rsidRPr="00453FE0">
              <w:rPr>
                <w:lang w:val="en-GB"/>
              </w:rPr>
              <w:t>Soft</w:t>
            </w:r>
            <w:r>
              <w:rPr>
                <w:lang w:val="en-GB"/>
              </w:rPr>
              <w:t xml:space="preserve"> or Hard</w:t>
            </w:r>
          </w:p>
        </w:tc>
        <w:tc>
          <w:tcPr>
            <w:tcW w:w="0" w:type="auto"/>
            <w:vAlign w:val="center"/>
          </w:tcPr>
          <w:p w14:paraId="3E407208" w14:textId="277DD45E" w:rsidR="00D038F6" w:rsidRPr="00453FE0" w:rsidRDefault="00D038F6" w:rsidP="002E7B43">
            <w:pPr>
              <w:spacing w:before="80" w:after="80"/>
              <w:jc w:val="center"/>
              <w:rPr>
                <w:lang w:val="en-GB"/>
              </w:rPr>
            </w:pPr>
            <w:r w:rsidRPr="00453FE0">
              <w:rPr>
                <w:lang w:val="en-GB"/>
              </w:rPr>
              <w:t>NA</w:t>
            </w:r>
          </w:p>
        </w:tc>
      </w:tr>
      <w:tr w:rsidR="00D038F6" w:rsidRPr="00453FE0" w14:paraId="31FC18E4" w14:textId="77A09178" w:rsidTr="00D27944">
        <w:trPr>
          <w:jc w:val="center"/>
        </w:trPr>
        <w:tc>
          <w:tcPr>
            <w:tcW w:w="0" w:type="auto"/>
            <w:vAlign w:val="center"/>
          </w:tcPr>
          <w:p w14:paraId="097B9BCB" w14:textId="60BA7DA0" w:rsidR="00D038F6" w:rsidRPr="00453FE0" w:rsidRDefault="00D038F6" w:rsidP="002E7B43">
            <w:pPr>
              <w:spacing w:before="80" w:after="80"/>
              <w:jc w:val="center"/>
              <w:rPr>
                <w:b/>
                <w:bCs/>
                <w:lang w:val="en-GB"/>
              </w:rPr>
            </w:pPr>
            <w:r w:rsidRPr="00453FE0">
              <w:rPr>
                <w:b/>
                <w:bCs/>
                <w:lang w:val="en-GB"/>
              </w:rPr>
              <w:t>Freq-domain Soft</w:t>
            </w:r>
          </w:p>
        </w:tc>
        <w:tc>
          <w:tcPr>
            <w:tcW w:w="0" w:type="auto"/>
            <w:vAlign w:val="center"/>
          </w:tcPr>
          <w:p w14:paraId="66146D8C" w14:textId="568D73E1" w:rsidR="00D038F6" w:rsidRPr="00453FE0" w:rsidRDefault="00D038F6" w:rsidP="002E7B43">
            <w:pPr>
              <w:spacing w:before="80" w:after="80"/>
              <w:jc w:val="center"/>
              <w:rPr>
                <w:lang w:val="en-GB"/>
              </w:rPr>
            </w:pPr>
            <w:r w:rsidRPr="00453FE0">
              <w:rPr>
                <w:lang w:val="en-GB"/>
              </w:rPr>
              <w:t>Hard</w:t>
            </w:r>
          </w:p>
        </w:tc>
        <w:tc>
          <w:tcPr>
            <w:tcW w:w="0" w:type="auto"/>
            <w:vAlign w:val="center"/>
          </w:tcPr>
          <w:p w14:paraId="38BB738B" w14:textId="15926B8B" w:rsidR="00D038F6" w:rsidRPr="00453FE0" w:rsidRDefault="00D038F6" w:rsidP="002E7B43">
            <w:pPr>
              <w:spacing w:before="80" w:after="80"/>
              <w:jc w:val="center"/>
              <w:rPr>
                <w:lang w:val="en-GB"/>
              </w:rPr>
            </w:pPr>
            <w:r w:rsidRPr="00453FE0">
              <w:rPr>
                <w:lang w:val="en-GB"/>
              </w:rPr>
              <w:t>Soft</w:t>
            </w:r>
          </w:p>
        </w:tc>
        <w:tc>
          <w:tcPr>
            <w:tcW w:w="0" w:type="auto"/>
            <w:vAlign w:val="center"/>
          </w:tcPr>
          <w:p w14:paraId="0A4C739E" w14:textId="4EFA6925" w:rsidR="00D038F6" w:rsidRPr="00453FE0" w:rsidRDefault="00D038F6" w:rsidP="002E7B43">
            <w:pPr>
              <w:spacing w:before="80" w:after="80"/>
              <w:jc w:val="center"/>
              <w:rPr>
                <w:lang w:val="en-GB"/>
              </w:rPr>
            </w:pPr>
            <w:r w:rsidRPr="00453FE0">
              <w:rPr>
                <w:lang w:val="en-GB"/>
              </w:rPr>
              <w:t>NA</w:t>
            </w:r>
          </w:p>
        </w:tc>
      </w:tr>
      <w:tr w:rsidR="00D038F6" w:rsidRPr="00453FE0" w14:paraId="3B711A18" w14:textId="4AC5D6C2" w:rsidTr="00D27944">
        <w:trPr>
          <w:trHeight w:val="42"/>
          <w:jc w:val="center"/>
        </w:trPr>
        <w:tc>
          <w:tcPr>
            <w:tcW w:w="0" w:type="auto"/>
            <w:vAlign w:val="center"/>
          </w:tcPr>
          <w:p w14:paraId="2F53A7EA" w14:textId="2E540237" w:rsidR="00D038F6" w:rsidRPr="00453FE0" w:rsidRDefault="00D038F6" w:rsidP="002E7B43">
            <w:pPr>
              <w:spacing w:before="80" w:after="80"/>
              <w:jc w:val="center"/>
              <w:rPr>
                <w:b/>
                <w:bCs/>
                <w:lang w:val="en-GB"/>
              </w:rPr>
            </w:pPr>
            <w:r w:rsidRPr="00453FE0">
              <w:rPr>
                <w:b/>
                <w:bCs/>
                <w:lang w:val="en-GB"/>
              </w:rPr>
              <w:t>Freq-domain NA</w:t>
            </w:r>
          </w:p>
        </w:tc>
        <w:tc>
          <w:tcPr>
            <w:tcW w:w="0" w:type="auto"/>
            <w:vAlign w:val="center"/>
          </w:tcPr>
          <w:p w14:paraId="375D819E" w14:textId="746A9115" w:rsidR="00D038F6" w:rsidRPr="00453FE0" w:rsidRDefault="00D038F6" w:rsidP="002E7B43">
            <w:pPr>
              <w:spacing w:before="80" w:after="80"/>
              <w:jc w:val="center"/>
              <w:rPr>
                <w:lang w:val="en-GB"/>
              </w:rPr>
            </w:pPr>
            <w:r w:rsidRPr="00453FE0">
              <w:rPr>
                <w:lang w:val="en-GB"/>
              </w:rPr>
              <w:t>Hard</w:t>
            </w:r>
          </w:p>
        </w:tc>
        <w:tc>
          <w:tcPr>
            <w:tcW w:w="0" w:type="auto"/>
            <w:vAlign w:val="center"/>
          </w:tcPr>
          <w:p w14:paraId="19425A6D" w14:textId="17751BD2" w:rsidR="00D038F6" w:rsidRPr="00453FE0" w:rsidRDefault="00D038F6" w:rsidP="002E7B43">
            <w:pPr>
              <w:spacing w:before="80" w:after="80"/>
              <w:jc w:val="center"/>
              <w:rPr>
                <w:lang w:val="en-GB"/>
              </w:rPr>
            </w:pPr>
            <w:r w:rsidRPr="00453FE0">
              <w:rPr>
                <w:lang w:val="en-GB"/>
              </w:rPr>
              <w:t>NA</w:t>
            </w:r>
          </w:p>
        </w:tc>
        <w:tc>
          <w:tcPr>
            <w:tcW w:w="0" w:type="auto"/>
            <w:vAlign w:val="center"/>
          </w:tcPr>
          <w:p w14:paraId="2193BAC7" w14:textId="0F870B36" w:rsidR="00D038F6" w:rsidRPr="00453FE0" w:rsidRDefault="00D038F6" w:rsidP="002E7B43">
            <w:pPr>
              <w:spacing w:before="80" w:after="80"/>
              <w:jc w:val="center"/>
              <w:rPr>
                <w:lang w:val="en-GB"/>
              </w:rPr>
            </w:pPr>
            <w:r w:rsidRPr="00453FE0">
              <w:rPr>
                <w:lang w:val="en-GB"/>
              </w:rPr>
              <w:t>NA</w:t>
            </w:r>
          </w:p>
        </w:tc>
      </w:tr>
    </w:tbl>
    <w:p w14:paraId="60151258" w14:textId="77777777" w:rsidR="00AE40F7" w:rsidRDefault="00AE40F7" w:rsidP="00F84059">
      <w:pPr>
        <w:rPr>
          <w:lang w:val="en-GB"/>
        </w:rPr>
      </w:pPr>
    </w:p>
    <w:p w14:paraId="32A1D67E" w14:textId="7E5FA04C" w:rsidR="00F84059" w:rsidRDefault="00F84059" w:rsidP="00F84059">
      <w:pPr>
        <w:rPr>
          <w:lang w:val="en-GB"/>
        </w:rPr>
      </w:pPr>
      <w:r>
        <w:rPr>
          <w:lang w:val="en-GB"/>
        </w:rPr>
        <w:t xml:space="preserve">Separate and joint application of H/S/NA configurations are illustrated below. In </w:t>
      </w:r>
      <w:r>
        <w:rPr>
          <w:lang w:val="en-GB"/>
        </w:rPr>
        <w:fldChar w:fldCharType="begin"/>
      </w:r>
      <w:r>
        <w:rPr>
          <w:lang w:val="en-GB"/>
        </w:rPr>
        <w:instrText xml:space="preserve"> REF _Ref79137937 \r \h </w:instrText>
      </w:r>
      <w:r>
        <w:rPr>
          <w:lang w:val="en-GB"/>
        </w:rPr>
      </w:r>
      <w:r>
        <w:rPr>
          <w:lang w:val="en-GB"/>
        </w:rPr>
        <w:fldChar w:fldCharType="separate"/>
      </w:r>
      <w:r w:rsidR="009F4637">
        <w:rPr>
          <w:cs/>
          <w:lang w:val="en-GB"/>
        </w:rPr>
        <w:t>‎</w:t>
      </w:r>
      <w:r w:rsidR="009F4637">
        <w:rPr>
          <w:lang w:val="en-GB"/>
        </w:rPr>
        <w:t>Figure 1</w:t>
      </w:r>
      <w:r>
        <w:rPr>
          <w:lang w:val="en-GB"/>
        </w:rPr>
        <w:fldChar w:fldCharType="end"/>
      </w:r>
      <w:r>
        <w:rPr>
          <w:lang w:val="en-GB"/>
        </w:rPr>
        <w:t xml:space="preserve"> (a), separate configurations are applied in non-overlapping resources, e.g., slot by slot. The result is reduced flexibility in utilizing resources for </w:t>
      </w:r>
      <w:r>
        <w:rPr>
          <w:lang w:val="en-GB"/>
        </w:rPr>
        <w:lastRenderedPageBreak/>
        <w:t xml:space="preserve">scheduling. In </w:t>
      </w:r>
      <w:r>
        <w:rPr>
          <w:lang w:val="en-GB"/>
        </w:rPr>
        <w:fldChar w:fldCharType="begin"/>
      </w:r>
      <w:r>
        <w:rPr>
          <w:lang w:val="en-GB"/>
        </w:rPr>
        <w:instrText xml:space="preserve"> REF _Ref79137937 \r \h </w:instrText>
      </w:r>
      <w:r>
        <w:rPr>
          <w:lang w:val="en-GB"/>
        </w:rPr>
      </w:r>
      <w:r>
        <w:rPr>
          <w:lang w:val="en-GB"/>
        </w:rPr>
        <w:fldChar w:fldCharType="separate"/>
      </w:r>
      <w:r w:rsidR="009F4637">
        <w:rPr>
          <w:cs/>
          <w:lang w:val="en-GB"/>
        </w:rPr>
        <w:t>‎</w:t>
      </w:r>
      <w:r w:rsidR="009F4637">
        <w:rPr>
          <w:lang w:val="en-GB"/>
        </w:rPr>
        <w:t>Figure 1</w:t>
      </w:r>
      <w:r>
        <w:rPr>
          <w:lang w:val="en-GB"/>
        </w:rPr>
        <w:fldChar w:fldCharType="end"/>
      </w:r>
      <w:r>
        <w:rPr>
          <w:lang w:val="en-GB"/>
        </w:rPr>
        <w:t xml:space="preserve"> (b), examples of rules to apply H/S/NA configurations jointly are illustrated, which result in higher flexibility when FDM is applicable.</w:t>
      </w:r>
    </w:p>
    <w:p w14:paraId="05AE690F" w14:textId="013B2388" w:rsidR="00F84059" w:rsidRDefault="00F84059" w:rsidP="00F84059">
      <w:pPr>
        <w:pStyle w:val="Figure"/>
      </w:pPr>
      <w:r w:rsidRPr="00655763">
        <w:rPr>
          <w:noProof/>
        </w:rPr>
        <w:drawing>
          <wp:inline distT="0" distB="0" distL="0" distR="0" wp14:anchorId="20568513" wp14:editId="323BED7D">
            <wp:extent cx="4169664" cy="1892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9664" cy="1892808"/>
                    </a:xfrm>
                    <a:prstGeom prst="rect">
                      <a:avLst/>
                    </a:prstGeom>
                    <a:noFill/>
                    <a:ln>
                      <a:noFill/>
                    </a:ln>
                  </pic:spPr>
                </pic:pic>
              </a:graphicData>
            </a:graphic>
          </wp:inline>
        </w:drawing>
      </w:r>
    </w:p>
    <w:p w14:paraId="0F0115CB" w14:textId="5C7E65AC" w:rsidR="00F84059" w:rsidRPr="00233718" w:rsidRDefault="00F84059" w:rsidP="00F84059">
      <w:pPr>
        <w:pStyle w:val="Figure"/>
      </w:pPr>
      <w:r w:rsidRPr="00233718">
        <w:rPr>
          <w:noProof/>
        </w:rPr>
        <w:drawing>
          <wp:inline distT="0" distB="0" distL="0" distR="0" wp14:anchorId="4012A81B" wp14:editId="26C7E987">
            <wp:extent cx="4197096"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7096" cy="1737360"/>
                    </a:xfrm>
                    <a:prstGeom prst="rect">
                      <a:avLst/>
                    </a:prstGeom>
                    <a:noFill/>
                    <a:ln>
                      <a:noFill/>
                    </a:ln>
                  </pic:spPr>
                </pic:pic>
              </a:graphicData>
            </a:graphic>
          </wp:inline>
        </w:drawing>
      </w:r>
    </w:p>
    <w:p w14:paraId="37ADC475" w14:textId="3F15CA29" w:rsidR="00F84059" w:rsidRDefault="00F84059" w:rsidP="00F84059">
      <w:pPr>
        <w:pStyle w:val="Caption"/>
        <w:numPr>
          <w:ilvl w:val="0"/>
          <w:numId w:val="23"/>
        </w:numPr>
      </w:pPr>
      <w:bookmarkStart w:id="101" w:name="_Ref79137937"/>
      <w:r>
        <w:t>. (a) Separate application of H/S/NA configurations (b) Joint application</w:t>
      </w:r>
      <w:bookmarkEnd w:id="101"/>
    </w:p>
    <w:p w14:paraId="5C75FAFA" w14:textId="77777777" w:rsidR="00462FE1" w:rsidRDefault="00462FE1" w:rsidP="006120D1">
      <w:pPr>
        <w:rPr>
          <w:lang w:val="en-GB"/>
        </w:rPr>
      </w:pPr>
    </w:p>
    <w:p w14:paraId="38BA111F" w14:textId="77777777" w:rsidR="004B0982" w:rsidRPr="009A2601" w:rsidRDefault="004B0982" w:rsidP="004B0982">
      <w:pPr>
        <w:rPr>
          <w:rFonts w:asciiTheme="majorBidi" w:hAnsiTheme="majorBidi" w:cstheme="majorBidi"/>
          <w:szCs w:val="20"/>
          <w:highlight w:val="green"/>
        </w:rPr>
      </w:pPr>
      <w:r w:rsidRPr="009A2601">
        <w:rPr>
          <w:rFonts w:asciiTheme="majorBidi" w:hAnsiTheme="majorBidi" w:cstheme="majorBidi"/>
          <w:szCs w:val="20"/>
          <w:highlight w:val="green"/>
        </w:rPr>
        <w:t>Agreement</w:t>
      </w:r>
    </w:p>
    <w:p w14:paraId="552F994B" w14:textId="77777777" w:rsidR="004B0982" w:rsidRPr="009A2601" w:rsidRDefault="004B0982" w:rsidP="004B0982">
      <w:pPr>
        <w:rPr>
          <w:rFonts w:asciiTheme="majorBidi" w:hAnsiTheme="majorBidi" w:cstheme="majorBidi"/>
          <w:szCs w:val="20"/>
        </w:rPr>
      </w:pPr>
      <w:r w:rsidRPr="009A2601">
        <w:rPr>
          <w:rFonts w:asciiTheme="majorBidi" w:hAnsiTheme="majorBidi" w:cstheme="majorBidi"/>
          <w:szCs w:val="20"/>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E18B395" w14:textId="77777777" w:rsidR="004B0982" w:rsidRPr="009A2601" w:rsidRDefault="004B0982" w:rsidP="004B0982">
      <w:pPr>
        <w:pStyle w:val="ListParagraph"/>
        <w:numPr>
          <w:ilvl w:val="0"/>
          <w:numId w:val="36"/>
        </w:numPr>
        <w:overflowPunct w:val="0"/>
        <w:autoSpaceDE w:val="0"/>
        <w:autoSpaceDN w:val="0"/>
        <w:adjustRightInd w:val="0"/>
        <w:spacing w:before="0" w:after="180" w:line="240" w:lineRule="auto"/>
        <w:textAlignment w:val="baseline"/>
        <w:rPr>
          <w:rFonts w:asciiTheme="majorBidi" w:eastAsia="Calibri" w:hAnsiTheme="majorBidi" w:cstheme="majorBidi"/>
        </w:rPr>
      </w:pPr>
      <w:r w:rsidRPr="009A2601">
        <w:rPr>
          <w:rFonts w:asciiTheme="majorBidi" w:eastAsia="Calibri" w:hAnsiTheme="majorBidi" w:cstheme="majorBidi"/>
        </w:rPr>
        <w:t>For a given slot, different H/S/NA resource types can be configured for different RB sets</w:t>
      </w:r>
    </w:p>
    <w:p w14:paraId="34AE0CBC" w14:textId="77777777" w:rsidR="004B0982" w:rsidRPr="009A2601" w:rsidRDefault="004B0982" w:rsidP="004B0982">
      <w:pPr>
        <w:pStyle w:val="ListParagraph"/>
        <w:numPr>
          <w:ilvl w:val="0"/>
          <w:numId w:val="36"/>
        </w:numPr>
        <w:overflowPunct w:val="0"/>
        <w:autoSpaceDE w:val="0"/>
        <w:autoSpaceDN w:val="0"/>
        <w:adjustRightInd w:val="0"/>
        <w:spacing w:before="0" w:after="180" w:line="240" w:lineRule="auto"/>
        <w:textAlignment w:val="baseline"/>
        <w:rPr>
          <w:rFonts w:asciiTheme="majorBidi" w:eastAsia="Calibri" w:hAnsiTheme="majorBidi" w:cstheme="majorBidi"/>
        </w:rPr>
      </w:pPr>
      <w:r w:rsidRPr="009A2601">
        <w:rPr>
          <w:rFonts w:asciiTheme="majorBidi" w:eastAsia="Calibri" w:hAnsiTheme="majorBidi" w:cstheme="majorBidi"/>
        </w:rPr>
        <w:t>Additional signaling details (e.g. bitmap, slot pattern, etc.) can be left up to RAN3</w:t>
      </w:r>
    </w:p>
    <w:p w14:paraId="142B4537" w14:textId="77777777" w:rsidR="004B0982" w:rsidRPr="009A2601" w:rsidRDefault="004B0982" w:rsidP="004B0982">
      <w:pPr>
        <w:pStyle w:val="ListParagraph"/>
        <w:numPr>
          <w:ilvl w:val="0"/>
          <w:numId w:val="36"/>
        </w:numPr>
        <w:overflowPunct w:val="0"/>
        <w:autoSpaceDE w:val="0"/>
        <w:autoSpaceDN w:val="0"/>
        <w:adjustRightInd w:val="0"/>
        <w:spacing w:before="0" w:after="180" w:line="240" w:lineRule="auto"/>
        <w:textAlignment w:val="baseline"/>
        <w:rPr>
          <w:rFonts w:asciiTheme="majorBidi" w:eastAsia="Calibri" w:hAnsiTheme="majorBidi" w:cstheme="majorBidi"/>
        </w:rPr>
      </w:pPr>
      <w:r w:rsidRPr="009A2601">
        <w:rPr>
          <w:rFonts w:asciiTheme="majorBidi" w:eastAsia="Calibri" w:hAnsiTheme="majorBidi" w:cstheme="majorBidi"/>
        </w:rPr>
        <w:t>FFS: The number of different frequency domain configurations at a given time</w:t>
      </w:r>
    </w:p>
    <w:p w14:paraId="6CEC532D" w14:textId="77777777" w:rsidR="00BD5D54" w:rsidRDefault="00BD5D54" w:rsidP="006120D1">
      <w:pPr>
        <w:rPr>
          <w:lang w:val="en-GB"/>
        </w:rPr>
      </w:pPr>
    </w:p>
    <w:p w14:paraId="7C5579EC" w14:textId="2DA6A3F2" w:rsidR="006A3AC9" w:rsidRDefault="006A3AC9" w:rsidP="006120D1">
      <w:pPr>
        <w:rPr>
          <w:lang w:val="en-GB"/>
        </w:rPr>
      </w:pPr>
      <w:r>
        <w:rPr>
          <w:lang w:val="en-GB"/>
        </w:rPr>
        <w:t xml:space="preserve">With respect to the </w:t>
      </w:r>
      <w:r w:rsidRPr="006A3AC9">
        <w:rPr>
          <w:lang w:val="en-GB"/>
        </w:rPr>
        <w:tab/>
      </w:r>
      <w:r w:rsidR="00AF7C44">
        <w:rPr>
          <w:lang w:val="en-GB"/>
        </w:rPr>
        <w:t xml:space="preserve">above </w:t>
      </w:r>
      <w:r w:rsidRPr="006A3AC9">
        <w:rPr>
          <w:lang w:val="en-GB"/>
        </w:rPr>
        <w:t>FFS</w:t>
      </w:r>
      <w:r>
        <w:rPr>
          <w:lang w:val="en-GB"/>
        </w:rPr>
        <w:t xml:space="preserve"> point on t</w:t>
      </w:r>
      <w:r w:rsidRPr="006A3AC9">
        <w:rPr>
          <w:lang w:val="en-GB"/>
        </w:rPr>
        <w:t>he number of different frequency</w:t>
      </w:r>
      <w:r w:rsidR="00462FE1">
        <w:rPr>
          <w:lang w:val="en-GB"/>
        </w:rPr>
        <w:t>-</w:t>
      </w:r>
      <w:r w:rsidRPr="006A3AC9">
        <w:rPr>
          <w:lang w:val="en-GB"/>
        </w:rPr>
        <w:t>domain configurations at a given time</w:t>
      </w:r>
      <w:r>
        <w:rPr>
          <w:lang w:val="en-GB"/>
        </w:rPr>
        <w:t xml:space="preserve">, separate configurations may be allowed for </w:t>
      </w:r>
      <w:r w:rsidR="00462FE1">
        <w:rPr>
          <w:lang w:val="en-GB"/>
        </w:rPr>
        <w:t>non-</w:t>
      </w:r>
      <w:r>
        <w:rPr>
          <w:lang w:val="en-GB"/>
        </w:rPr>
        <w:t xml:space="preserve">overlapping and overlapping </w:t>
      </w:r>
      <w:r w:rsidR="00462FE1">
        <w:rPr>
          <w:lang w:val="en-GB"/>
        </w:rPr>
        <w:t>RB sets</w:t>
      </w:r>
      <w:r>
        <w:rPr>
          <w:lang w:val="en-GB"/>
        </w:rPr>
        <w:t xml:space="preserve"> as long as the</w:t>
      </w:r>
      <w:r w:rsidR="00462FE1">
        <w:rPr>
          <w:lang w:val="en-GB"/>
        </w:rPr>
        <w:t xml:space="preserve"> configurations</w:t>
      </w:r>
      <w:r>
        <w:rPr>
          <w:lang w:val="en-GB"/>
        </w:rPr>
        <w:t xml:space="preserve"> do not assign conflicting H/S/NA attributes to </w:t>
      </w:r>
      <w:r w:rsidR="00462FE1">
        <w:rPr>
          <w:lang w:val="en-GB"/>
        </w:rPr>
        <w:t>any given resource.</w:t>
      </w:r>
    </w:p>
    <w:p w14:paraId="0B9A5465" w14:textId="716F98F0" w:rsidR="00462FE1" w:rsidRDefault="00462FE1" w:rsidP="00462FE1">
      <w:pPr>
        <w:pStyle w:val="Proposal"/>
        <w:rPr>
          <w:lang w:val="en-GB"/>
        </w:rPr>
      </w:pPr>
      <w:bookmarkStart w:id="102" w:name="_Toc87021762"/>
      <w:bookmarkStart w:id="103" w:name="_Toc87034779"/>
      <w:bookmarkStart w:id="104" w:name="_Toc87034933"/>
      <w:bookmarkStart w:id="105" w:name="_Toc87035713"/>
      <w:bookmarkStart w:id="106" w:name="_Toc87035738"/>
      <w:bookmarkStart w:id="107" w:name="_Toc87036437"/>
      <w:bookmarkStart w:id="108" w:name="_Toc87036780"/>
      <w:bookmarkStart w:id="109" w:name="_Toc87037756"/>
      <w:bookmarkStart w:id="110" w:name="_Toc87037952"/>
      <w:bookmarkStart w:id="111" w:name="_Toc87038105"/>
      <w:bookmarkStart w:id="112" w:name="_Toc87040010"/>
      <w:bookmarkStart w:id="113" w:name="_Toc87040176"/>
      <w:bookmarkStart w:id="114" w:name="_Toc87045006"/>
      <w:r>
        <w:rPr>
          <w:lang w:val="en-GB"/>
        </w:rPr>
        <w:t>Allow multiple frequency-domain H/S/NA configurations for non-overlapping and overlapping RB sets provided that the configurations do not assign conflicting H/S/NA attributes to any given resource.</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6632AF55" w14:textId="77777777" w:rsidR="00DE334A" w:rsidRDefault="00DE334A" w:rsidP="00DE334A">
      <w:pPr>
        <w:rPr>
          <w:lang w:val="en-GB"/>
        </w:rPr>
      </w:pPr>
    </w:p>
    <w:p w14:paraId="309DEC23" w14:textId="45DCFE11" w:rsidR="00DE334A" w:rsidRDefault="00DE334A" w:rsidP="00DE334A">
      <w:pPr>
        <w:rPr>
          <w:lang w:val="en-GB"/>
        </w:rPr>
      </w:pPr>
      <w:r>
        <w:rPr>
          <w:lang w:val="en-GB"/>
        </w:rPr>
        <w:t xml:space="preserve">With </w:t>
      </w:r>
      <w:r w:rsidR="00AE40F7">
        <w:rPr>
          <w:lang w:val="en-GB"/>
        </w:rPr>
        <w:t>regards</w:t>
      </w:r>
      <w:r>
        <w:rPr>
          <w:lang w:val="en-GB"/>
        </w:rPr>
        <w:t xml:space="preserve"> to modifications to use DCI 2-5 for the frequency-domain, the following was agreed in the previous meeting </w:t>
      </w:r>
      <w:r>
        <w:rPr>
          <w:lang w:val="en-GB"/>
        </w:rPr>
        <w:fldChar w:fldCharType="begin"/>
      </w:r>
      <w:r>
        <w:rPr>
          <w:lang w:val="en-GB"/>
        </w:rPr>
        <w:instrText xml:space="preserve"> REF _Ref87005492 \r \h </w:instrText>
      </w:r>
      <w:r>
        <w:rPr>
          <w:lang w:val="en-GB"/>
        </w:rPr>
      </w:r>
      <w:r>
        <w:rPr>
          <w:lang w:val="en-GB"/>
        </w:rPr>
        <w:fldChar w:fldCharType="separate"/>
      </w:r>
      <w:r w:rsidR="009F4637">
        <w:rPr>
          <w:cs/>
          <w:lang w:val="en-GB"/>
        </w:rPr>
        <w:t>‎</w:t>
      </w:r>
      <w:r w:rsidR="009F4637">
        <w:rPr>
          <w:lang w:val="en-GB"/>
        </w:rPr>
        <w:t>[4]</w:t>
      </w:r>
      <w:r>
        <w:rPr>
          <w:lang w:val="en-GB"/>
        </w:rPr>
        <w:fldChar w:fldCharType="end"/>
      </w:r>
      <w:r>
        <w:rPr>
          <w:lang w:val="en-GB"/>
        </w:rPr>
        <w:t>:</w:t>
      </w:r>
    </w:p>
    <w:p w14:paraId="3578C379" w14:textId="77777777" w:rsidR="00DE334A" w:rsidRPr="003B3CA9" w:rsidRDefault="00DE334A" w:rsidP="00DE334A">
      <w:pPr>
        <w:adjustRightInd w:val="0"/>
        <w:snapToGrid w:val="0"/>
        <w:spacing w:before="240" w:after="0"/>
        <w:ind w:left="1267" w:hanging="1267"/>
        <w:jc w:val="both"/>
        <w:rPr>
          <w:rFonts w:asciiTheme="majorBidi" w:hAnsiTheme="majorBidi" w:cstheme="majorBidi"/>
          <w:b/>
          <w:szCs w:val="20"/>
          <w:highlight w:val="green"/>
        </w:rPr>
      </w:pPr>
      <w:r w:rsidRPr="003B3CA9">
        <w:rPr>
          <w:rFonts w:asciiTheme="majorBidi" w:hAnsiTheme="majorBidi" w:cstheme="majorBidi"/>
          <w:b/>
          <w:szCs w:val="20"/>
          <w:highlight w:val="green"/>
        </w:rPr>
        <w:t>Agreement</w:t>
      </w:r>
    </w:p>
    <w:p w14:paraId="74EFBABE" w14:textId="77777777" w:rsidR="00DE334A" w:rsidRPr="009A2601" w:rsidRDefault="00DE334A" w:rsidP="00DE334A">
      <w:pPr>
        <w:rPr>
          <w:rFonts w:asciiTheme="majorBidi" w:hAnsiTheme="majorBidi" w:cstheme="majorBidi"/>
          <w:szCs w:val="20"/>
        </w:rPr>
      </w:pPr>
      <w:r w:rsidRPr="009A2601">
        <w:rPr>
          <w:rStyle w:val="Strong"/>
          <w:rFonts w:asciiTheme="majorBidi" w:hAnsiTheme="majorBidi" w:cstheme="majorBidi"/>
          <w:b w:val="0"/>
          <w:bCs w:val="0"/>
          <w:szCs w:val="20"/>
          <w:lang w:val="sv-SE"/>
        </w:rPr>
        <w:t>A single DCI format 2_5 can be received indicating availability for the soft resources of the respective RB sets corresponding to a given time resource of the child IAB-DU cell.</w:t>
      </w:r>
    </w:p>
    <w:p w14:paraId="2BDBF74C" w14:textId="77777777" w:rsidR="00DE334A" w:rsidRPr="009A2601" w:rsidRDefault="00DE334A" w:rsidP="00DE334A">
      <w:pPr>
        <w:numPr>
          <w:ilvl w:val="0"/>
          <w:numId w:val="38"/>
        </w:numPr>
        <w:spacing w:after="0" w:line="240" w:lineRule="auto"/>
        <w:rPr>
          <w:rFonts w:asciiTheme="majorBidi" w:eastAsia="Times New Roman" w:hAnsiTheme="majorBidi" w:cstheme="majorBidi"/>
          <w:szCs w:val="20"/>
        </w:rPr>
      </w:pPr>
      <w:r w:rsidRPr="009A2601">
        <w:rPr>
          <w:rStyle w:val="Strong"/>
          <w:rFonts w:asciiTheme="majorBidi" w:eastAsia="Times New Roman" w:hAnsiTheme="majorBidi" w:cstheme="majorBidi"/>
          <w:b w:val="0"/>
          <w:bCs w:val="0"/>
          <w:szCs w:val="20"/>
          <w:lang w:val="sv-SE"/>
        </w:rPr>
        <w:t>FFS: Extension of</w:t>
      </w:r>
      <w:r w:rsidRPr="009A2601">
        <w:rPr>
          <w:rStyle w:val="apple-converted-space"/>
          <w:rFonts w:asciiTheme="majorBidi" w:eastAsia="Times New Roman" w:hAnsiTheme="majorBidi" w:cstheme="majorBidi"/>
          <w:szCs w:val="20"/>
          <w:lang w:val="sv-SE"/>
        </w:rPr>
        <w:t> </w:t>
      </w:r>
      <w:r w:rsidRPr="009A2601">
        <w:rPr>
          <w:rStyle w:val="Emphasis"/>
          <w:rFonts w:asciiTheme="majorBidi" w:eastAsia="Times New Roman" w:hAnsiTheme="majorBidi" w:cstheme="majorBidi"/>
          <w:szCs w:val="20"/>
          <w:lang w:val="sv-SE"/>
        </w:rPr>
        <w:t>AvailabiltyCombination</w:t>
      </w:r>
      <w:r w:rsidRPr="009A2601">
        <w:rPr>
          <w:rStyle w:val="apple-converted-space"/>
          <w:rFonts w:asciiTheme="majorBidi" w:eastAsia="Times New Roman" w:hAnsiTheme="majorBidi" w:cstheme="majorBidi"/>
          <w:szCs w:val="20"/>
          <w:lang w:val="sv-SE"/>
        </w:rPr>
        <w:t> </w:t>
      </w:r>
      <w:r w:rsidRPr="009A2601">
        <w:rPr>
          <w:rStyle w:val="Strong"/>
          <w:rFonts w:asciiTheme="majorBidi" w:eastAsia="Times New Roman" w:hAnsiTheme="majorBidi" w:cstheme="majorBidi"/>
          <w:b w:val="0"/>
          <w:bCs w:val="0"/>
          <w:szCs w:val="20"/>
          <w:lang w:val="sv-SE"/>
        </w:rPr>
        <w:t>to include multiple RB sets in a</w:t>
      </w:r>
      <w:r w:rsidRPr="009A2601">
        <w:rPr>
          <w:rStyle w:val="apple-converted-space"/>
          <w:rFonts w:asciiTheme="majorBidi" w:eastAsia="Times New Roman" w:hAnsiTheme="majorBidi" w:cstheme="majorBidi"/>
          <w:szCs w:val="20"/>
          <w:lang w:val="sv-SE"/>
        </w:rPr>
        <w:t> </w:t>
      </w:r>
      <w:r w:rsidRPr="009A2601">
        <w:rPr>
          <w:rStyle w:val="Emphasis"/>
          <w:rFonts w:asciiTheme="majorBidi" w:eastAsia="Times New Roman" w:hAnsiTheme="majorBidi" w:cstheme="majorBidi"/>
          <w:szCs w:val="20"/>
          <w:lang w:val="sv-SE"/>
        </w:rPr>
        <w:t xml:space="preserve">resourceAvailabilty </w:t>
      </w:r>
      <w:r w:rsidRPr="009A2601">
        <w:rPr>
          <w:rStyle w:val="Strong"/>
          <w:rFonts w:asciiTheme="majorBidi" w:eastAsia="Times New Roman" w:hAnsiTheme="majorBidi" w:cstheme="majorBidi"/>
          <w:b w:val="0"/>
          <w:bCs w:val="0"/>
          <w:szCs w:val="20"/>
          <w:lang w:val="sv-SE"/>
        </w:rPr>
        <w:t>indication</w:t>
      </w:r>
    </w:p>
    <w:p w14:paraId="30AAE438" w14:textId="77777777" w:rsidR="00DE334A" w:rsidRPr="009A2601" w:rsidRDefault="00DE334A" w:rsidP="00DE334A">
      <w:pPr>
        <w:numPr>
          <w:ilvl w:val="0"/>
          <w:numId w:val="38"/>
        </w:numPr>
        <w:spacing w:after="0" w:line="240" w:lineRule="auto"/>
        <w:rPr>
          <w:rFonts w:asciiTheme="majorBidi" w:eastAsia="Times New Roman" w:hAnsiTheme="majorBidi" w:cstheme="majorBidi"/>
          <w:szCs w:val="20"/>
        </w:rPr>
      </w:pPr>
      <w:r w:rsidRPr="009A2601">
        <w:rPr>
          <w:rStyle w:val="Strong"/>
          <w:rFonts w:asciiTheme="majorBidi" w:eastAsia="Times New Roman" w:hAnsiTheme="majorBidi" w:cstheme="majorBidi"/>
          <w:b w:val="0"/>
          <w:bCs w:val="0"/>
          <w:szCs w:val="20"/>
          <w:lang w:val="sv-SE"/>
        </w:rPr>
        <w:lastRenderedPageBreak/>
        <w:t>FFS: Update</w:t>
      </w:r>
      <w:r w:rsidRPr="009A2601">
        <w:rPr>
          <w:rStyle w:val="apple-converted-space"/>
          <w:rFonts w:asciiTheme="majorBidi" w:eastAsia="Times New Roman" w:hAnsiTheme="majorBidi" w:cstheme="majorBidi"/>
          <w:i/>
          <w:iCs/>
          <w:szCs w:val="20"/>
          <w:lang w:val="sv-SE"/>
        </w:rPr>
        <w:t> </w:t>
      </w:r>
      <w:r w:rsidRPr="009A2601">
        <w:rPr>
          <w:rStyle w:val="Emphasis"/>
          <w:rFonts w:asciiTheme="majorBidi" w:eastAsia="Times New Roman" w:hAnsiTheme="majorBidi" w:cstheme="majorBidi"/>
          <w:szCs w:val="20"/>
          <w:lang w:val="sv-SE"/>
        </w:rPr>
        <w:t>resourceAvailability</w:t>
      </w:r>
      <w:r w:rsidRPr="009A2601">
        <w:rPr>
          <w:rStyle w:val="apple-converted-space"/>
          <w:rFonts w:asciiTheme="majorBidi" w:eastAsia="Times New Roman" w:hAnsiTheme="majorBidi" w:cstheme="majorBidi"/>
          <w:szCs w:val="20"/>
          <w:lang w:val="sv-SE"/>
        </w:rPr>
        <w:t> </w:t>
      </w:r>
      <w:r w:rsidRPr="009A2601">
        <w:rPr>
          <w:rStyle w:val="Strong"/>
          <w:rFonts w:asciiTheme="majorBidi" w:eastAsia="Times New Roman" w:hAnsiTheme="majorBidi" w:cstheme="majorBidi"/>
          <w:b w:val="0"/>
          <w:bCs w:val="0"/>
          <w:szCs w:val="20"/>
          <w:lang w:val="sv-SE"/>
        </w:rPr>
        <w:t>mapping table defined in TS38.213 so that the indication of availability can be applied over soft resources in frequency-domain for DL or UL or Flexible symbols.</w:t>
      </w:r>
    </w:p>
    <w:p w14:paraId="2702085E" w14:textId="77777777" w:rsidR="00DE334A" w:rsidRPr="009A2601" w:rsidRDefault="00DE334A" w:rsidP="00DE334A">
      <w:pPr>
        <w:numPr>
          <w:ilvl w:val="0"/>
          <w:numId w:val="38"/>
        </w:numPr>
        <w:spacing w:after="0" w:line="240" w:lineRule="auto"/>
        <w:rPr>
          <w:rFonts w:asciiTheme="majorBidi" w:eastAsia="Times New Roman" w:hAnsiTheme="majorBidi" w:cstheme="majorBidi"/>
          <w:szCs w:val="20"/>
        </w:rPr>
      </w:pPr>
      <w:r w:rsidRPr="009A2601">
        <w:rPr>
          <w:rStyle w:val="Strong"/>
          <w:rFonts w:asciiTheme="majorBidi" w:eastAsia="Times New Roman" w:hAnsiTheme="majorBidi" w:cstheme="majorBidi"/>
          <w:b w:val="0"/>
          <w:bCs w:val="0"/>
          <w:szCs w:val="20"/>
          <w:lang w:val="sv-SE"/>
        </w:rPr>
        <w:t>FFS:</w:t>
      </w:r>
      <w:r w:rsidRPr="009A2601">
        <w:rPr>
          <w:rStyle w:val="apple-converted-space"/>
          <w:rFonts w:asciiTheme="majorBidi" w:eastAsia="Times New Roman" w:hAnsiTheme="majorBidi" w:cstheme="majorBidi"/>
          <w:szCs w:val="20"/>
          <w:lang w:val="sv-SE"/>
        </w:rPr>
        <w:t> </w:t>
      </w:r>
      <w:r w:rsidRPr="009A2601">
        <w:rPr>
          <w:rStyle w:val="Strong"/>
          <w:rFonts w:asciiTheme="majorBidi" w:eastAsia="Times New Roman" w:hAnsiTheme="majorBidi" w:cstheme="majorBidi"/>
          <w:b w:val="0"/>
          <w:bCs w:val="0"/>
          <w:szCs w:val="20"/>
          <w:lang w:val="sv-SE"/>
        </w:rPr>
        <w:t>Need for extension</w:t>
      </w:r>
      <w:r w:rsidRPr="009A2601">
        <w:rPr>
          <w:rStyle w:val="apple-converted-space"/>
          <w:rFonts w:asciiTheme="majorBidi" w:eastAsia="Times New Roman" w:hAnsiTheme="majorBidi" w:cstheme="majorBidi"/>
          <w:szCs w:val="20"/>
          <w:lang w:val="sv-SE"/>
        </w:rPr>
        <w:t> </w:t>
      </w:r>
      <w:r w:rsidRPr="009A2601">
        <w:rPr>
          <w:rStyle w:val="Strong"/>
          <w:rFonts w:asciiTheme="majorBidi" w:eastAsia="Times New Roman" w:hAnsiTheme="majorBidi" w:cstheme="majorBidi"/>
          <w:b w:val="0"/>
          <w:bCs w:val="0"/>
          <w:szCs w:val="2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7DB87B58" w14:textId="77777777" w:rsidR="00DE334A" w:rsidRDefault="00DE334A" w:rsidP="00DE334A">
      <w:pPr>
        <w:rPr>
          <w:lang w:val="en-GB"/>
        </w:rPr>
      </w:pPr>
    </w:p>
    <w:p w14:paraId="1407D7B1" w14:textId="417D4478" w:rsidR="00DE334A" w:rsidRDefault="00DE334A" w:rsidP="00DE334A">
      <w:pPr>
        <w:rPr>
          <w:lang w:val="en-GB"/>
        </w:rPr>
      </w:pPr>
      <w:r>
        <w:rPr>
          <w:lang w:val="en-GB"/>
        </w:rPr>
        <w:t>The existing format for the time domain may be extended to the frequency domain, wherein the unit of one slot is replaced by a unit of an RB set (N PRBs). Higher layer configurations may follow a similar extension (AI combinations, etc.) to reduce standardization efforts.</w:t>
      </w:r>
    </w:p>
    <w:p w14:paraId="0BEA571A" w14:textId="77777777" w:rsidR="00DE334A" w:rsidRDefault="00DE334A" w:rsidP="00DE334A">
      <w:pPr>
        <w:rPr>
          <w:lang w:val="en-GB"/>
        </w:rPr>
      </w:pPr>
      <w:r>
        <w:rPr>
          <w:lang w:val="en-GB"/>
        </w:rPr>
        <w:t>Furthermore, DCI 2-5 for time and frequency domains may be transmitted separately, but applied jointly, similar to the principle explained for configurations. That simplifies the process and increases flexibility, again at a small cost of applying a simple rule, e.g., a resource that is configured soft in both domains is considered ‘available’ only if indicated ‘available’ in either or both domains.</w:t>
      </w:r>
    </w:p>
    <w:p w14:paraId="381C43F5" w14:textId="77777777" w:rsidR="00DE334A" w:rsidRDefault="00DE334A" w:rsidP="00DE334A">
      <w:pPr>
        <w:pStyle w:val="Proposal"/>
        <w:rPr>
          <w:lang w:val="en-GB"/>
        </w:rPr>
      </w:pPr>
      <w:bookmarkStart w:id="115" w:name="_Toc79157020"/>
      <w:bookmarkStart w:id="116" w:name="_Toc79157212"/>
      <w:bookmarkStart w:id="117" w:name="_Toc79159802"/>
      <w:bookmarkStart w:id="118" w:name="_Toc79177823"/>
      <w:bookmarkStart w:id="119" w:name="_Toc83997380"/>
      <w:bookmarkStart w:id="120" w:name="_Toc84007476"/>
      <w:bookmarkStart w:id="121" w:name="_Toc84018535"/>
      <w:bookmarkStart w:id="122" w:name="_Toc87021764"/>
      <w:bookmarkStart w:id="123" w:name="_Toc87034781"/>
      <w:bookmarkStart w:id="124" w:name="_Toc87034935"/>
      <w:bookmarkStart w:id="125" w:name="_Toc87035715"/>
      <w:bookmarkStart w:id="126" w:name="_Toc87035740"/>
      <w:bookmarkStart w:id="127" w:name="_Toc87036438"/>
      <w:bookmarkStart w:id="128" w:name="_Toc87036781"/>
      <w:bookmarkStart w:id="129" w:name="_Toc87037757"/>
      <w:bookmarkStart w:id="130" w:name="_Toc87037953"/>
      <w:bookmarkStart w:id="131" w:name="_Toc87038106"/>
      <w:bookmarkStart w:id="132" w:name="_Toc87040011"/>
      <w:bookmarkStart w:id="133" w:name="_Toc87040177"/>
      <w:bookmarkStart w:id="134" w:name="_Toc87045007"/>
      <w:r>
        <w:rPr>
          <w:lang w:val="en-GB"/>
        </w:rPr>
        <w:t>Extend DCI 2-5 for frequency-domain availability indication by allowing a unit of N PRBs in addition to the unit of 1 slot.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B2DE5C8" w14:textId="77777777" w:rsidR="00BD5D54" w:rsidRDefault="00BD5D54" w:rsidP="006120D1">
      <w:pPr>
        <w:rPr>
          <w:lang w:val="en-GB"/>
        </w:rPr>
      </w:pPr>
    </w:p>
    <w:p w14:paraId="04981C06" w14:textId="23C82A2C" w:rsidR="006A3AC9" w:rsidRDefault="006A3AC9" w:rsidP="006120D1">
      <w:pPr>
        <w:rPr>
          <w:lang w:val="en-GB"/>
        </w:rPr>
      </w:pPr>
      <w:r>
        <w:rPr>
          <w:lang w:val="en-GB"/>
        </w:rPr>
        <w:t xml:space="preserve">Next, an issue related to soft resource </w:t>
      </w:r>
      <w:r w:rsidR="006038AE">
        <w:rPr>
          <w:lang w:val="en-GB"/>
        </w:rPr>
        <w:t>availability</w:t>
      </w:r>
      <w:r>
        <w:rPr>
          <w:lang w:val="en-GB"/>
        </w:rPr>
        <w:t xml:space="preserve"> indication is discussed.</w:t>
      </w:r>
    </w:p>
    <w:p w14:paraId="20758501" w14:textId="7CEF54E0" w:rsidR="006120D1" w:rsidRPr="00453FE0" w:rsidRDefault="006120D1" w:rsidP="006120D1">
      <w:pPr>
        <w:rPr>
          <w:lang w:val="en-GB"/>
        </w:rPr>
      </w:pPr>
      <w:r w:rsidRPr="00453FE0">
        <w:rPr>
          <w:lang w:val="en-GB"/>
        </w:rPr>
        <w:t xml:space="preserve">In IAB Rel-16, it was specified to allow the IAB-DU to use a soft </w:t>
      </w:r>
      <w:r w:rsidR="00552EC0" w:rsidRPr="00453FE0">
        <w:rPr>
          <w:lang w:val="en-GB"/>
        </w:rPr>
        <w:t>symbol</w:t>
      </w:r>
      <w:r w:rsidRPr="00453FE0">
        <w:rPr>
          <w:lang w:val="en-GB"/>
        </w:rPr>
        <w:t xml:space="preserve"> only if</w:t>
      </w:r>
    </w:p>
    <w:p w14:paraId="577C4BE2" w14:textId="39D2F876" w:rsidR="006120D1" w:rsidRPr="00453FE0" w:rsidRDefault="006120D1" w:rsidP="00B05C5E">
      <w:pPr>
        <w:pStyle w:val="B1"/>
        <w:numPr>
          <w:ilvl w:val="0"/>
          <w:numId w:val="9"/>
        </w:numPr>
        <w:rPr>
          <w:i/>
          <w:iCs/>
        </w:rPr>
      </w:pPr>
      <w:r w:rsidRPr="00453FE0">
        <w:rPr>
          <w:i/>
          <w:iCs/>
        </w:rPr>
        <w:t>the IAB-MT does not transmit or receive in the symbol, or</w:t>
      </w:r>
    </w:p>
    <w:p w14:paraId="5677F2BE" w14:textId="2A6EB0FC" w:rsidR="006120D1" w:rsidRPr="00453FE0" w:rsidRDefault="006120D1" w:rsidP="00B05C5E">
      <w:pPr>
        <w:pStyle w:val="B1"/>
        <w:numPr>
          <w:ilvl w:val="0"/>
          <w:numId w:val="9"/>
        </w:numPr>
        <w:rPr>
          <w:i/>
          <w:iCs/>
        </w:rPr>
      </w:pPr>
      <w:r w:rsidRPr="00453FE0">
        <w:rPr>
          <w:i/>
          <w:iCs/>
        </w:rPr>
        <w:t>the IAB-MT would transmit or receive in the symbol, and the transmission or reception in the symbol is not changed due to a use of the symbol by the IAB-DU, or</w:t>
      </w:r>
    </w:p>
    <w:p w14:paraId="52A85477" w14:textId="54101567" w:rsidR="006120D1" w:rsidRPr="00453FE0" w:rsidRDefault="006120D1" w:rsidP="00B05C5E">
      <w:pPr>
        <w:pStyle w:val="B1"/>
        <w:numPr>
          <w:ilvl w:val="0"/>
          <w:numId w:val="9"/>
        </w:numPr>
        <w:rPr>
          <w:i/>
          <w:iCs/>
        </w:rPr>
      </w:pPr>
      <w:r w:rsidRPr="00453FE0">
        <w:rPr>
          <w:i/>
          <w:iCs/>
        </w:rPr>
        <w:t>the IAB-MT detects a DCI format 2_5 with an AI index field value indicating the soft symbol as available.</w:t>
      </w:r>
    </w:p>
    <w:p w14:paraId="1EBD3339" w14:textId="453B30CE" w:rsidR="006120D1" w:rsidRPr="00453FE0" w:rsidRDefault="006120D1" w:rsidP="006120D1">
      <w:pPr>
        <w:rPr>
          <w:lang w:val="en-GB"/>
        </w:rPr>
      </w:pPr>
      <w:r w:rsidRPr="00453FE0">
        <w:rPr>
          <w:lang w:val="en-GB"/>
        </w:rPr>
        <w:t xml:space="preserve">The first condition is for IAB nodes capable of performing TDM only. The second condition is applicable to enhanced IAB nodes capable of FDM and/or SDM to perform non-TDM multiplexing on a </w:t>
      </w:r>
      <w:r w:rsidR="00377A0F" w:rsidRPr="00453FE0">
        <w:rPr>
          <w:lang w:val="en-GB"/>
        </w:rPr>
        <w:t>‘</w:t>
      </w:r>
      <w:r w:rsidRPr="00453FE0">
        <w:rPr>
          <w:lang w:val="en-GB"/>
        </w:rPr>
        <w:t>best-effort</w:t>
      </w:r>
      <w:r w:rsidR="00377A0F" w:rsidRPr="00453FE0">
        <w:rPr>
          <w:lang w:val="en-GB"/>
        </w:rPr>
        <w:t>’</w:t>
      </w:r>
      <w:r w:rsidRPr="00453FE0">
        <w:rPr>
          <w:lang w:val="en-GB"/>
        </w:rPr>
        <w:t xml:space="preserve"> basis. The third condition allows the IAB node to use resources for communication with a child node without a concern for multiplexing constraints.</w:t>
      </w:r>
    </w:p>
    <w:p w14:paraId="38326CA7" w14:textId="77777777" w:rsidR="00D04718" w:rsidRDefault="006120D1" w:rsidP="006120D1">
      <w:pPr>
        <w:rPr>
          <w:lang w:val="en-GB"/>
        </w:rPr>
      </w:pPr>
      <w:r w:rsidRPr="00453FE0">
        <w:rPr>
          <w:lang w:val="en-GB"/>
        </w:rPr>
        <w:t>The above specification works well for TDM between upstream and downstream communications – the IAB node receives explicit indication of availability of soft resources in a guaranteed manner, while it can still perform non-TDM multiplexing based on a best-effort approach.</w:t>
      </w:r>
    </w:p>
    <w:p w14:paraId="5B62CAF3" w14:textId="1D641D6E" w:rsidR="006120D1" w:rsidRPr="00453FE0" w:rsidRDefault="006120D1" w:rsidP="006120D1">
      <w:pPr>
        <w:rPr>
          <w:lang w:val="en-GB"/>
        </w:rPr>
      </w:pPr>
      <w:r w:rsidRPr="00453FE0">
        <w:rPr>
          <w:lang w:val="en-GB"/>
        </w:rPr>
        <w:t xml:space="preserve">That, however, is not sufficient for </w:t>
      </w:r>
      <w:r w:rsidR="00997A5C">
        <w:rPr>
          <w:lang w:val="en-GB"/>
        </w:rPr>
        <w:t xml:space="preserve">a guaranteed performance with </w:t>
      </w:r>
      <w:r w:rsidRPr="00453FE0">
        <w:rPr>
          <w:lang w:val="en-GB"/>
        </w:rPr>
        <w:t>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7810C3C9" w14:textId="77777777" w:rsidR="006120D1" w:rsidRPr="00453FE0" w:rsidRDefault="006120D1" w:rsidP="006120D1">
      <w:pPr>
        <w:pStyle w:val="Observation"/>
      </w:pPr>
      <w:bookmarkStart w:id="135" w:name="_Toc61541141"/>
      <w:bookmarkStart w:id="136" w:name="_Toc61541301"/>
      <w:bookmarkStart w:id="137" w:name="_Toc61544527"/>
      <w:bookmarkStart w:id="138" w:name="_Toc61544619"/>
      <w:bookmarkStart w:id="139" w:name="_Toc61544625"/>
      <w:bookmarkStart w:id="140" w:name="_Toc61544696"/>
      <w:bookmarkStart w:id="141" w:name="_Toc61547537"/>
      <w:bookmarkStart w:id="142" w:name="_Toc61559096"/>
      <w:bookmarkStart w:id="143" w:name="_Toc61559319"/>
      <w:bookmarkStart w:id="144" w:name="_Toc61854477"/>
      <w:bookmarkStart w:id="145" w:name="_Toc61895527"/>
      <w:bookmarkStart w:id="146" w:name="_Toc61895645"/>
      <w:bookmarkStart w:id="147" w:name="_Toc68553147"/>
      <w:bookmarkStart w:id="148" w:name="_Toc68604758"/>
      <w:bookmarkStart w:id="149" w:name="_Toc68608868"/>
      <w:bookmarkStart w:id="150" w:name="_Toc68611502"/>
      <w:bookmarkStart w:id="151" w:name="_Toc68621486"/>
      <w:bookmarkStart w:id="152" w:name="_Toc68645550"/>
      <w:bookmarkStart w:id="153" w:name="_Toc71627790"/>
      <w:bookmarkStart w:id="154" w:name="_Toc71627842"/>
      <w:bookmarkStart w:id="155" w:name="_Toc71631388"/>
      <w:bookmarkStart w:id="156" w:name="_Toc71634728"/>
      <w:bookmarkStart w:id="157" w:name="_Toc71665419"/>
      <w:bookmarkStart w:id="158" w:name="_Toc79157011"/>
      <w:bookmarkStart w:id="159" w:name="_Toc79159797"/>
      <w:bookmarkStart w:id="160" w:name="_Toc83997374"/>
      <w:bookmarkStart w:id="161" w:name="_Toc84007470"/>
      <w:bookmarkStart w:id="162" w:name="_Toc84018529"/>
      <w:bookmarkStart w:id="163" w:name="_Toc87021758"/>
      <w:bookmarkStart w:id="164" w:name="_Toc87034775"/>
      <w:bookmarkStart w:id="165" w:name="_Toc87034929"/>
      <w:bookmarkStart w:id="166" w:name="_Toc87035709"/>
      <w:bookmarkStart w:id="167" w:name="_Toc87035734"/>
      <w:bookmarkStart w:id="168" w:name="_Toc87036433"/>
      <w:bookmarkStart w:id="169" w:name="_Toc87036776"/>
      <w:bookmarkStart w:id="170" w:name="_Toc87037752"/>
      <w:bookmarkStart w:id="171" w:name="_Toc87037948"/>
      <w:bookmarkStart w:id="172" w:name="_Toc87038101"/>
      <w:bookmarkStart w:id="173" w:name="_Toc87040006"/>
      <w:bookmarkStart w:id="174" w:name="_Toc87040170"/>
      <w:bookmarkStart w:id="175" w:name="_Toc87044999"/>
      <w:r w:rsidRPr="00453FE0">
        <w:t>The best-effort approach is insufficient for non-TDM operation in the presence of varying beam, power, interference, and timing alignment constraints.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633EB5C" w14:textId="77777777" w:rsidR="006120D1" w:rsidRPr="00453FE0" w:rsidRDefault="006120D1" w:rsidP="006120D1">
      <w:pPr>
        <w:pStyle w:val="Observation"/>
      </w:pPr>
      <w:bookmarkStart w:id="176" w:name="_Toc61541142"/>
      <w:bookmarkStart w:id="177" w:name="_Toc61541302"/>
      <w:bookmarkStart w:id="178" w:name="_Toc61544528"/>
      <w:bookmarkStart w:id="179" w:name="_Toc61544620"/>
      <w:bookmarkStart w:id="180" w:name="_Toc61544626"/>
      <w:bookmarkStart w:id="181" w:name="_Toc61544697"/>
      <w:bookmarkStart w:id="182" w:name="_Toc61547538"/>
      <w:bookmarkStart w:id="183" w:name="_Toc61559097"/>
      <w:bookmarkStart w:id="184" w:name="_Toc61559320"/>
      <w:bookmarkStart w:id="185" w:name="_Toc61854478"/>
      <w:bookmarkStart w:id="186" w:name="_Toc61895528"/>
      <w:bookmarkStart w:id="187" w:name="_Toc61895646"/>
      <w:bookmarkStart w:id="188" w:name="_Toc68553148"/>
      <w:bookmarkStart w:id="189" w:name="_Toc68604759"/>
      <w:bookmarkStart w:id="190" w:name="_Toc68608869"/>
      <w:bookmarkStart w:id="191" w:name="_Toc68611503"/>
      <w:bookmarkStart w:id="192" w:name="_Toc68621487"/>
      <w:bookmarkStart w:id="193" w:name="_Toc68645551"/>
      <w:bookmarkStart w:id="194" w:name="_Toc71627791"/>
      <w:bookmarkStart w:id="195" w:name="_Toc71627843"/>
      <w:bookmarkStart w:id="196" w:name="_Toc71631389"/>
      <w:bookmarkStart w:id="197" w:name="_Toc71634729"/>
      <w:bookmarkStart w:id="198" w:name="_Toc71665420"/>
      <w:bookmarkStart w:id="199" w:name="_Toc79157012"/>
      <w:bookmarkStart w:id="200" w:name="_Toc79159798"/>
      <w:bookmarkStart w:id="201" w:name="_Toc83997375"/>
      <w:bookmarkStart w:id="202" w:name="_Toc84007471"/>
      <w:bookmarkStart w:id="203" w:name="_Toc84018530"/>
      <w:bookmarkStart w:id="204" w:name="_Toc87021759"/>
      <w:bookmarkStart w:id="205" w:name="_Toc87034776"/>
      <w:bookmarkStart w:id="206" w:name="_Toc87034930"/>
      <w:bookmarkStart w:id="207" w:name="_Toc87035710"/>
      <w:bookmarkStart w:id="208" w:name="_Toc87035735"/>
      <w:bookmarkStart w:id="209" w:name="_Toc87036434"/>
      <w:bookmarkStart w:id="210" w:name="_Toc87036777"/>
      <w:bookmarkStart w:id="211" w:name="_Toc87037753"/>
      <w:bookmarkStart w:id="212" w:name="_Toc87037949"/>
      <w:bookmarkStart w:id="213" w:name="_Toc87038102"/>
      <w:bookmarkStart w:id="214" w:name="_Toc87040007"/>
      <w:bookmarkStart w:id="215" w:name="_Toc87040171"/>
      <w:bookmarkStart w:id="216" w:name="_Toc87045000"/>
      <w:r w:rsidRPr="00453FE0">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7ECBE4" w14:textId="7A838C3B" w:rsidR="003D1529" w:rsidRPr="00453FE0" w:rsidRDefault="006120D1" w:rsidP="006120D1">
      <w:pPr>
        <w:rPr>
          <w:lang w:val="en-GB"/>
        </w:rPr>
      </w:pPr>
      <w:r w:rsidRPr="00453FE0">
        <w:rPr>
          <w:lang w:val="en-GB"/>
        </w:rPr>
        <w:t xml:space="preserve">Therefore, we propose to </w:t>
      </w:r>
      <w:r w:rsidR="005A2219" w:rsidRPr="00453FE0">
        <w:rPr>
          <w:lang w:val="en-GB"/>
        </w:rPr>
        <w:t xml:space="preserve">support availability indication of soft resources </w:t>
      </w:r>
      <w:r w:rsidRPr="00453FE0">
        <w:rPr>
          <w:lang w:val="en-GB"/>
        </w:rPr>
        <w:t>where</w:t>
      </w:r>
      <w:r w:rsidR="00552EC0" w:rsidRPr="00453FE0">
        <w:rPr>
          <w:lang w:val="en-GB"/>
        </w:rPr>
        <w:t>by</w:t>
      </w:r>
      <w:r w:rsidRPr="00453FE0">
        <w:rPr>
          <w:lang w:val="en-GB"/>
        </w:rPr>
        <w:t xml:space="preserve"> the IAB node can use </w:t>
      </w:r>
      <w:r w:rsidR="005A2219" w:rsidRPr="00453FE0">
        <w:rPr>
          <w:lang w:val="en-GB"/>
        </w:rPr>
        <w:t xml:space="preserve">the </w:t>
      </w:r>
      <w:r w:rsidRPr="00453FE0">
        <w:rPr>
          <w:lang w:val="en-GB"/>
        </w:rPr>
        <w:t xml:space="preserve">soft resources only </w:t>
      </w:r>
      <w:r w:rsidR="00552EC0" w:rsidRPr="00453FE0">
        <w:rPr>
          <w:lang w:val="en-GB"/>
        </w:rPr>
        <w:t>when</w:t>
      </w:r>
      <w:r w:rsidRPr="00453FE0">
        <w:rPr>
          <w:lang w:val="en-GB"/>
        </w:rPr>
        <w:t xml:space="preserve"> it is able to perform non-TDM with an IAB-MT operation.</w:t>
      </w:r>
    </w:p>
    <w:p w14:paraId="5B9C4AE8" w14:textId="58EB6598" w:rsidR="00AA5F24" w:rsidRDefault="006120D1" w:rsidP="00AA5F24">
      <w:pPr>
        <w:pStyle w:val="Proposal"/>
        <w:rPr>
          <w:lang w:val="en-GB"/>
        </w:rPr>
      </w:pPr>
      <w:bookmarkStart w:id="217" w:name="_Toc61541285"/>
      <w:bookmarkStart w:id="218" w:name="_Toc61541337"/>
      <w:bookmarkStart w:id="219" w:name="_Toc61544628"/>
      <w:bookmarkStart w:id="220" w:name="_Toc61547545"/>
      <w:bookmarkStart w:id="221" w:name="_Toc61559090"/>
      <w:bookmarkStart w:id="222" w:name="_Toc61559327"/>
      <w:bookmarkStart w:id="223" w:name="_Toc61854473"/>
      <w:bookmarkStart w:id="224" w:name="_Toc61858380"/>
      <w:bookmarkStart w:id="225" w:name="_Toc61858814"/>
      <w:bookmarkStart w:id="226" w:name="_Toc61859145"/>
      <w:bookmarkStart w:id="227" w:name="_Toc61895539"/>
      <w:bookmarkStart w:id="228" w:name="_Toc61895641"/>
      <w:bookmarkStart w:id="229" w:name="_Toc68553152"/>
      <w:bookmarkStart w:id="230" w:name="_Toc68604763"/>
      <w:bookmarkStart w:id="231" w:name="_Toc68608874"/>
      <w:bookmarkStart w:id="232" w:name="_Toc68611506"/>
      <w:bookmarkStart w:id="233" w:name="_Toc68621471"/>
      <w:bookmarkStart w:id="234" w:name="_Toc68645542"/>
      <w:bookmarkStart w:id="235" w:name="_Toc71627797"/>
      <w:bookmarkStart w:id="236" w:name="_Toc71627847"/>
      <w:bookmarkStart w:id="237" w:name="_Toc71631393"/>
      <w:bookmarkStart w:id="238" w:name="_Toc71634733"/>
      <w:bookmarkStart w:id="239" w:name="_Toc71639079"/>
      <w:bookmarkStart w:id="240" w:name="_Toc71642078"/>
      <w:bookmarkStart w:id="241" w:name="_Toc71648831"/>
      <w:bookmarkStart w:id="242" w:name="_Toc71649581"/>
      <w:bookmarkStart w:id="243" w:name="_Toc71665426"/>
      <w:bookmarkStart w:id="244" w:name="_Toc71665675"/>
      <w:bookmarkStart w:id="245" w:name="_Toc71666694"/>
      <w:bookmarkStart w:id="246" w:name="_Toc79157019"/>
      <w:bookmarkStart w:id="247" w:name="_Toc79157211"/>
      <w:bookmarkStart w:id="248" w:name="_Toc79159801"/>
      <w:bookmarkStart w:id="249" w:name="_Toc79177822"/>
      <w:bookmarkStart w:id="250" w:name="_Toc83997379"/>
      <w:bookmarkStart w:id="251" w:name="_Toc84007475"/>
      <w:bookmarkStart w:id="252" w:name="_Toc84018534"/>
      <w:bookmarkStart w:id="253" w:name="_Toc87021763"/>
      <w:bookmarkStart w:id="254" w:name="_Toc87034780"/>
      <w:bookmarkStart w:id="255" w:name="_Toc87034934"/>
      <w:bookmarkStart w:id="256" w:name="_Toc87035714"/>
      <w:bookmarkStart w:id="257" w:name="_Toc87035739"/>
      <w:bookmarkStart w:id="258" w:name="_Toc87036439"/>
      <w:bookmarkStart w:id="259" w:name="_Toc87036782"/>
      <w:bookmarkStart w:id="260" w:name="_Toc87037758"/>
      <w:bookmarkStart w:id="261" w:name="_Toc87037954"/>
      <w:bookmarkStart w:id="262" w:name="_Toc87038107"/>
      <w:bookmarkStart w:id="263" w:name="_Toc87040012"/>
      <w:bookmarkStart w:id="264" w:name="_Toc87040178"/>
      <w:bookmarkStart w:id="265" w:name="_Toc87045008"/>
      <w:r w:rsidRPr="00453FE0">
        <w:rPr>
          <w:lang w:val="en-GB"/>
        </w:rPr>
        <w:t xml:space="preserve">Support conditional availability indication as a </w:t>
      </w:r>
      <w:r w:rsidR="00163EAD" w:rsidRPr="00453FE0">
        <w:rPr>
          <w:lang w:val="en-GB"/>
        </w:rPr>
        <w:t xml:space="preserve">balance </w:t>
      </w:r>
      <w:r w:rsidRPr="00453FE0">
        <w:rPr>
          <w:lang w:val="en-GB"/>
        </w:rPr>
        <w:t xml:space="preserve">between </w:t>
      </w:r>
      <w:r w:rsidR="003E363C" w:rsidRPr="00453FE0">
        <w:rPr>
          <w:lang w:val="en-GB"/>
        </w:rPr>
        <w:t xml:space="preserve">existing </w:t>
      </w:r>
      <w:r w:rsidRPr="00453FE0">
        <w:rPr>
          <w:lang w:val="en-GB"/>
        </w:rPr>
        <w:t xml:space="preserve">best-effort non-TDM </w:t>
      </w:r>
      <w:r w:rsidR="003E363C" w:rsidRPr="00453FE0">
        <w:rPr>
          <w:lang w:val="en-GB"/>
        </w:rPr>
        <w:t xml:space="preserve">and TDM-only </w:t>
      </w:r>
      <w:r w:rsidRPr="00453FE0">
        <w:rPr>
          <w:lang w:val="en-GB"/>
        </w:rPr>
        <w:t>availability indication.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C10435E" w14:textId="77777777" w:rsidR="00EF2883" w:rsidRPr="00EF2883" w:rsidRDefault="00EF2883" w:rsidP="00EF2883">
      <w:pPr>
        <w:rPr>
          <w:lang w:val="en-GB"/>
        </w:rPr>
      </w:pPr>
    </w:p>
    <w:p w14:paraId="0B2AB82A" w14:textId="77777777" w:rsidR="00DD1C2A" w:rsidRDefault="00DD1C2A" w:rsidP="00DD1C2A">
      <w:pPr>
        <w:pStyle w:val="Heading2"/>
      </w:pPr>
      <w:r>
        <w:lastRenderedPageBreak/>
        <w:t>Spatial domain</w:t>
      </w:r>
    </w:p>
    <w:p w14:paraId="1677D9CA" w14:textId="0453AF32" w:rsidR="00C5218E" w:rsidRPr="00C5218E" w:rsidRDefault="00DD1C2A" w:rsidP="00C5218E">
      <w:pPr>
        <w:rPr>
          <w:lang w:val="en-GB"/>
        </w:rPr>
      </w:pPr>
      <w:r>
        <w:rPr>
          <w:lang w:val="en-GB"/>
        </w:rPr>
        <w:t xml:space="preserve">Discussion on spatial-domain enhancements </w:t>
      </w:r>
      <w:r w:rsidR="00157A61">
        <w:rPr>
          <w:lang w:val="en-GB"/>
        </w:rPr>
        <w:t xml:space="preserve">for </w:t>
      </w:r>
      <w:r w:rsidR="006038AE">
        <w:rPr>
          <w:lang w:val="en-GB"/>
        </w:rPr>
        <w:t>simultaneous</w:t>
      </w:r>
      <w:r w:rsidR="00157A61">
        <w:rPr>
          <w:lang w:val="en-GB"/>
        </w:rPr>
        <w:t xml:space="preserve"> operations </w:t>
      </w:r>
      <w:r>
        <w:rPr>
          <w:lang w:val="en-GB"/>
        </w:rPr>
        <w:t xml:space="preserve">led to </w:t>
      </w:r>
      <w:r w:rsidR="001E5A63">
        <w:rPr>
          <w:lang w:val="en-GB"/>
        </w:rPr>
        <w:t>several</w:t>
      </w:r>
      <w:r>
        <w:rPr>
          <w:lang w:val="en-GB"/>
        </w:rPr>
        <w:t xml:space="preserve"> agreement</w:t>
      </w:r>
      <w:r w:rsidR="00245F7B">
        <w:rPr>
          <w:lang w:val="en-GB"/>
        </w:rPr>
        <w:t>s</w:t>
      </w:r>
      <w:r w:rsidR="001E5A63">
        <w:rPr>
          <w:lang w:val="en-GB"/>
        </w:rPr>
        <w:t xml:space="preserve"> in the </w:t>
      </w:r>
      <w:r w:rsidR="00B36B4F">
        <w:rPr>
          <w:lang w:val="en-GB"/>
        </w:rPr>
        <w:t xml:space="preserve">RAN1#106-bis-e </w:t>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9F4637">
        <w:rPr>
          <w:cs/>
          <w:lang w:val="en-GB"/>
        </w:rPr>
        <w:t>‎</w:t>
      </w:r>
      <w:r w:rsidR="009F4637">
        <w:rPr>
          <w:lang w:val="en-GB"/>
        </w:rPr>
        <w:t>[2]</w:t>
      </w:r>
      <w:r w:rsidR="00C477CC">
        <w:rPr>
          <w:lang w:val="en-GB"/>
        </w:rPr>
        <w:fldChar w:fldCharType="end"/>
      </w:r>
      <w:r w:rsidR="008E2EAD">
        <w:rPr>
          <w:lang w:val="en-GB"/>
        </w:rPr>
        <w:fldChar w:fldCharType="begin"/>
      </w:r>
      <w:r w:rsidR="008E2EAD">
        <w:rPr>
          <w:lang w:val="en-GB"/>
        </w:rPr>
        <w:instrText xml:space="preserve"> REF _Ref87005492 \r \h </w:instrText>
      </w:r>
      <w:r w:rsidR="008E2EAD">
        <w:rPr>
          <w:lang w:val="en-GB"/>
        </w:rPr>
      </w:r>
      <w:r w:rsidR="008E2EAD">
        <w:rPr>
          <w:lang w:val="en-GB"/>
        </w:rPr>
        <w:fldChar w:fldCharType="separate"/>
      </w:r>
      <w:r w:rsidR="009F4637">
        <w:rPr>
          <w:cs/>
          <w:lang w:val="en-GB"/>
        </w:rPr>
        <w:t>‎</w:t>
      </w:r>
      <w:r w:rsidR="009F4637">
        <w:rPr>
          <w:lang w:val="en-GB"/>
        </w:rPr>
        <w:t>[4]</w:t>
      </w:r>
      <w:r w:rsidR="008E2EAD">
        <w:rPr>
          <w:lang w:val="en-GB"/>
        </w:rPr>
        <w:fldChar w:fldCharType="end"/>
      </w:r>
      <w:r w:rsidR="000D4BC5">
        <w:rPr>
          <w:lang w:val="en-GB"/>
        </w:rPr>
        <w:t>:</w:t>
      </w:r>
    </w:p>
    <w:p w14:paraId="362CF75C" w14:textId="77777777" w:rsidR="00C5218E" w:rsidRPr="00EF2883" w:rsidRDefault="00C5218E" w:rsidP="00C5218E">
      <w:pPr>
        <w:rPr>
          <w:rFonts w:asciiTheme="majorBidi" w:hAnsiTheme="majorBidi" w:cstheme="majorBidi"/>
          <w:szCs w:val="20"/>
          <w:highlight w:val="green"/>
        </w:rPr>
      </w:pPr>
      <w:r w:rsidRPr="00EF2883">
        <w:rPr>
          <w:rFonts w:asciiTheme="majorBidi" w:hAnsiTheme="majorBidi" w:cstheme="majorBidi"/>
          <w:szCs w:val="20"/>
          <w:highlight w:val="green"/>
        </w:rPr>
        <w:t>Agreement</w:t>
      </w:r>
    </w:p>
    <w:p w14:paraId="761A6740" w14:textId="77777777" w:rsidR="00C5218E" w:rsidRPr="00EF2883" w:rsidRDefault="00C5218E" w:rsidP="00C5218E">
      <w:pPr>
        <w:rPr>
          <w:rFonts w:asciiTheme="majorBidi" w:hAnsiTheme="majorBidi" w:cstheme="majorBidi"/>
          <w:szCs w:val="20"/>
          <w:lang w:val="sv-SE"/>
        </w:rPr>
      </w:pPr>
      <w:r w:rsidRPr="00EF2883">
        <w:rPr>
          <w:rStyle w:val="Strong"/>
          <w:rFonts w:asciiTheme="majorBidi" w:hAnsiTheme="majorBidi" w:cstheme="majorBidi"/>
          <w:b w:val="0"/>
          <w:bCs w:val="0"/>
          <w:szCs w:val="20"/>
          <w:lang w:val="sv-SE"/>
        </w:rPr>
        <w:t>RS ID, based on the IAB node’s DU configurations, is used by a parent node to indicate beams of an IAB-DU in the direction of which simultaneous operation is restricted</w:t>
      </w:r>
    </w:p>
    <w:p w14:paraId="6DF7F27D" w14:textId="77777777" w:rsidR="00C5218E" w:rsidRPr="00EF2883" w:rsidRDefault="00C5218E" w:rsidP="00C5218E">
      <w:pPr>
        <w:pStyle w:val="ListParagraph"/>
        <w:numPr>
          <w:ilvl w:val="0"/>
          <w:numId w:val="39"/>
        </w:numPr>
        <w:overflowPunct w:val="0"/>
        <w:autoSpaceDE w:val="0"/>
        <w:autoSpaceDN w:val="0"/>
        <w:adjustRightInd w:val="0"/>
        <w:spacing w:before="0" w:after="180" w:line="240" w:lineRule="auto"/>
        <w:textAlignment w:val="baseline"/>
        <w:rPr>
          <w:rFonts w:asciiTheme="majorBidi" w:hAnsiTheme="majorBidi" w:cstheme="majorBidi"/>
          <w:lang w:val="sv-SE"/>
        </w:rPr>
      </w:pPr>
      <w:r w:rsidRPr="00EF2883">
        <w:rPr>
          <w:rStyle w:val="Strong"/>
          <w:rFonts w:asciiTheme="majorBidi" w:eastAsia="Times New Roman" w:hAnsiTheme="majorBidi" w:cstheme="majorBidi"/>
          <w:b w:val="0"/>
          <w:bCs w:val="0"/>
          <w:lang w:val="sv-SE"/>
        </w:rPr>
        <w:t>At least SSB ID and [STC index] are supported</w:t>
      </w:r>
    </w:p>
    <w:p w14:paraId="5C1EA982" w14:textId="77777777" w:rsidR="00C5218E" w:rsidRPr="00EF2883" w:rsidRDefault="00C5218E" w:rsidP="00C5218E">
      <w:pPr>
        <w:pStyle w:val="ListParagraph"/>
        <w:numPr>
          <w:ilvl w:val="0"/>
          <w:numId w:val="39"/>
        </w:numPr>
        <w:overflowPunct w:val="0"/>
        <w:autoSpaceDE w:val="0"/>
        <w:autoSpaceDN w:val="0"/>
        <w:adjustRightInd w:val="0"/>
        <w:spacing w:before="0" w:after="180" w:line="240" w:lineRule="auto"/>
        <w:textAlignment w:val="baseline"/>
        <w:rPr>
          <w:rFonts w:asciiTheme="majorBidi" w:hAnsiTheme="majorBidi" w:cstheme="majorBidi"/>
          <w:lang w:val="sv-SE"/>
        </w:rPr>
      </w:pPr>
      <w:r w:rsidRPr="00EF2883">
        <w:rPr>
          <w:rStyle w:val="Strong"/>
          <w:rFonts w:asciiTheme="majorBidi" w:eastAsia="Times New Roman" w:hAnsiTheme="majorBidi" w:cstheme="majorBidi"/>
          <w:b w:val="0"/>
          <w:bCs w:val="0"/>
          <w:lang w:val="sv-SE"/>
        </w:rPr>
        <w:t>FFS: Whether restrictions are indicated to apply differently for H or S resources</w:t>
      </w:r>
    </w:p>
    <w:p w14:paraId="1F59C30F" w14:textId="77777777" w:rsidR="00C5218E" w:rsidRPr="00D06B75" w:rsidRDefault="00C5218E" w:rsidP="00C5218E">
      <w:pPr>
        <w:pStyle w:val="ListParagraph"/>
        <w:numPr>
          <w:ilvl w:val="0"/>
          <w:numId w:val="39"/>
        </w:numPr>
        <w:overflowPunct w:val="0"/>
        <w:autoSpaceDE w:val="0"/>
        <w:autoSpaceDN w:val="0"/>
        <w:adjustRightInd w:val="0"/>
        <w:spacing w:before="0" w:after="180" w:line="240" w:lineRule="auto"/>
        <w:textAlignment w:val="baseline"/>
        <w:rPr>
          <w:rStyle w:val="Strong"/>
          <w:rFonts w:asciiTheme="majorBidi" w:hAnsiTheme="majorBidi" w:cstheme="majorBidi"/>
          <w:b w:val="0"/>
          <w:bCs w:val="0"/>
          <w:lang w:val="sv-SE"/>
        </w:rPr>
      </w:pPr>
      <w:r w:rsidRPr="00EF2883">
        <w:rPr>
          <w:rStyle w:val="Strong"/>
          <w:rFonts w:asciiTheme="majorBidi" w:eastAsia="Times New Roman" w:hAnsiTheme="majorBidi" w:cstheme="majorBidi"/>
          <w:b w:val="0"/>
          <w:bCs w:val="0"/>
          <w:lang w:val="sv-SE"/>
        </w:rPr>
        <w:t>FFS: Informing the parent node of SRS configuration of the IAB-MT (if collocated with the IAB-DU)</w:t>
      </w:r>
    </w:p>
    <w:p w14:paraId="519CE054" w14:textId="77777777" w:rsidR="00C5218E" w:rsidRPr="00EF2883" w:rsidRDefault="00C5218E" w:rsidP="00C5218E">
      <w:pPr>
        <w:rPr>
          <w:rFonts w:asciiTheme="majorBidi" w:hAnsiTheme="majorBidi" w:cstheme="majorBidi"/>
          <w:szCs w:val="20"/>
          <w:highlight w:val="green"/>
        </w:rPr>
      </w:pPr>
      <w:r w:rsidRPr="00EF2883">
        <w:rPr>
          <w:rFonts w:asciiTheme="majorBidi" w:hAnsiTheme="majorBidi" w:cstheme="majorBidi"/>
          <w:szCs w:val="20"/>
          <w:highlight w:val="green"/>
        </w:rPr>
        <w:t>Agreement</w:t>
      </w:r>
    </w:p>
    <w:p w14:paraId="0A56D41B" w14:textId="77777777" w:rsidR="00C5218E" w:rsidRPr="00EF2883" w:rsidRDefault="00C5218E" w:rsidP="00C5218E">
      <w:pPr>
        <w:rPr>
          <w:rFonts w:asciiTheme="majorBidi" w:hAnsiTheme="majorBidi" w:cstheme="majorBidi"/>
        </w:rPr>
      </w:pPr>
      <w:r w:rsidRPr="00EF2883">
        <w:rPr>
          <w:rStyle w:val="Strong"/>
          <w:rFonts w:asciiTheme="majorBidi" w:hAnsiTheme="majorBidi" w:cstheme="majorBidi"/>
          <w:b w:val="0"/>
          <w:bCs w:val="0"/>
          <w:szCs w:val="20"/>
          <w:lang w:val="sv-SE"/>
        </w:rPr>
        <w:t>The restricted beam indication from the parent node to the IAB node may be indicated (or specified) to be associated with some combination (one or multiple) of the following IAB node’s parameters:</w:t>
      </w:r>
    </w:p>
    <w:p w14:paraId="4013BE44" w14:textId="77777777" w:rsidR="00C5218E" w:rsidRPr="00EF2883" w:rsidRDefault="00C5218E" w:rsidP="00C5218E">
      <w:pPr>
        <w:pStyle w:val="ListParagraph"/>
        <w:numPr>
          <w:ilvl w:val="0"/>
          <w:numId w:val="40"/>
        </w:numPr>
        <w:overflowPunct w:val="0"/>
        <w:autoSpaceDE w:val="0"/>
        <w:autoSpaceDN w:val="0"/>
        <w:adjustRightInd w:val="0"/>
        <w:spacing w:before="0" w:after="180" w:line="240" w:lineRule="auto"/>
        <w:textAlignment w:val="baseline"/>
        <w:rPr>
          <w:rFonts w:asciiTheme="majorBidi" w:hAnsiTheme="majorBidi" w:cstheme="majorBidi"/>
          <w:lang w:val="sv-SE"/>
        </w:rPr>
      </w:pPr>
      <w:r w:rsidRPr="00EF2883">
        <w:rPr>
          <w:rStyle w:val="Strong"/>
          <w:rFonts w:asciiTheme="majorBidi" w:eastAsia="Times New Roman" w:hAnsiTheme="majorBidi" w:cstheme="majorBidi"/>
          <w:b w:val="0"/>
          <w:bCs w:val="0"/>
          <w:lang w:val="sv-SE"/>
        </w:rPr>
        <w:t>[Multiplexing mode]</w:t>
      </w:r>
    </w:p>
    <w:p w14:paraId="507701DB" w14:textId="77777777" w:rsidR="00C5218E" w:rsidRPr="00EF2883" w:rsidRDefault="00C5218E" w:rsidP="00C5218E">
      <w:pPr>
        <w:pStyle w:val="ListParagraph"/>
        <w:numPr>
          <w:ilvl w:val="0"/>
          <w:numId w:val="40"/>
        </w:numPr>
        <w:overflowPunct w:val="0"/>
        <w:autoSpaceDE w:val="0"/>
        <w:autoSpaceDN w:val="0"/>
        <w:adjustRightInd w:val="0"/>
        <w:spacing w:before="0" w:after="180" w:line="240" w:lineRule="auto"/>
        <w:textAlignment w:val="baseline"/>
        <w:rPr>
          <w:rFonts w:asciiTheme="majorBidi" w:hAnsiTheme="majorBidi" w:cstheme="majorBidi"/>
          <w:lang w:val="sv-SE"/>
        </w:rPr>
      </w:pPr>
      <w:r w:rsidRPr="00EF2883">
        <w:rPr>
          <w:rStyle w:val="Strong"/>
          <w:rFonts w:asciiTheme="majorBidi" w:eastAsia="Times New Roman" w:hAnsiTheme="majorBidi" w:cstheme="majorBidi"/>
          <w:b w:val="0"/>
          <w:bCs w:val="0"/>
          <w:lang w:val="sv-SE"/>
        </w:rPr>
        <w:t>[MT’s DL beam (e.g. TCI state id)] or MT’s UL beam (e.g., SRI id)</w:t>
      </w:r>
    </w:p>
    <w:p w14:paraId="008F0F85" w14:textId="77777777" w:rsidR="00C5218E" w:rsidRPr="00EF2883" w:rsidRDefault="00C5218E" w:rsidP="00C5218E">
      <w:pPr>
        <w:pStyle w:val="ListParagraph"/>
        <w:numPr>
          <w:ilvl w:val="0"/>
          <w:numId w:val="40"/>
        </w:numPr>
        <w:overflowPunct w:val="0"/>
        <w:autoSpaceDE w:val="0"/>
        <w:autoSpaceDN w:val="0"/>
        <w:adjustRightInd w:val="0"/>
        <w:spacing w:before="0" w:after="180" w:line="240" w:lineRule="auto"/>
        <w:textAlignment w:val="baseline"/>
        <w:rPr>
          <w:rFonts w:asciiTheme="majorBidi" w:hAnsiTheme="majorBidi" w:cstheme="majorBidi"/>
          <w:lang w:val="sv-SE"/>
        </w:rPr>
      </w:pPr>
      <w:r w:rsidRPr="00EF2883">
        <w:rPr>
          <w:rStyle w:val="Strong"/>
          <w:rFonts w:asciiTheme="majorBidi" w:eastAsia="Times New Roman" w:hAnsiTheme="majorBidi" w:cstheme="majorBidi"/>
          <w:b w:val="0"/>
          <w:bCs w:val="0"/>
          <w:lang w:val="sv-SE"/>
        </w:rPr>
        <w:t>[DU resource configuration (e.g. soft resources)]</w:t>
      </w:r>
    </w:p>
    <w:p w14:paraId="0B531672" w14:textId="77777777" w:rsidR="00C5218E" w:rsidRPr="00D06B75" w:rsidRDefault="00C5218E" w:rsidP="00C5218E">
      <w:pPr>
        <w:pStyle w:val="ListParagraph"/>
        <w:numPr>
          <w:ilvl w:val="0"/>
          <w:numId w:val="40"/>
        </w:numPr>
        <w:overflowPunct w:val="0"/>
        <w:autoSpaceDE w:val="0"/>
        <w:autoSpaceDN w:val="0"/>
        <w:adjustRightInd w:val="0"/>
        <w:spacing w:before="0" w:after="180" w:line="240" w:lineRule="auto"/>
        <w:textAlignment w:val="baseline"/>
        <w:rPr>
          <w:rStyle w:val="Strong"/>
          <w:rFonts w:asciiTheme="majorBidi" w:hAnsiTheme="majorBidi" w:cstheme="majorBidi"/>
          <w:b w:val="0"/>
          <w:bCs w:val="0"/>
          <w:lang w:val="sv-SE"/>
        </w:rPr>
      </w:pPr>
      <w:r w:rsidRPr="00EF2883">
        <w:rPr>
          <w:rStyle w:val="Strong"/>
          <w:rFonts w:asciiTheme="majorBidi" w:eastAsia="Times New Roman" w:hAnsiTheme="majorBidi" w:cstheme="majorBidi"/>
          <w:b w:val="0"/>
          <w:bCs w:val="0"/>
          <w:lang w:val="sv-SE"/>
        </w:rPr>
        <w:t>[Slot index]</w:t>
      </w:r>
    </w:p>
    <w:p w14:paraId="07E2C4CB" w14:textId="77777777" w:rsidR="000D3D47" w:rsidRPr="00EF2883" w:rsidRDefault="000D3D47" w:rsidP="000D3D47">
      <w:pPr>
        <w:rPr>
          <w:rFonts w:asciiTheme="majorBidi" w:hAnsiTheme="majorBidi" w:cstheme="majorBidi"/>
          <w:szCs w:val="20"/>
          <w:highlight w:val="green"/>
        </w:rPr>
      </w:pPr>
      <w:r w:rsidRPr="00EF2883">
        <w:rPr>
          <w:rFonts w:asciiTheme="majorBidi" w:hAnsiTheme="majorBidi" w:cstheme="majorBidi"/>
          <w:szCs w:val="20"/>
          <w:highlight w:val="green"/>
        </w:rPr>
        <w:t>Agreement</w:t>
      </w:r>
    </w:p>
    <w:p w14:paraId="21A44224" w14:textId="77777777" w:rsidR="000D3D47" w:rsidRPr="00EF2883" w:rsidRDefault="000D3D47" w:rsidP="000D3D47">
      <w:pPr>
        <w:jc w:val="both"/>
        <w:rPr>
          <w:rFonts w:asciiTheme="majorBidi" w:hAnsiTheme="majorBidi" w:cstheme="majorBidi"/>
          <w:szCs w:val="20"/>
        </w:rPr>
      </w:pPr>
      <w:r w:rsidRPr="00EF2883">
        <w:rPr>
          <w:rStyle w:val="Strong"/>
          <w:rFonts w:asciiTheme="majorBidi" w:hAnsiTheme="majorBidi" w:cstheme="majorBidi"/>
          <w:b w:val="0"/>
          <w:bCs w:val="0"/>
          <w:szCs w:val="20"/>
          <w:lang w:val="sv-SE"/>
        </w:rPr>
        <w:t>The recommended beam indication from the IAB-MT to the parent node are provided via MAC-CE:</w:t>
      </w:r>
    </w:p>
    <w:p w14:paraId="358A20DE" w14:textId="77777777" w:rsidR="000D3D47" w:rsidRPr="00EF2883" w:rsidRDefault="000D3D47" w:rsidP="000D3D47">
      <w:pPr>
        <w:pStyle w:val="ListParagraph"/>
        <w:numPr>
          <w:ilvl w:val="0"/>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For DL Rx beam(s):</w:t>
      </w:r>
      <w:r w:rsidRPr="00EF2883">
        <w:rPr>
          <w:rStyle w:val="apple-converted-space"/>
          <w:rFonts w:asciiTheme="majorBidi" w:eastAsia="Times New Roman" w:hAnsiTheme="majorBidi" w:cstheme="majorBidi"/>
          <w:lang w:val="sv-SE"/>
        </w:rPr>
        <w:t> </w:t>
      </w:r>
      <w:r w:rsidRPr="00EF2883">
        <w:rPr>
          <w:rStyle w:val="Strong"/>
          <w:rFonts w:asciiTheme="majorBidi" w:eastAsia="Times New Roman" w:hAnsiTheme="majorBidi" w:cstheme="majorBidi"/>
          <w:b w:val="0"/>
          <w:bCs w:val="0"/>
          <w:lang w:val="sv-SE"/>
        </w:rPr>
        <w:t>using one or more of the following:</w:t>
      </w:r>
    </w:p>
    <w:p w14:paraId="0F1BAA8F"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Style w:val="Strong"/>
          <w:rFonts w:asciiTheme="majorBidi" w:eastAsia="Malgun Gothic" w:hAnsiTheme="majorBidi" w:cstheme="majorBidi"/>
          <w:b w:val="0"/>
          <w:bCs w:val="0"/>
        </w:rPr>
      </w:pPr>
      <w:r w:rsidRPr="00EF2883">
        <w:rPr>
          <w:rStyle w:val="Strong"/>
          <w:rFonts w:asciiTheme="majorBidi" w:eastAsia="Times New Roman" w:hAnsiTheme="majorBidi" w:cstheme="majorBidi"/>
          <w:b w:val="0"/>
          <w:bCs w:val="0"/>
          <w:lang w:val="sv-SE"/>
        </w:rPr>
        <w:t>DL TCI state ID</w:t>
      </w:r>
    </w:p>
    <w:p w14:paraId="336AF57C" w14:textId="77777777" w:rsidR="000D3D47" w:rsidRPr="00EF2883" w:rsidRDefault="000D3D47" w:rsidP="000D3D47">
      <w:pPr>
        <w:pStyle w:val="ListParagraph"/>
        <w:numPr>
          <w:ilvl w:val="2"/>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rPr>
        <w:t>FFS:</w:t>
      </w:r>
      <w:r w:rsidRPr="00EF2883">
        <w:rPr>
          <w:rStyle w:val="apple-converted-space"/>
          <w:rFonts w:asciiTheme="majorBidi" w:eastAsia="Times New Roman" w:hAnsiTheme="majorBidi" w:cstheme="majorBidi"/>
        </w:rPr>
        <w:t> UE/</w:t>
      </w:r>
      <w:r w:rsidRPr="00EF2883">
        <w:rPr>
          <w:rStyle w:val="Strong"/>
          <w:rFonts w:asciiTheme="majorBidi" w:eastAsia="Times New Roman" w:hAnsiTheme="majorBidi" w:cstheme="majorBidi"/>
          <w:b w:val="0"/>
          <w:bCs w:val="0"/>
          <w:lang w:val="sv-SE"/>
        </w:rPr>
        <w:t>IAB-MT does not assume that DL Tx power adjustment (if provided) is applied to the SSB index (if supported) indicated as QCLed reference signal in DL TCI state ID.</w:t>
      </w:r>
      <w:r w:rsidRPr="00EF2883">
        <w:rPr>
          <w:rStyle w:val="apple-converted-space"/>
          <w:rFonts w:asciiTheme="majorBidi" w:eastAsia="Times New Roman" w:hAnsiTheme="majorBidi" w:cstheme="majorBidi"/>
          <w:lang w:val="sv-SE"/>
        </w:rPr>
        <w:t> </w:t>
      </w:r>
    </w:p>
    <w:p w14:paraId="29585F1B"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[RS ID]</w:t>
      </w:r>
    </w:p>
    <w:p w14:paraId="3E45461B"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[R17</w:t>
      </w:r>
      <w:r w:rsidRPr="00EF2883">
        <w:rPr>
          <w:rStyle w:val="apple-converted-space"/>
          <w:rFonts w:asciiTheme="majorBidi" w:eastAsia="Times New Roman" w:hAnsiTheme="majorBidi" w:cstheme="majorBidi"/>
          <w:lang w:val="sv-SE"/>
        </w:rPr>
        <w:t> </w:t>
      </w:r>
      <w:r w:rsidRPr="00EF2883">
        <w:rPr>
          <w:rStyle w:val="Strong"/>
          <w:rFonts w:asciiTheme="majorBidi" w:eastAsia="Times New Roman" w:hAnsiTheme="majorBidi" w:cstheme="majorBidi"/>
          <w:b w:val="0"/>
          <w:bCs w:val="0"/>
          <w:lang w:val="sv-SE"/>
        </w:rPr>
        <w:t>DL TCI, or joint DL/UL TCI ID]</w:t>
      </w:r>
    </w:p>
    <w:p w14:paraId="029F559A" w14:textId="77777777" w:rsidR="000D3D47" w:rsidRPr="00EF2883" w:rsidRDefault="000D3D47" w:rsidP="000D3D47">
      <w:pPr>
        <w:pStyle w:val="ListParagraph"/>
        <w:numPr>
          <w:ilvl w:val="0"/>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For UL Tx beam(s): using one</w:t>
      </w:r>
      <w:r w:rsidRPr="00EF2883">
        <w:rPr>
          <w:rStyle w:val="apple-converted-space"/>
          <w:rFonts w:asciiTheme="majorBidi" w:hAnsiTheme="majorBidi" w:cstheme="majorBidi"/>
          <w:lang w:val="sv-SE"/>
        </w:rPr>
        <w:t xml:space="preserve"> </w:t>
      </w:r>
      <w:r w:rsidRPr="00EF2883">
        <w:rPr>
          <w:rStyle w:val="Strong"/>
          <w:rFonts w:asciiTheme="majorBidi" w:eastAsia="Times New Roman" w:hAnsiTheme="majorBidi" w:cstheme="majorBidi"/>
          <w:b w:val="0"/>
          <w:bCs w:val="0"/>
          <w:lang w:val="sv-SE"/>
        </w:rPr>
        <w:t>or more</w:t>
      </w:r>
      <w:r w:rsidRPr="00EF2883">
        <w:rPr>
          <w:rStyle w:val="apple-converted-space"/>
          <w:rFonts w:asciiTheme="majorBidi" w:hAnsiTheme="majorBidi" w:cstheme="majorBidi"/>
          <w:lang w:val="sv-SE"/>
        </w:rPr>
        <w:t xml:space="preserve"> </w:t>
      </w:r>
      <w:r w:rsidRPr="00EF2883">
        <w:rPr>
          <w:rStyle w:val="Strong"/>
          <w:rFonts w:asciiTheme="majorBidi" w:eastAsia="Times New Roman" w:hAnsiTheme="majorBidi" w:cstheme="majorBidi"/>
          <w:b w:val="0"/>
          <w:bCs w:val="0"/>
          <w:lang w:val="sv-SE"/>
        </w:rPr>
        <w:t>of the following:</w:t>
      </w:r>
    </w:p>
    <w:p w14:paraId="35A3959D"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[Spatial relation]</w:t>
      </w:r>
    </w:p>
    <w:p w14:paraId="5FAF895E"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[RS ID]</w:t>
      </w:r>
    </w:p>
    <w:p w14:paraId="6C35CA1D"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[R17 UL TCI, or joint DL/UL TCI ID]</w:t>
      </w:r>
    </w:p>
    <w:p w14:paraId="6697BB1C" w14:textId="77777777" w:rsidR="000D3D47" w:rsidRPr="00EF2883" w:rsidRDefault="000D3D47" w:rsidP="000D3D47">
      <w:pPr>
        <w:pStyle w:val="ListParagraph"/>
        <w:numPr>
          <w:ilvl w:val="1"/>
          <w:numId w:val="42"/>
        </w:numPr>
        <w:overflowPunct w:val="0"/>
        <w:autoSpaceDE w:val="0"/>
        <w:autoSpaceDN w:val="0"/>
        <w:adjustRightInd w:val="0"/>
        <w:spacing w:before="0" w:after="180" w:line="240" w:lineRule="auto"/>
        <w:textAlignment w:val="baseline"/>
        <w:rPr>
          <w:rFonts w:asciiTheme="majorBidi" w:hAnsiTheme="majorBidi" w:cstheme="majorBidi"/>
        </w:rPr>
      </w:pPr>
      <w:r w:rsidRPr="00EF2883">
        <w:rPr>
          <w:rStyle w:val="Strong"/>
          <w:rFonts w:asciiTheme="majorBidi" w:eastAsia="Times New Roman" w:hAnsiTheme="majorBidi" w:cstheme="majorBidi"/>
          <w:b w:val="0"/>
          <w:bCs w:val="0"/>
          <w:lang w:val="sv-SE"/>
        </w:rPr>
        <w:t>[SRI]</w:t>
      </w:r>
    </w:p>
    <w:p w14:paraId="0D90BE94" w14:textId="77777777" w:rsidR="00C5218E" w:rsidRPr="00D06B75" w:rsidRDefault="00C5218E" w:rsidP="00C5218E">
      <w:pPr>
        <w:rPr>
          <w:lang w:val="en-GB"/>
        </w:rPr>
      </w:pPr>
    </w:p>
    <w:p w14:paraId="04EBE45C" w14:textId="77777777" w:rsidR="00C5218E" w:rsidRDefault="00C5218E" w:rsidP="00C5218E">
      <w:pPr>
        <w:rPr>
          <w:lang w:val="en-GB"/>
        </w:rPr>
      </w:pPr>
      <w:r>
        <w:rPr>
          <w:lang w:val="en-GB"/>
        </w:rPr>
        <w:t>The main outstanding issue is the parameters related to the beam restriction signalling. A number of parameters were proposed in the previous meeting, but no consensus was reached.</w:t>
      </w:r>
    </w:p>
    <w:p w14:paraId="68A45C2C" w14:textId="794421AA" w:rsidR="00C5218E" w:rsidRDefault="00C5218E" w:rsidP="00C5218E">
      <w:pPr>
        <w:rPr>
          <w:lang w:val="en-GB"/>
        </w:rPr>
      </w:pPr>
      <w:r>
        <w:rPr>
          <w:lang w:val="en-GB"/>
        </w:rPr>
        <w:t xml:space="preserve">An important matter to consider is that RAN1 has not agreed on defining a “multiplexing mode” for specification. The </w:t>
      </w:r>
      <w:r w:rsidR="006038AE">
        <w:rPr>
          <w:lang w:val="en-GB"/>
        </w:rPr>
        <w:t>simultaneous</w:t>
      </w:r>
      <w:r>
        <w:rPr>
          <w:lang w:val="en-GB"/>
        </w:rPr>
        <w:t xml:space="preserve"> operation cases, named Case A/B/C/D in RAN1#102-e, are high-level definitions that are useful during the WI discussions, but not practical for specification. </w:t>
      </w:r>
      <w:r w:rsidR="004C1220">
        <w:t xml:space="preserve">In practice, one or multiple cases of simultaneous operations may occur depending on the number of antenna panels at an IAB node, resource configurations, hardware and operation constraints, and so on. </w:t>
      </w:r>
      <w:r>
        <w:rPr>
          <w:lang w:val="en-GB"/>
        </w:rPr>
        <w:t xml:space="preserve">Instead, the beam restriction indication message can </w:t>
      </w:r>
      <w:r w:rsidR="006038AE">
        <w:rPr>
          <w:lang w:val="en-GB"/>
        </w:rPr>
        <w:t>include</w:t>
      </w:r>
      <w:r>
        <w:rPr>
          <w:lang w:val="en-GB"/>
        </w:rPr>
        <w:t xml:space="preserve"> indication of time and frequency resources such as slots and RB sets.</w:t>
      </w:r>
    </w:p>
    <w:p w14:paraId="0470F5C4" w14:textId="4EA39CA2" w:rsidR="00C5218E" w:rsidRDefault="00C5218E" w:rsidP="00C5218E">
      <w:pPr>
        <w:rPr>
          <w:lang w:val="en-GB"/>
        </w:rPr>
      </w:pPr>
      <w:r>
        <w:rPr>
          <w:lang w:val="en-GB"/>
        </w:rPr>
        <w:t xml:space="preserve">Furthermore, by including indication of time and frequency resources, there will be no need to make a distinction between hard and soft resources of the IAB-DU. The beam </w:t>
      </w:r>
      <w:r w:rsidR="006038AE">
        <w:rPr>
          <w:lang w:val="en-GB"/>
        </w:rPr>
        <w:t>restriction</w:t>
      </w:r>
      <w:r>
        <w:rPr>
          <w:lang w:val="en-GB"/>
        </w:rPr>
        <w:t xml:space="preserve"> indication is transmitted by the parent node, hence allowing the parent node to have full control over the time-frequency resources over which the beam restriction is applied.</w:t>
      </w:r>
    </w:p>
    <w:p w14:paraId="7C91200A" w14:textId="77777777" w:rsidR="00C5218E" w:rsidRDefault="00C5218E" w:rsidP="00C5218E">
      <w:pPr>
        <w:pStyle w:val="Proposal"/>
        <w:rPr>
          <w:lang w:val="en-GB"/>
        </w:rPr>
      </w:pPr>
      <w:bookmarkStart w:id="266" w:name="_Toc87021765"/>
      <w:bookmarkStart w:id="267" w:name="_Toc87034782"/>
      <w:bookmarkStart w:id="268" w:name="_Toc87034936"/>
      <w:bookmarkStart w:id="269" w:name="_Toc87035716"/>
      <w:bookmarkStart w:id="270" w:name="_Toc87035741"/>
      <w:bookmarkStart w:id="271" w:name="_Toc87036440"/>
      <w:bookmarkStart w:id="272" w:name="_Toc87036783"/>
      <w:bookmarkStart w:id="273" w:name="_Toc87037759"/>
      <w:bookmarkStart w:id="274" w:name="_Toc87037955"/>
      <w:bookmarkStart w:id="275" w:name="_Toc87038108"/>
      <w:bookmarkStart w:id="276" w:name="_Toc87040013"/>
      <w:bookmarkStart w:id="277" w:name="_Toc87040179"/>
      <w:bookmarkStart w:id="278" w:name="_Toc87045009"/>
      <w:r>
        <w:rPr>
          <w:lang w:val="en-GB"/>
        </w:rPr>
        <w:t xml:space="preserve">The beam restriction indication from the parent node includes </w:t>
      </w:r>
      <w:r w:rsidRPr="000F3F1D">
        <w:rPr>
          <w:i/>
          <w:iCs/>
          <w:lang w:val="en-GB"/>
        </w:rPr>
        <w:t>indication of time and frequency resources</w:t>
      </w:r>
      <w:r>
        <w:rPr>
          <w:lang w:val="en-GB"/>
        </w:rPr>
        <w:t xml:space="preserve"> (e.g., slots/symbols and RB sets) of the IAB-DU over which the beam restriction is applied. No need to include information related to H/S resource attributes and relationship with IAB-MT beams.</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4B6DA697" w14:textId="037AAABE" w:rsidR="00344E58" w:rsidRDefault="00344E58" w:rsidP="00344E58">
      <w:r>
        <w:lastRenderedPageBreak/>
        <w:t>With respect to indicating</w:t>
      </w:r>
      <w:r w:rsidRPr="00244690">
        <w:t xml:space="preserve"> recommended beams to the parent node</w:t>
      </w:r>
      <w:r>
        <w:t>, this signaling may be specified as part of dynamic signaling of “conditions/parameter” agreed in RAN#105-e, i.e., when a child node signals to its parent node whether it is capable of simultaneous operation, the signaling may include recommended beams.</w:t>
      </w:r>
    </w:p>
    <w:p w14:paraId="489CD5A8" w14:textId="77777777" w:rsidR="00344E58" w:rsidRPr="00AC1818" w:rsidRDefault="00344E58" w:rsidP="00344E58">
      <w:pPr>
        <w:pStyle w:val="Proposal"/>
      </w:pPr>
      <w:bookmarkStart w:id="279" w:name="_Toc83997387"/>
      <w:bookmarkStart w:id="280" w:name="_Toc84007483"/>
      <w:bookmarkStart w:id="281" w:name="_Toc84018542"/>
      <w:bookmarkStart w:id="282" w:name="_Toc87021766"/>
      <w:bookmarkStart w:id="283" w:name="_Toc87034783"/>
      <w:bookmarkStart w:id="284" w:name="_Toc87034937"/>
      <w:bookmarkStart w:id="285" w:name="_Toc87035717"/>
      <w:bookmarkStart w:id="286" w:name="_Toc87035742"/>
      <w:bookmarkStart w:id="287" w:name="_Toc87036441"/>
      <w:bookmarkStart w:id="288" w:name="_Toc87036784"/>
      <w:bookmarkStart w:id="289" w:name="_Toc87037760"/>
      <w:bookmarkStart w:id="290" w:name="_Toc87037956"/>
      <w:bookmarkStart w:id="291" w:name="_Toc87038109"/>
      <w:bookmarkStart w:id="292" w:name="_Toc87040014"/>
      <w:bookmarkStart w:id="293" w:name="_Toc87040180"/>
      <w:bookmarkStart w:id="294" w:name="_Toc87045010"/>
      <w:r>
        <w:t>Support indication of recommended beams to the parent node as part of dynamic signaling of “conditions/parameter” agreed in RAN#105-e.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9DA5799" w14:textId="5C73DB2B" w:rsidR="006B183C" w:rsidRDefault="006B183C" w:rsidP="00DD1C2A">
      <w:pPr>
        <w:rPr>
          <w:lang w:val="en-GB"/>
        </w:rPr>
      </w:pPr>
      <w:r>
        <w:rPr>
          <w:lang w:val="en-GB"/>
        </w:rPr>
        <w:t xml:space="preserve">The aforementioned agreements address spatial restrictions and recommendations at beam level. However, enabling </w:t>
      </w:r>
      <w:r w:rsidR="006038AE">
        <w:rPr>
          <w:lang w:val="en-GB"/>
        </w:rPr>
        <w:t>simultaneous</w:t>
      </w:r>
      <w:r>
        <w:rPr>
          <w:lang w:val="en-GB"/>
        </w:rPr>
        <w:t xml:space="preserve"> operations requires proper management of antenna panels</w:t>
      </w:r>
      <w:r w:rsidR="004C1220">
        <w:rPr>
          <w:lang w:val="en-GB"/>
        </w:rPr>
        <w:t xml:space="preserve"> supported by control </w:t>
      </w:r>
      <w:r w:rsidR="006038AE">
        <w:rPr>
          <w:lang w:val="en-GB"/>
        </w:rPr>
        <w:t>signalling</w:t>
      </w:r>
      <w:r>
        <w:rPr>
          <w:lang w:val="en-GB"/>
        </w:rPr>
        <w:t xml:space="preserve">, which was referred to as </w:t>
      </w:r>
      <w:r w:rsidR="009E6E88">
        <w:rPr>
          <w:lang w:val="en-GB"/>
        </w:rPr>
        <w:t>“</w:t>
      </w:r>
      <w:r>
        <w:rPr>
          <w:lang w:val="en-GB"/>
        </w:rPr>
        <w:t>per-panel granularity</w:t>
      </w:r>
      <w:r w:rsidR="009E6E88">
        <w:rPr>
          <w:lang w:val="en-GB"/>
        </w:rPr>
        <w:t>”</w:t>
      </w:r>
      <w:r>
        <w:rPr>
          <w:lang w:val="en-GB"/>
        </w:rPr>
        <w:t xml:space="preserve"> in the past meetings</w:t>
      </w:r>
      <w:r w:rsidR="004C1220">
        <w:rPr>
          <w:lang w:val="en-GB"/>
        </w:rPr>
        <w:t>, but the discussion was not concluded</w:t>
      </w:r>
      <w:r w:rsidR="009E6E88">
        <w:rPr>
          <w:lang w:val="en-GB"/>
        </w:rPr>
        <w:t xml:space="preserve"> </w:t>
      </w:r>
      <w:r w:rsidR="009E6E88">
        <w:rPr>
          <w:lang w:val="en-GB"/>
        </w:rPr>
        <w:fldChar w:fldCharType="begin"/>
      </w:r>
      <w:r w:rsidR="009E6E88">
        <w:rPr>
          <w:lang w:val="en-GB"/>
        </w:rPr>
        <w:instrText xml:space="preserve"> REF _Ref79129427 \r \h </w:instrText>
      </w:r>
      <w:r w:rsidR="009E6E88">
        <w:rPr>
          <w:lang w:val="en-GB"/>
        </w:rPr>
      </w:r>
      <w:r w:rsidR="009E6E88">
        <w:rPr>
          <w:lang w:val="en-GB"/>
        </w:rPr>
        <w:fldChar w:fldCharType="separate"/>
      </w:r>
      <w:r w:rsidR="009F4637">
        <w:rPr>
          <w:cs/>
          <w:lang w:val="en-GB"/>
        </w:rPr>
        <w:t>‎</w:t>
      </w:r>
      <w:r w:rsidR="009F4637">
        <w:rPr>
          <w:lang w:val="en-GB"/>
        </w:rPr>
        <w:t>[2]</w:t>
      </w:r>
      <w:r w:rsidR="009E6E88">
        <w:rPr>
          <w:lang w:val="en-GB"/>
        </w:rPr>
        <w:fldChar w:fldCharType="end"/>
      </w:r>
      <w:r w:rsidR="009E6E88">
        <w:rPr>
          <w:lang w:val="en-GB"/>
        </w:rPr>
        <w:t>:</w:t>
      </w:r>
    </w:p>
    <w:p w14:paraId="2B027B3D" w14:textId="77777777" w:rsidR="009E6E88" w:rsidRPr="00847499" w:rsidRDefault="009E6E88" w:rsidP="009E6E88">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193E916E" w14:textId="77777777" w:rsidR="009E6E88" w:rsidRPr="00847499" w:rsidRDefault="009E6E88" w:rsidP="009E6E88">
      <w:pPr>
        <w:rPr>
          <w:rFonts w:asciiTheme="majorBidi" w:hAnsiTheme="majorBidi" w:cstheme="majorBidi"/>
          <w:szCs w:val="20"/>
        </w:rPr>
      </w:pPr>
      <w:r w:rsidRPr="00847499">
        <w:rPr>
          <w:rFonts w:asciiTheme="majorBidi" w:hAnsiTheme="majorBidi" w:cstheme="majorBidi"/>
          <w:szCs w:val="20"/>
        </w:rPr>
        <w:t xml:space="preserve">In case of simultaneous MT/DU operation, </w:t>
      </w:r>
    </w:p>
    <w:p w14:paraId="105DDA44" w14:textId="77777777" w:rsidR="009E6E88" w:rsidRPr="00847499" w:rsidRDefault="009E6E88" w:rsidP="009E6E88">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the parent node can dynamically indicate to the child node at least a set of restricted beams at the IAB-DU of the child node</w:t>
      </w:r>
    </w:p>
    <w:p w14:paraId="7B8B2A1B" w14:textId="77777777" w:rsidR="009E6E88" w:rsidRPr="00847499" w:rsidRDefault="009E6E88" w:rsidP="009E6E88">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the child node can dynamically report to the parent node a set of recommended beams, not preferred beams, or both recommended and not preferred beams of the IAB-MT of the child node</w:t>
      </w:r>
    </w:p>
    <w:p w14:paraId="24DB51FC" w14:textId="77777777" w:rsidR="009E6E88" w:rsidRPr="00847499" w:rsidRDefault="009E6E88" w:rsidP="009E6E88">
      <w:pPr>
        <w:pStyle w:val="ListParagraph"/>
        <w:numPr>
          <w:ilvl w:val="1"/>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Whether the specification supports all reporting combinations.</w:t>
      </w:r>
    </w:p>
    <w:p w14:paraId="0CE4F3E9" w14:textId="77777777" w:rsidR="009E6E88" w:rsidRPr="00847499" w:rsidRDefault="009E6E88" w:rsidP="009E6E88">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Applicability to specific multiplexing cases or specific time-frequency resources</w:t>
      </w:r>
    </w:p>
    <w:p w14:paraId="466DF06F" w14:textId="77777777" w:rsidR="009E6E88" w:rsidRPr="00847499" w:rsidRDefault="009E6E88" w:rsidP="009E6E88">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 xml:space="preserve">FFS: Additional semi-static signaling </w:t>
      </w:r>
    </w:p>
    <w:p w14:paraId="02ADB469" w14:textId="77777777" w:rsidR="009E6E88" w:rsidRPr="009E6E88" w:rsidRDefault="009E6E88" w:rsidP="009E6E88">
      <w:pPr>
        <w:pStyle w:val="ListParagraph"/>
        <w:numPr>
          <w:ilvl w:val="0"/>
          <w:numId w:val="19"/>
        </w:numPr>
        <w:spacing w:before="0" w:after="0" w:line="240" w:lineRule="auto"/>
        <w:jc w:val="both"/>
        <w:rPr>
          <w:rFonts w:asciiTheme="majorBidi" w:hAnsiTheme="majorBidi" w:cstheme="majorBidi"/>
          <w:szCs w:val="20"/>
          <w:highlight w:val="yellow"/>
        </w:rPr>
      </w:pPr>
      <w:r w:rsidRPr="009E6E88">
        <w:rPr>
          <w:rFonts w:asciiTheme="majorBidi" w:hAnsiTheme="majorBidi" w:cstheme="majorBidi"/>
          <w:szCs w:val="20"/>
          <w:highlight w:val="yellow"/>
        </w:rPr>
        <w:t>FFS: Per-panel granularity in addition to per-beam granularity</w:t>
      </w:r>
    </w:p>
    <w:p w14:paraId="5CEECAB4" w14:textId="77777777" w:rsidR="009E6E88" w:rsidRPr="00847499" w:rsidRDefault="009E6E88" w:rsidP="009E6E88">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Relationship between child IAB-MT beam indication and parent IAB-DU beam indication</w:t>
      </w:r>
    </w:p>
    <w:p w14:paraId="4FE33BD3" w14:textId="77777777" w:rsidR="009E6E88" w:rsidRPr="00847499" w:rsidRDefault="009E6E88" w:rsidP="009E6E88">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Note: This does not preclude any enhancements for either DU or MT-based CLI measurement and reports</w:t>
      </w:r>
    </w:p>
    <w:p w14:paraId="2B9FC2D7" w14:textId="77777777" w:rsidR="009E6E88" w:rsidRPr="009E6E88" w:rsidRDefault="009E6E88" w:rsidP="00DD1C2A"/>
    <w:p w14:paraId="41E7EF7C" w14:textId="32588B07" w:rsidR="00DD1C2A" w:rsidRPr="004C1F0C" w:rsidRDefault="00790BD5" w:rsidP="00DD1C2A">
      <w:pPr>
        <w:rPr>
          <w:lang w:val="en-GB"/>
        </w:rPr>
      </w:pPr>
      <w:r w:rsidRPr="004C1F0C">
        <w:rPr>
          <w:lang w:val="en-GB"/>
        </w:rPr>
        <w:t>W</w:t>
      </w:r>
      <w:r w:rsidR="00DD1C2A" w:rsidRPr="004C1F0C">
        <w:rPr>
          <w:lang w:val="en-GB"/>
        </w:rPr>
        <w:t>hen operating at FR2</w:t>
      </w:r>
      <w:r w:rsidRPr="004C1F0C">
        <w:rPr>
          <w:lang w:val="en-GB"/>
        </w:rPr>
        <w:t>, c</w:t>
      </w:r>
      <w:r w:rsidR="00DD1C2A" w:rsidRPr="004C1F0C">
        <w:rPr>
          <w:lang w:val="en-GB"/>
        </w:rPr>
        <w:t xml:space="preserve">ommunications of an IAB node with a single antenna panel (connected to a single RF chain) are spatially limited to one beam at a time. That means if two operations are scheduled simultaneously, the signals are constrained to be transmitted or received through </w:t>
      </w:r>
      <w:r w:rsidR="00030ACA">
        <w:rPr>
          <w:lang w:val="en-GB"/>
        </w:rPr>
        <w:t>the</w:t>
      </w:r>
      <w:r w:rsidR="00DD1C2A" w:rsidRPr="004C1F0C">
        <w:rPr>
          <w:lang w:val="en-GB"/>
        </w:rPr>
        <w:t xml:space="preserve"> same beam.</w:t>
      </w:r>
    </w:p>
    <w:p w14:paraId="79DB3405" w14:textId="245D78CF" w:rsidR="00DD1C2A" w:rsidRPr="004C1F0C" w:rsidRDefault="00DD1C2A" w:rsidP="00DD1C2A">
      <w:bookmarkStart w:id="295" w:name="_Ref30690270"/>
      <w:bookmarkStart w:id="296" w:name="_Ref30690541"/>
      <w:r w:rsidRPr="004C1F0C">
        <w:t xml:space="preserve">Communications of an IAB node with multiple antenna panels (each connected to a separate RF chain) are not limited to one beam, but </w:t>
      </w:r>
      <w:r w:rsidR="00790BD5" w:rsidRPr="004C1F0C">
        <w:t xml:space="preserve">an enhanced multiplexing case may still put spatial </w:t>
      </w:r>
      <w:r w:rsidRPr="004C1F0C">
        <w:t>constraints</w:t>
      </w:r>
      <w:r w:rsidR="00790BD5" w:rsidRPr="004C1F0C">
        <w:t xml:space="preserve">, such as the example shown in </w:t>
      </w:r>
      <w:r w:rsidRPr="004C1F0C">
        <w:fldChar w:fldCharType="begin"/>
      </w:r>
      <w:r w:rsidRPr="004C1F0C">
        <w:instrText xml:space="preserve"> REF _Ref30691547 \r \h </w:instrText>
      </w:r>
      <w:r w:rsidR="00C477CC" w:rsidRPr="004C1F0C">
        <w:instrText xml:space="preserve"> \* MERGEFORMAT </w:instrText>
      </w:r>
      <w:r w:rsidRPr="004C1F0C">
        <w:fldChar w:fldCharType="separate"/>
      </w:r>
      <w:r w:rsidR="009F4637">
        <w:rPr>
          <w:cs/>
        </w:rPr>
        <w:t>‎</w:t>
      </w:r>
      <w:r w:rsidR="009F4637">
        <w:t>Figure 2</w:t>
      </w:r>
      <w:r w:rsidRPr="004C1F0C">
        <w:fldChar w:fldCharType="end"/>
      </w:r>
      <w:r w:rsidRPr="004C1F0C">
        <w:t>.</w:t>
      </w:r>
    </w:p>
    <w:p w14:paraId="6967AB0F" w14:textId="64639D0A" w:rsidR="00DD1C2A" w:rsidRPr="004C1F0C" w:rsidRDefault="00E052F4" w:rsidP="00DD1C2A">
      <w:pPr>
        <w:pStyle w:val="Figure"/>
      </w:pPr>
      <w:r w:rsidRPr="004C1F0C">
        <w:rPr>
          <w:noProof/>
        </w:rPr>
        <w:drawing>
          <wp:inline distT="0" distB="0" distL="0" distR="0" wp14:anchorId="29A98510" wp14:editId="17ABDE6E">
            <wp:extent cx="2697480" cy="26609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7480" cy="2660904"/>
                    </a:xfrm>
                    <a:prstGeom prst="rect">
                      <a:avLst/>
                    </a:prstGeom>
                    <a:noFill/>
                    <a:ln>
                      <a:noFill/>
                    </a:ln>
                  </pic:spPr>
                </pic:pic>
              </a:graphicData>
            </a:graphic>
          </wp:inline>
        </w:drawing>
      </w:r>
    </w:p>
    <w:p w14:paraId="491A5968" w14:textId="3F8CC7A5" w:rsidR="00DD1C2A" w:rsidRPr="004C1F0C" w:rsidRDefault="00DD1C2A" w:rsidP="00DD1C2A">
      <w:pPr>
        <w:pStyle w:val="Caption"/>
      </w:pPr>
      <w:bookmarkStart w:id="297" w:name="_Ref30691547"/>
      <w:r w:rsidRPr="004C1F0C">
        <w:t xml:space="preserve">. </w:t>
      </w:r>
      <w:r w:rsidR="009D14E9" w:rsidRPr="004C1F0C">
        <w:t>Beam/p</w:t>
      </w:r>
      <w:r w:rsidR="00AB3B95" w:rsidRPr="004C1F0C">
        <w:t xml:space="preserve">anel </w:t>
      </w:r>
      <w:r w:rsidR="00A0101E" w:rsidRPr="004C1F0C">
        <w:t>indication</w:t>
      </w:r>
      <w:r w:rsidR="00AB3B95" w:rsidRPr="004C1F0C">
        <w:t xml:space="preserve"> for s</w:t>
      </w:r>
      <w:r w:rsidRPr="004C1F0C">
        <w:t xml:space="preserve">imultaneous </w:t>
      </w:r>
      <w:r w:rsidR="006D2E97" w:rsidRPr="004C1F0C">
        <w:t xml:space="preserve">MT-DU </w:t>
      </w:r>
      <w:r w:rsidRPr="004C1F0C">
        <w:t>operation</w:t>
      </w:r>
      <w:r w:rsidR="00AB3B95" w:rsidRPr="004C1F0C">
        <w:t>s</w:t>
      </w:r>
      <w:bookmarkEnd w:id="297"/>
    </w:p>
    <w:p w14:paraId="63E7BEB6" w14:textId="1169A87A" w:rsidR="00790BD5" w:rsidRPr="004C1F0C" w:rsidRDefault="00790BD5" w:rsidP="00DD1C2A">
      <w:r w:rsidRPr="004C1F0C">
        <w:t xml:space="preserve">In this example, the IAB node has two antenna panels that are shared for IAB-MT and IAB-DU functionalities. The IAB node is connected to a parent node and a </w:t>
      </w:r>
      <w:r w:rsidR="00C5256D" w:rsidRPr="004C1F0C">
        <w:t>UE</w:t>
      </w:r>
      <w:r w:rsidRPr="004C1F0C">
        <w:t xml:space="preserve"> that are spatially separated. As a result, an antenna panel performing a TX/RX operation with the parent node</w:t>
      </w:r>
      <w:r w:rsidR="00C5256D" w:rsidRPr="004C1F0C">
        <w:t xml:space="preserve"> can</w:t>
      </w:r>
      <w:r w:rsidRPr="004C1F0C">
        <w:t xml:space="preserve">not be used for a simultaneous operation with the </w:t>
      </w:r>
      <w:r w:rsidR="00C5256D" w:rsidRPr="004C1F0C">
        <w:t>UE</w:t>
      </w:r>
      <w:r w:rsidRPr="004C1F0C">
        <w:t>, and vice versa.</w:t>
      </w:r>
    </w:p>
    <w:p w14:paraId="12E4C765" w14:textId="667DD260" w:rsidR="00DD1C2A" w:rsidRPr="004C1F0C" w:rsidRDefault="00DD1C2A" w:rsidP="00DD1C2A">
      <w:r w:rsidRPr="004C1F0C">
        <w:t xml:space="preserve">Suppose that the parent </w:t>
      </w:r>
      <w:r w:rsidR="00C5256D" w:rsidRPr="004C1F0C">
        <w:t xml:space="preserve">node </w:t>
      </w:r>
      <w:r w:rsidRPr="004C1F0C">
        <w:t xml:space="preserve">schedules a PDSCH to the IAB node. A TCI </w:t>
      </w:r>
      <w:r w:rsidR="009D7E3F" w:rsidRPr="004C1F0C">
        <w:t xml:space="preserve">state indicates </w:t>
      </w:r>
      <w:r w:rsidRPr="004C1F0C">
        <w:t xml:space="preserve">which of the two panels of </w:t>
      </w:r>
      <w:r w:rsidR="00790BD5" w:rsidRPr="004C1F0C">
        <w:t>the IAB node</w:t>
      </w:r>
      <w:r w:rsidRPr="004C1F0C">
        <w:t xml:space="preserve"> are selected by </w:t>
      </w:r>
      <w:r w:rsidR="00790BD5" w:rsidRPr="004C1F0C">
        <w:t>the parent node</w:t>
      </w:r>
      <w:r w:rsidRPr="004C1F0C">
        <w:t xml:space="preserve">. </w:t>
      </w:r>
      <w:r w:rsidR="009D7E3F" w:rsidRPr="004C1F0C">
        <w:t>If</w:t>
      </w:r>
      <w:r w:rsidRPr="004C1F0C">
        <w:t xml:space="preserve"> the PDSCH takes only one of the </w:t>
      </w:r>
      <w:r w:rsidR="00790BD5" w:rsidRPr="004C1F0C">
        <w:t xml:space="preserve">two antenna </w:t>
      </w:r>
      <w:r w:rsidRPr="004C1F0C">
        <w:t xml:space="preserve">panels, the </w:t>
      </w:r>
      <w:r w:rsidR="00C5256D" w:rsidRPr="004C1F0C">
        <w:t xml:space="preserve">IAB </w:t>
      </w:r>
      <w:r w:rsidRPr="004C1F0C">
        <w:t xml:space="preserve">node can </w:t>
      </w:r>
      <w:r w:rsidRPr="004C1F0C">
        <w:lastRenderedPageBreak/>
        <w:t xml:space="preserve">schedule a </w:t>
      </w:r>
      <w:r w:rsidR="009D7E3F" w:rsidRPr="004C1F0C">
        <w:t xml:space="preserve">simultaneous </w:t>
      </w:r>
      <w:r w:rsidRPr="004C1F0C">
        <w:t xml:space="preserve">PUSCH </w:t>
      </w:r>
      <w:r w:rsidR="009D7E3F" w:rsidRPr="004C1F0C">
        <w:t>for</w:t>
      </w:r>
      <w:r w:rsidRPr="004C1F0C">
        <w:t xml:space="preserve"> the </w:t>
      </w:r>
      <w:r w:rsidR="009D7E3F" w:rsidRPr="004C1F0C">
        <w:t>UE, and</w:t>
      </w:r>
      <w:r w:rsidR="00C5256D" w:rsidRPr="004C1F0C">
        <w:t xml:space="preserve"> select one of the antenna panels for the PUSCH that is not indicated used or restricted by the </w:t>
      </w:r>
      <w:r w:rsidR="00790BD5" w:rsidRPr="004C1F0C">
        <w:t xml:space="preserve">TCI </w:t>
      </w:r>
      <w:r w:rsidR="00C5256D" w:rsidRPr="004C1F0C">
        <w:t>state indication for the PDSCH</w:t>
      </w:r>
      <w:r w:rsidRPr="004C1F0C">
        <w:t>.</w:t>
      </w:r>
    </w:p>
    <w:p w14:paraId="6DC234A5" w14:textId="513F6567" w:rsidR="00DD1C2A" w:rsidRPr="004C1F0C" w:rsidRDefault="00790BD5" w:rsidP="00DD1C2A">
      <w:r w:rsidRPr="004C1F0C">
        <w:t>It can be seen that i</w:t>
      </w:r>
      <w:r w:rsidR="00DD1C2A" w:rsidRPr="004C1F0C">
        <w:t xml:space="preserve">f </w:t>
      </w:r>
      <w:r w:rsidRPr="004C1F0C">
        <w:t>the IAB node</w:t>
      </w:r>
      <w:r w:rsidR="00DD1C2A" w:rsidRPr="004C1F0C">
        <w:t xml:space="preserve"> </w:t>
      </w:r>
      <w:r w:rsidR="00335C8D" w:rsidRPr="004C1F0C">
        <w:t>receives the TCI state indication i</w:t>
      </w:r>
      <w:r w:rsidR="00DD1C2A" w:rsidRPr="004C1F0C">
        <w:t xml:space="preserve">n advance, it can schedule </w:t>
      </w:r>
      <w:r w:rsidR="00335C8D" w:rsidRPr="004C1F0C">
        <w:t>the PUSCH</w:t>
      </w:r>
      <w:r w:rsidR="00DD1C2A" w:rsidRPr="004C1F0C">
        <w:t xml:space="preserve"> </w:t>
      </w:r>
      <w:r w:rsidR="00335C8D" w:rsidRPr="004C1F0C">
        <w:t xml:space="preserve">for the </w:t>
      </w:r>
      <w:r w:rsidR="009D7E3F" w:rsidRPr="004C1F0C">
        <w:t>UE</w:t>
      </w:r>
      <w:r w:rsidR="00DD1C2A" w:rsidRPr="004C1F0C">
        <w:t xml:space="preserve">. However, if </w:t>
      </w:r>
      <w:r w:rsidR="00335C8D" w:rsidRPr="004C1F0C">
        <w:t>the TCI state indication is received</w:t>
      </w:r>
      <w:r w:rsidR="00DD1C2A" w:rsidRPr="004C1F0C">
        <w:t xml:space="preserve"> in the same time slot </w:t>
      </w:r>
      <w:r w:rsidR="004C0405">
        <w:t>(</w:t>
      </w:r>
      <w:r w:rsidR="00DD1C2A" w:rsidRPr="004C1F0C">
        <w:t>for example</w:t>
      </w:r>
      <w:r w:rsidR="004C0405">
        <w:t>)</w:t>
      </w:r>
      <w:r w:rsidR="00DD1C2A" w:rsidRPr="004C1F0C">
        <w:t xml:space="preserve">, </w:t>
      </w:r>
      <w:r w:rsidR="00335C8D" w:rsidRPr="004C1F0C">
        <w:t>the IAB node</w:t>
      </w:r>
      <w:r w:rsidR="00DD1C2A" w:rsidRPr="004C1F0C">
        <w:t xml:space="preserve"> will not have sufficient time to decode the </w:t>
      </w:r>
      <w:r w:rsidR="00335C8D" w:rsidRPr="004C1F0C">
        <w:t xml:space="preserve">message in a timely manner and </w:t>
      </w:r>
      <w:r w:rsidR="00DD1C2A" w:rsidRPr="004C1F0C">
        <w:t xml:space="preserve">transmit a </w:t>
      </w:r>
      <w:r w:rsidR="00335C8D" w:rsidRPr="004C1F0C">
        <w:t xml:space="preserve">scheduling DCI </w:t>
      </w:r>
      <w:r w:rsidR="00DD1C2A" w:rsidRPr="004C1F0C">
        <w:t xml:space="preserve">of its own to </w:t>
      </w:r>
      <w:r w:rsidR="00335C8D" w:rsidRPr="004C1F0C">
        <w:t>the child node</w:t>
      </w:r>
      <w:r w:rsidR="00DD1C2A" w:rsidRPr="004C1F0C">
        <w:t>.</w:t>
      </w:r>
    </w:p>
    <w:p w14:paraId="4BEB4243" w14:textId="53333E20" w:rsidR="005B3946" w:rsidRPr="004C1F0C" w:rsidRDefault="005B3946" w:rsidP="00DD1C2A">
      <w:r w:rsidRPr="004C1F0C">
        <w:t xml:space="preserve">Therefore, proper configuration of scheduling parameters such as k0 and k2 can be key to enabling </w:t>
      </w:r>
      <w:r w:rsidR="00164961" w:rsidRPr="004C1F0C">
        <w:t>simultaneous</w:t>
      </w:r>
      <w:r w:rsidRPr="004C1F0C">
        <w:t xml:space="preserve"> operations.</w:t>
      </w:r>
    </w:p>
    <w:p w14:paraId="7C96DC4E" w14:textId="4FAE76C9" w:rsidR="008B5464" w:rsidRDefault="00142720" w:rsidP="00D27944">
      <w:pPr>
        <w:pStyle w:val="Proposal"/>
      </w:pPr>
      <w:bookmarkStart w:id="298" w:name="_Toc71631394"/>
      <w:bookmarkStart w:id="299" w:name="_Toc71634734"/>
      <w:bookmarkStart w:id="300" w:name="_Toc71639080"/>
      <w:bookmarkStart w:id="301" w:name="_Toc71642079"/>
      <w:bookmarkStart w:id="302" w:name="_Toc71648832"/>
      <w:bookmarkStart w:id="303" w:name="_Toc71649582"/>
      <w:bookmarkStart w:id="304" w:name="_Toc71665427"/>
      <w:bookmarkStart w:id="305" w:name="_Toc71665676"/>
      <w:bookmarkStart w:id="306" w:name="_Toc71666695"/>
      <w:bookmarkStart w:id="307" w:name="_Toc79157022"/>
      <w:bookmarkStart w:id="308" w:name="_Toc79157214"/>
      <w:bookmarkStart w:id="309" w:name="_Toc79159804"/>
      <w:bookmarkStart w:id="310" w:name="_Toc79177825"/>
      <w:bookmarkStart w:id="311" w:name="_Toc83997382"/>
      <w:bookmarkStart w:id="312" w:name="_Toc84007478"/>
      <w:bookmarkStart w:id="313" w:name="_Toc84018537"/>
      <w:bookmarkStart w:id="314" w:name="_Toc87021767"/>
      <w:bookmarkStart w:id="315" w:name="_Toc87034784"/>
      <w:bookmarkStart w:id="316" w:name="_Toc87034938"/>
      <w:bookmarkStart w:id="317" w:name="_Toc87035718"/>
      <w:bookmarkStart w:id="318" w:name="_Toc87035743"/>
      <w:bookmarkStart w:id="319" w:name="_Toc87036442"/>
      <w:bookmarkStart w:id="320" w:name="_Toc87036785"/>
      <w:bookmarkStart w:id="321" w:name="_Toc87037761"/>
      <w:bookmarkStart w:id="322" w:name="_Toc87037957"/>
      <w:bookmarkStart w:id="323" w:name="_Toc87038110"/>
      <w:bookmarkStart w:id="324" w:name="_Toc87040015"/>
      <w:bookmarkStart w:id="325" w:name="_Toc87040181"/>
      <w:bookmarkStart w:id="326" w:name="_Toc54311504"/>
      <w:bookmarkStart w:id="327" w:name="_Toc54311604"/>
      <w:bookmarkStart w:id="328" w:name="_Toc54311799"/>
      <w:bookmarkStart w:id="329" w:name="_Toc54332052"/>
      <w:bookmarkStart w:id="330" w:name="_Toc54332730"/>
      <w:bookmarkStart w:id="331" w:name="_Toc54332774"/>
      <w:bookmarkStart w:id="332" w:name="_Toc54332816"/>
      <w:bookmarkStart w:id="333" w:name="_Toc54336716"/>
      <w:bookmarkStart w:id="334" w:name="_Toc54336877"/>
      <w:bookmarkStart w:id="335" w:name="_Toc54341454"/>
      <w:bookmarkStart w:id="336" w:name="_Toc54341512"/>
      <w:bookmarkStart w:id="337" w:name="_Toc54345801"/>
      <w:bookmarkStart w:id="338" w:name="_Toc54393518"/>
      <w:bookmarkStart w:id="339" w:name="_Toc54393579"/>
      <w:bookmarkStart w:id="340" w:name="_Toc54393718"/>
      <w:bookmarkStart w:id="341" w:name="_Toc61520644"/>
      <w:bookmarkStart w:id="342" w:name="_Toc61536510"/>
      <w:bookmarkStart w:id="343" w:name="_Toc61541290"/>
      <w:bookmarkStart w:id="344" w:name="_Toc61541342"/>
      <w:bookmarkStart w:id="345" w:name="_Toc61544633"/>
      <w:bookmarkStart w:id="346" w:name="_Toc61547546"/>
      <w:bookmarkStart w:id="347" w:name="_Toc61559091"/>
      <w:bookmarkStart w:id="348" w:name="_Toc61559328"/>
      <w:bookmarkStart w:id="349" w:name="_Toc61854474"/>
      <w:bookmarkStart w:id="350" w:name="_Toc61858381"/>
      <w:bookmarkStart w:id="351" w:name="_Toc61858815"/>
      <w:bookmarkStart w:id="352" w:name="_Toc61859146"/>
      <w:bookmarkStart w:id="353" w:name="_Toc61895540"/>
      <w:bookmarkStart w:id="354" w:name="_Toc61895642"/>
      <w:bookmarkStart w:id="355" w:name="_Toc68553153"/>
      <w:bookmarkStart w:id="356" w:name="_Toc68604764"/>
      <w:bookmarkStart w:id="357" w:name="_Toc68608875"/>
      <w:bookmarkStart w:id="358" w:name="_Toc68611507"/>
      <w:bookmarkStart w:id="359" w:name="_Toc68621472"/>
      <w:bookmarkStart w:id="360" w:name="_Toc68645543"/>
      <w:bookmarkStart w:id="361" w:name="_Toc71627798"/>
      <w:bookmarkStart w:id="362" w:name="_Toc71627848"/>
      <w:bookmarkStart w:id="363" w:name="_Toc87045011"/>
      <w:r>
        <w:t>Support per-panel granularity by allowing</w:t>
      </w:r>
      <w:r w:rsidR="008B5464" w:rsidRPr="004C1F0C">
        <w:t xml:space="preserve"> dynamic indication </w:t>
      </w:r>
      <w:r>
        <w:t>of</w:t>
      </w:r>
      <w:r w:rsidR="008B5464" w:rsidRPr="004C1F0C">
        <w:t xml:space="preserve"> </w:t>
      </w:r>
      <w:r w:rsidR="009D7E3F" w:rsidRPr="004C1F0C">
        <w:t xml:space="preserve">restricting/using </w:t>
      </w:r>
      <w:r w:rsidR="008B5464" w:rsidRPr="004C1F0C">
        <w:t>beams and their associated antenna panels for specific time-frequency resources.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63"/>
    </w:p>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497B150F" w14:textId="2D34C6FB" w:rsidR="00145EA7" w:rsidRPr="004C1F0C" w:rsidRDefault="00030ACA" w:rsidP="0024379E">
      <w:pPr>
        <w:rPr>
          <w:lang w:val="en-GB"/>
        </w:rPr>
      </w:pPr>
      <w:r>
        <w:rPr>
          <w:lang w:val="en-GB"/>
        </w:rPr>
        <w:t>Moreover</w:t>
      </w:r>
      <w:r w:rsidR="00E24B4A" w:rsidRPr="004C1F0C">
        <w:rPr>
          <w:lang w:val="en-GB"/>
        </w:rPr>
        <w:t>:</w:t>
      </w:r>
    </w:p>
    <w:p w14:paraId="403CD8F2" w14:textId="4A2A9677" w:rsidR="00E24B4A" w:rsidRPr="004C1F0C" w:rsidRDefault="00E24B4A" w:rsidP="00B05C5E">
      <w:pPr>
        <w:pStyle w:val="ListParagraph"/>
        <w:numPr>
          <w:ilvl w:val="0"/>
          <w:numId w:val="11"/>
        </w:numPr>
        <w:rPr>
          <w:lang w:val="en-GB"/>
        </w:rPr>
      </w:pPr>
      <w:r w:rsidRPr="004C1F0C">
        <w:rPr>
          <w:lang w:val="en-GB"/>
        </w:rPr>
        <w:t xml:space="preserve">The above proposed mechanism </w:t>
      </w:r>
      <w:r w:rsidR="00030ACA">
        <w:rPr>
          <w:lang w:val="en-GB"/>
        </w:rPr>
        <w:t>is</w:t>
      </w:r>
      <w:r w:rsidRPr="004C1F0C">
        <w:rPr>
          <w:lang w:val="en-GB"/>
        </w:rPr>
        <w:t xml:space="preserve"> not only </w:t>
      </w:r>
      <w:r w:rsidR="004C0405">
        <w:rPr>
          <w:lang w:val="en-GB"/>
        </w:rPr>
        <w:t xml:space="preserve">applicable to </w:t>
      </w:r>
      <w:r w:rsidRPr="004C1F0C">
        <w:rPr>
          <w:lang w:val="en-GB"/>
        </w:rPr>
        <w:t xml:space="preserve">multi-panel scenarios. A single-panel IAB node may also benefit from early dynamic </w:t>
      </w:r>
      <w:r w:rsidR="00164961" w:rsidRPr="004C1F0C">
        <w:rPr>
          <w:lang w:val="en-GB"/>
        </w:rPr>
        <w:t>signalling</w:t>
      </w:r>
      <w:r w:rsidRPr="004C1F0C">
        <w:rPr>
          <w:lang w:val="en-GB"/>
        </w:rPr>
        <w:t xml:space="preserve"> if it can accommodate </w:t>
      </w:r>
      <w:r w:rsidR="00164961" w:rsidRPr="004C1F0C">
        <w:rPr>
          <w:lang w:val="en-GB"/>
        </w:rPr>
        <w:t>simultaneous</w:t>
      </w:r>
      <w:r w:rsidRPr="004C1F0C">
        <w:rPr>
          <w:lang w:val="en-GB"/>
        </w:rPr>
        <w:t xml:space="preserve"> operations by one antenna panel.</w:t>
      </w:r>
    </w:p>
    <w:p w14:paraId="0A4BDDF0" w14:textId="11562BDD" w:rsidR="00DA28A0" w:rsidRPr="004C1F0C" w:rsidRDefault="00E24B4A" w:rsidP="00B05C5E">
      <w:pPr>
        <w:pStyle w:val="ListParagraph"/>
        <w:numPr>
          <w:ilvl w:val="0"/>
          <w:numId w:val="11"/>
        </w:numPr>
        <w:rPr>
          <w:lang w:val="en-GB"/>
        </w:rPr>
      </w:pPr>
      <w:r w:rsidRPr="004C1F0C">
        <w:rPr>
          <w:lang w:val="en-GB"/>
        </w:rPr>
        <w:t xml:space="preserve">The proposed dynamic </w:t>
      </w:r>
      <w:r w:rsidR="00164961" w:rsidRPr="004C1F0C">
        <w:rPr>
          <w:lang w:val="en-GB"/>
        </w:rPr>
        <w:t>signalling</w:t>
      </w:r>
      <w:r w:rsidRPr="004C1F0C">
        <w:rPr>
          <w:lang w:val="en-GB"/>
        </w:rPr>
        <w:t xml:space="preserve"> allows the parent node to indicate a beam for the upstream link, from which the IAB node can determine spatial </w:t>
      </w:r>
      <w:r w:rsidR="00DA28A0" w:rsidRPr="004C1F0C">
        <w:rPr>
          <w:lang w:val="en-GB"/>
        </w:rPr>
        <w:t>constraints for a downstream link</w:t>
      </w:r>
      <w:r w:rsidR="004C0405">
        <w:rPr>
          <w:lang w:val="en-GB"/>
        </w:rPr>
        <w:t xml:space="preserve">. This approach complements the downstream indication agreed in </w:t>
      </w:r>
      <w:r w:rsidR="00030ACA">
        <w:rPr>
          <w:lang w:val="en-GB"/>
        </w:rPr>
        <w:t>the past meetings</w:t>
      </w:r>
      <w:r w:rsidR="00DA28A0" w:rsidRPr="004C1F0C">
        <w:rPr>
          <w:lang w:val="en-GB"/>
        </w:rPr>
        <w:t xml:space="preserve">. The two approaches are compared in </w:t>
      </w:r>
      <w:r w:rsidR="00861590">
        <w:rPr>
          <w:lang w:val="en-GB"/>
        </w:rPr>
        <w:fldChar w:fldCharType="begin"/>
      </w:r>
      <w:r w:rsidR="00861590">
        <w:rPr>
          <w:lang w:val="en-GB"/>
        </w:rPr>
        <w:instrText xml:space="preserve"> REF _Ref79154484 \r \h </w:instrText>
      </w:r>
      <w:r w:rsidR="00861590">
        <w:rPr>
          <w:lang w:val="en-GB"/>
        </w:rPr>
      </w:r>
      <w:r w:rsidR="00861590">
        <w:rPr>
          <w:lang w:val="en-GB"/>
        </w:rPr>
        <w:fldChar w:fldCharType="separate"/>
      </w:r>
      <w:r w:rsidR="009F4637">
        <w:rPr>
          <w:cs/>
          <w:lang w:val="en-GB"/>
        </w:rPr>
        <w:t>‎</w:t>
      </w:r>
      <w:r w:rsidR="009F4637">
        <w:rPr>
          <w:lang w:val="en-GB"/>
        </w:rPr>
        <w:t>Figure 3</w:t>
      </w:r>
      <w:r w:rsidR="00861590">
        <w:rPr>
          <w:lang w:val="en-GB"/>
        </w:rPr>
        <w:fldChar w:fldCharType="end"/>
      </w:r>
      <w:r w:rsidR="00DA28A0" w:rsidRPr="004C1F0C">
        <w:rPr>
          <w:lang w:val="en-GB"/>
        </w:rPr>
        <w:t>.</w:t>
      </w:r>
    </w:p>
    <w:p w14:paraId="23683C79" w14:textId="4FC8E20A" w:rsidR="00EB6BC4" w:rsidRPr="004C1F0C" w:rsidRDefault="009003A0" w:rsidP="00647054">
      <w:pPr>
        <w:pStyle w:val="Figure"/>
      </w:pPr>
      <w:r w:rsidRPr="004C1F0C">
        <w:rPr>
          <w:noProof/>
        </w:rPr>
        <w:drawing>
          <wp:inline distT="0" distB="0" distL="0" distR="0" wp14:anchorId="34F9915D" wp14:editId="0DDCEB03">
            <wp:extent cx="3401568" cy="2651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1568" cy="2651760"/>
                    </a:xfrm>
                    <a:prstGeom prst="rect">
                      <a:avLst/>
                    </a:prstGeom>
                    <a:noFill/>
                    <a:ln>
                      <a:noFill/>
                    </a:ln>
                  </pic:spPr>
                </pic:pic>
              </a:graphicData>
            </a:graphic>
          </wp:inline>
        </w:drawing>
      </w:r>
    </w:p>
    <w:p w14:paraId="795C26BF" w14:textId="1BCCE47F" w:rsidR="00647054" w:rsidRPr="004C1F0C" w:rsidRDefault="00647054" w:rsidP="00647054">
      <w:pPr>
        <w:pStyle w:val="Caption"/>
      </w:pPr>
      <w:bookmarkStart w:id="364" w:name="_Ref79154484"/>
      <w:r w:rsidRPr="004C1F0C">
        <w:t xml:space="preserve">. Dynamic </w:t>
      </w:r>
      <w:r w:rsidR="00164961" w:rsidRPr="004C1F0C">
        <w:t>signalling</w:t>
      </w:r>
      <w:r w:rsidRPr="004C1F0C">
        <w:t xml:space="preserve"> for upstream indication vs. downstream indication</w:t>
      </w:r>
      <w:bookmarkEnd w:id="364"/>
    </w:p>
    <w:p w14:paraId="3D04C951" w14:textId="2D4FB854" w:rsidR="009F0433" w:rsidRPr="004C1F0C" w:rsidRDefault="009F0433" w:rsidP="009F0433">
      <w:pPr>
        <w:rPr>
          <w:lang w:val="en-GB"/>
        </w:rPr>
      </w:pPr>
      <w:r w:rsidRPr="004C1F0C">
        <w:rPr>
          <w:lang w:val="en-GB"/>
        </w:rPr>
        <w:t xml:space="preserve">Each </w:t>
      </w:r>
      <w:r w:rsidR="00D459DE">
        <w:rPr>
          <w:lang w:val="en-GB"/>
        </w:rPr>
        <w:t>approach</w:t>
      </w:r>
      <w:r w:rsidRPr="004C1F0C">
        <w:rPr>
          <w:lang w:val="en-GB"/>
        </w:rPr>
        <w:t xml:space="preserve"> has its pros and cons. Advantages of ‘upstream indications’ include simplicity and less effort required for specification, configuration, and capability </w:t>
      </w:r>
      <w:r w:rsidR="00164961" w:rsidRPr="004C1F0C">
        <w:rPr>
          <w:lang w:val="en-GB"/>
        </w:rPr>
        <w:t>signalling</w:t>
      </w:r>
      <w:r w:rsidRPr="004C1F0C">
        <w:rPr>
          <w:lang w:val="en-GB"/>
        </w:rPr>
        <w:t xml:space="preserve">. Advantages of ‘downstream </w:t>
      </w:r>
      <w:r w:rsidR="00164961" w:rsidRPr="004C1F0C">
        <w:rPr>
          <w:lang w:val="en-GB"/>
        </w:rPr>
        <w:t>indications</w:t>
      </w:r>
      <w:r w:rsidRPr="004C1F0C">
        <w:rPr>
          <w:lang w:val="en-GB"/>
        </w:rPr>
        <w:t>,’ on the other hand, include higher flexibility for spatial resource (panel and beam) management, interference management, and so on.</w:t>
      </w:r>
    </w:p>
    <w:p w14:paraId="40ED677F" w14:textId="3A887162" w:rsidR="009F0433" w:rsidRPr="004C1F0C" w:rsidRDefault="009F0433" w:rsidP="009F0433">
      <w:pPr>
        <w:rPr>
          <w:lang w:val="en-GB"/>
        </w:rPr>
      </w:pPr>
      <w:r w:rsidRPr="004C1F0C">
        <w:rPr>
          <w:lang w:val="en-GB"/>
        </w:rPr>
        <w:t>Since the</w:t>
      </w:r>
      <w:r w:rsidR="00B36892">
        <w:rPr>
          <w:lang w:val="en-GB"/>
        </w:rPr>
        <w:t>se</w:t>
      </w:r>
      <w:r w:rsidRPr="004C1F0C">
        <w:rPr>
          <w:lang w:val="en-GB"/>
        </w:rPr>
        <w:t xml:space="preserve"> approaches leads to provisions that cannot be provided by one approach alone, we find it beneficial to discuss </w:t>
      </w:r>
      <w:r w:rsidR="00B36892">
        <w:rPr>
          <w:lang w:val="en-GB"/>
        </w:rPr>
        <w:t>early upstream</w:t>
      </w:r>
      <w:r w:rsidRPr="004C1F0C">
        <w:rPr>
          <w:lang w:val="en-GB"/>
        </w:rPr>
        <w:t xml:space="preserve"> indication</w:t>
      </w:r>
      <w:r w:rsidR="00B36892">
        <w:rPr>
          <w:lang w:val="en-GB"/>
        </w:rPr>
        <w:t>s</w:t>
      </w:r>
      <w:r w:rsidRPr="004C1F0C">
        <w:rPr>
          <w:lang w:val="en-GB"/>
        </w:rPr>
        <w:t xml:space="preserve"> in addition to the </w:t>
      </w:r>
      <w:r w:rsidR="00B36892">
        <w:rPr>
          <w:lang w:val="en-GB"/>
        </w:rPr>
        <w:t xml:space="preserve">agreed </w:t>
      </w:r>
      <w:r w:rsidRPr="004C1F0C">
        <w:rPr>
          <w:lang w:val="en-GB"/>
        </w:rPr>
        <w:t>indication approach.</w:t>
      </w:r>
    </w:p>
    <w:p w14:paraId="22FD11CF" w14:textId="2AA7DFA0" w:rsidR="009B59A5" w:rsidRDefault="00DA0190" w:rsidP="00A51664">
      <w:pPr>
        <w:pStyle w:val="Proposal"/>
        <w:rPr>
          <w:lang w:val="en-GB"/>
        </w:rPr>
      </w:pPr>
      <w:bookmarkStart w:id="365" w:name="_Toc68608876"/>
      <w:bookmarkStart w:id="366" w:name="_Toc68611508"/>
      <w:bookmarkStart w:id="367" w:name="_Toc68621473"/>
      <w:bookmarkStart w:id="368" w:name="_Toc68645544"/>
      <w:bookmarkStart w:id="369" w:name="_Toc71627799"/>
      <w:bookmarkStart w:id="370" w:name="_Toc71627849"/>
      <w:bookmarkStart w:id="371" w:name="_Toc71631395"/>
      <w:bookmarkStart w:id="372" w:name="_Toc71634735"/>
      <w:bookmarkStart w:id="373" w:name="_Toc71639081"/>
      <w:bookmarkStart w:id="374" w:name="_Toc71642080"/>
      <w:bookmarkStart w:id="375" w:name="_Toc71648833"/>
      <w:bookmarkStart w:id="376" w:name="_Toc71649583"/>
      <w:bookmarkStart w:id="377" w:name="_Toc71665428"/>
      <w:bookmarkStart w:id="378" w:name="_Toc71665677"/>
      <w:bookmarkStart w:id="379" w:name="_Toc71666696"/>
      <w:bookmarkStart w:id="380" w:name="_Toc79157023"/>
      <w:bookmarkStart w:id="381" w:name="_Toc79157215"/>
      <w:bookmarkStart w:id="382" w:name="_Toc79159805"/>
      <w:bookmarkStart w:id="383" w:name="_Toc79177826"/>
      <w:bookmarkStart w:id="384" w:name="_Toc83997383"/>
      <w:bookmarkStart w:id="385" w:name="_Toc84007479"/>
      <w:bookmarkStart w:id="386" w:name="_Toc84018538"/>
      <w:bookmarkStart w:id="387" w:name="_Toc87021768"/>
      <w:bookmarkStart w:id="388" w:name="_Toc87034785"/>
      <w:bookmarkStart w:id="389" w:name="_Toc87034939"/>
      <w:bookmarkStart w:id="390" w:name="_Toc87035719"/>
      <w:bookmarkStart w:id="391" w:name="_Toc87035744"/>
      <w:bookmarkStart w:id="392" w:name="_Toc87036443"/>
      <w:bookmarkStart w:id="393" w:name="_Toc87036786"/>
      <w:bookmarkStart w:id="394" w:name="_Toc87037762"/>
      <w:bookmarkStart w:id="395" w:name="_Toc87037958"/>
      <w:bookmarkStart w:id="396" w:name="_Toc87038111"/>
      <w:bookmarkStart w:id="397" w:name="_Toc87040016"/>
      <w:bookmarkStart w:id="398" w:name="_Toc87040182"/>
      <w:bookmarkStart w:id="399" w:name="_Toc87045012"/>
      <w:r>
        <w:rPr>
          <w:lang w:val="en-GB"/>
        </w:rPr>
        <w:t>S</w:t>
      </w:r>
      <w:r w:rsidR="009D6245" w:rsidRPr="004C1F0C">
        <w:rPr>
          <w:lang w:val="en-GB"/>
        </w:rPr>
        <w:t xml:space="preserve">upport </w:t>
      </w:r>
      <w:r w:rsidR="00B36892">
        <w:rPr>
          <w:lang w:val="en-GB"/>
        </w:rPr>
        <w:t xml:space="preserve">early </w:t>
      </w:r>
      <w:r>
        <w:rPr>
          <w:lang w:val="en-GB"/>
        </w:rPr>
        <w:t xml:space="preserve">beam/panel </w:t>
      </w:r>
      <w:r w:rsidR="009D6245" w:rsidRPr="004C1F0C">
        <w:rPr>
          <w:lang w:val="en-GB"/>
        </w:rPr>
        <w:t xml:space="preserve">indications </w:t>
      </w:r>
      <w:r w:rsidR="00E83D06">
        <w:rPr>
          <w:lang w:val="en-GB"/>
        </w:rPr>
        <w:t xml:space="preserve">for the upstream link </w:t>
      </w:r>
      <w:r w:rsidR="009D6245" w:rsidRPr="004C1F0C">
        <w:rPr>
          <w:lang w:val="en-GB"/>
        </w:rPr>
        <w:t xml:space="preserve">in addition to </w:t>
      </w:r>
      <w:r>
        <w:rPr>
          <w:lang w:val="en-GB"/>
        </w:rPr>
        <w:t xml:space="preserve">downstream </w:t>
      </w:r>
      <w:r w:rsidR="00030ACA">
        <w:rPr>
          <w:lang w:val="en-GB"/>
        </w:rPr>
        <w:t xml:space="preserve">beam </w:t>
      </w:r>
      <w:r w:rsidR="009D6245" w:rsidRPr="004C1F0C">
        <w:rPr>
          <w:lang w:val="en-GB"/>
        </w:rPr>
        <w:t>indication</w:t>
      </w:r>
      <w:r>
        <w:rPr>
          <w:lang w:val="en-GB"/>
        </w:rPr>
        <w:t>s</w:t>
      </w:r>
      <w:r w:rsidR="009D6245" w:rsidRPr="004C1F0C">
        <w:rPr>
          <w:lang w:val="en-GB"/>
        </w:rPr>
        <w: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53AD039" w14:textId="77777777" w:rsidR="000814D9" w:rsidRPr="000814D9" w:rsidRDefault="000814D9" w:rsidP="000814D9">
      <w:pPr>
        <w:rPr>
          <w:lang w:val="en-GB"/>
        </w:rPr>
      </w:pPr>
    </w:p>
    <w:bookmarkEnd w:id="295"/>
    <w:bookmarkEnd w:id="296"/>
    <w:p w14:paraId="73DB5A94" w14:textId="052DF9E0" w:rsidR="004E2463" w:rsidRDefault="005840CB" w:rsidP="004E2463">
      <w:pPr>
        <w:pStyle w:val="Heading2"/>
      </w:pPr>
      <w:r>
        <w:t>Applicability</w:t>
      </w:r>
      <w:r w:rsidR="009B468E">
        <w:t xml:space="preserve"> of multiplexing cases</w:t>
      </w:r>
    </w:p>
    <w:p w14:paraId="0F421749" w14:textId="5F0F116E" w:rsidR="00344E58" w:rsidRDefault="00344E58" w:rsidP="006120D1">
      <w:r>
        <w:t xml:space="preserve">The following was </w:t>
      </w:r>
      <w:r w:rsidR="00AE40F7">
        <w:t>agreed in RAN1#105-e</w:t>
      </w:r>
      <w:r w:rsidR="00A64AF3">
        <w:t xml:space="preserve"> </w:t>
      </w:r>
      <w:r w:rsidR="00AE40F7">
        <w:rPr>
          <w:lang w:val="en-GB"/>
        </w:rPr>
        <w:t>[2]</w:t>
      </w:r>
      <w:r>
        <w:t>:</w:t>
      </w:r>
    </w:p>
    <w:p w14:paraId="5925348B" w14:textId="77777777" w:rsidR="00AE40F7" w:rsidRPr="00974519" w:rsidRDefault="00AE40F7" w:rsidP="00AE40F7">
      <w:pPr>
        <w:adjustRightInd w:val="0"/>
        <w:snapToGrid w:val="0"/>
        <w:spacing w:before="240" w:after="0"/>
        <w:ind w:left="1267" w:hanging="1267"/>
        <w:jc w:val="both"/>
        <w:rPr>
          <w:rFonts w:asciiTheme="majorBidi" w:hAnsiTheme="majorBidi" w:cstheme="majorBidi"/>
          <w:b/>
          <w:szCs w:val="20"/>
          <w:highlight w:val="green"/>
        </w:rPr>
      </w:pPr>
      <w:r w:rsidRPr="00974519">
        <w:rPr>
          <w:rFonts w:asciiTheme="majorBidi" w:hAnsiTheme="majorBidi" w:cstheme="majorBidi"/>
          <w:b/>
          <w:szCs w:val="20"/>
          <w:highlight w:val="green"/>
        </w:rPr>
        <w:t>Agreement</w:t>
      </w:r>
    </w:p>
    <w:p w14:paraId="035D970F" w14:textId="77777777" w:rsidR="00AE40F7" w:rsidRPr="00974519" w:rsidRDefault="00AE40F7" w:rsidP="00AE40F7">
      <w:pPr>
        <w:jc w:val="both"/>
        <w:rPr>
          <w:rFonts w:asciiTheme="majorBidi" w:hAnsiTheme="majorBidi" w:cstheme="majorBidi"/>
          <w:szCs w:val="20"/>
        </w:rPr>
      </w:pPr>
      <w:r w:rsidRPr="00974519">
        <w:rPr>
          <w:rFonts w:asciiTheme="majorBidi" w:hAnsiTheme="majorBidi" w:cstheme="majorBidi"/>
          <w:szCs w:val="20"/>
        </w:rPr>
        <w:t>The parent IAB-node is dynamically provided with conditions/parameters to facilitate adaptation between multiplexing operation modes:</w:t>
      </w:r>
    </w:p>
    <w:p w14:paraId="3878D6C4" w14:textId="77777777" w:rsidR="00AE40F7" w:rsidRPr="00974519" w:rsidRDefault="00AE40F7" w:rsidP="00AE40F7">
      <w:pPr>
        <w:pStyle w:val="ListParagraph"/>
        <w:numPr>
          <w:ilvl w:val="0"/>
          <w:numId w:val="20"/>
        </w:numPr>
        <w:overflowPunct w:val="0"/>
        <w:autoSpaceDE w:val="0"/>
        <w:autoSpaceDN w:val="0"/>
        <w:adjustRightInd w:val="0"/>
        <w:spacing w:before="0" w:after="0" w:line="240" w:lineRule="auto"/>
        <w:jc w:val="both"/>
        <w:textAlignment w:val="baseline"/>
        <w:rPr>
          <w:rFonts w:asciiTheme="majorBidi" w:hAnsiTheme="majorBidi" w:cstheme="majorBidi"/>
          <w:szCs w:val="20"/>
        </w:rPr>
      </w:pPr>
      <w:r w:rsidRPr="00974519">
        <w:rPr>
          <w:rFonts w:asciiTheme="majorBidi" w:hAnsiTheme="majorBidi" w:cstheme="majorBidi"/>
          <w:szCs w:val="20"/>
        </w:rPr>
        <w:lastRenderedPageBreak/>
        <w:t>FFS: Required number of guard symbols for switching of multiplexing mode (FFS: per timing mode or per multiplexing mode) for IAB-DU</w:t>
      </w:r>
    </w:p>
    <w:p w14:paraId="0ED3FF83" w14:textId="77777777" w:rsidR="00AE40F7" w:rsidRPr="00974519" w:rsidRDefault="00AE40F7" w:rsidP="00AE40F7">
      <w:pPr>
        <w:pStyle w:val="ListParagraph"/>
        <w:numPr>
          <w:ilvl w:val="0"/>
          <w:numId w:val="20"/>
        </w:numPr>
        <w:overflowPunct w:val="0"/>
        <w:autoSpaceDE w:val="0"/>
        <w:autoSpaceDN w:val="0"/>
        <w:adjustRightInd w:val="0"/>
        <w:spacing w:before="0" w:after="0" w:line="240" w:lineRule="auto"/>
        <w:jc w:val="both"/>
        <w:textAlignment w:val="baseline"/>
        <w:rPr>
          <w:rFonts w:asciiTheme="majorBidi" w:hAnsiTheme="majorBidi" w:cstheme="majorBidi"/>
          <w:szCs w:val="20"/>
        </w:rPr>
      </w:pPr>
      <w:r w:rsidRPr="00974519">
        <w:rPr>
          <w:rFonts w:asciiTheme="majorBidi" w:hAnsiTheme="majorBidi" w:cstheme="majorBidi"/>
          <w:szCs w:val="20"/>
        </w:rPr>
        <w:t xml:space="preserve">FFS: </w:t>
      </w:r>
      <w:proofErr w:type="spellStart"/>
      <w:r w:rsidRPr="00974519">
        <w:rPr>
          <w:rFonts w:asciiTheme="majorBidi" w:hAnsiTheme="majorBidi" w:cstheme="majorBidi"/>
          <w:szCs w:val="20"/>
        </w:rPr>
        <w:t>Signalling</w:t>
      </w:r>
      <w:proofErr w:type="spellEnd"/>
      <w:r w:rsidRPr="00974519">
        <w:rPr>
          <w:rFonts w:asciiTheme="majorBidi" w:hAnsiTheme="majorBidi" w:cstheme="majorBidi"/>
          <w:szCs w:val="20"/>
        </w:rPr>
        <w:t xml:space="preserve"> procedure</w:t>
      </w:r>
    </w:p>
    <w:p w14:paraId="75FE040D" w14:textId="77777777" w:rsidR="00AE40F7" w:rsidRPr="00974519" w:rsidRDefault="00AE40F7" w:rsidP="00AE40F7">
      <w:pPr>
        <w:pStyle w:val="ListParagraph"/>
        <w:numPr>
          <w:ilvl w:val="0"/>
          <w:numId w:val="20"/>
        </w:numPr>
        <w:spacing w:before="0" w:after="0" w:line="240" w:lineRule="auto"/>
        <w:jc w:val="both"/>
        <w:rPr>
          <w:rFonts w:asciiTheme="majorBidi" w:hAnsiTheme="majorBidi" w:cstheme="majorBidi"/>
          <w:szCs w:val="20"/>
        </w:rPr>
      </w:pPr>
      <w:r w:rsidRPr="00974519">
        <w:rPr>
          <w:rFonts w:asciiTheme="majorBidi" w:hAnsiTheme="majorBidi" w:cstheme="majorBidi"/>
          <w:szCs w:val="20"/>
        </w:rPr>
        <w:t>FFS: Required guard band for FDM</w:t>
      </w:r>
    </w:p>
    <w:p w14:paraId="2CEE6128" w14:textId="77777777" w:rsidR="00AE40F7" w:rsidRPr="00974519" w:rsidRDefault="00AE40F7" w:rsidP="00AE40F7">
      <w:pPr>
        <w:pStyle w:val="ListParagraph"/>
        <w:numPr>
          <w:ilvl w:val="0"/>
          <w:numId w:val="20"/>
        </w:numPr>
        <w:spacing w:before="0" w:after="0" w:line="240" w:lineRule="auto"/>
        <w:jc w:val="both"/>
        <w:rPr>
          <w:rFonts w:asciiTheme="majorBidi" w:hAnsiTheme="majorBidi" w:cstheme="majorBidi"/>
          <w:szCs w:val="20"/>
        </w:rPr>
      </w:pPr>
      <w:r w:rsidRPr="00974519">
        <w:rPr>
          <w:rFonts w:asciiTheme="majorBidi" w:hAnsiTheme="majorBidi" w:cstheme="majorBidi"/>
          <w:szCs w:val="20"/>
        </w:rPr>
        <w:t>FFS: other conditions, e.g. required timing mode, required power control parameters, and preferred TCI.</w:t>
      </w:r>
    </w:p>
    <w:p w14:paraId="540E9E22" w14:textId="77777777" w:rsidR="006A78EC" w:rsidRPr="00C477CC" w:rsidRDefault="006A78EC" w:rsidP="006A78EC"/>
    <w:p w14:paraId="139915B9" w14:textId="4D265EC6" w:rsidR="009B59A5" w:rsidRPr="00DA0190" w:rsidRDefault="00164961" w:rsidP="00A51664">
      <w:pPr>
        <w:spacing w:before="120"/>
        <w:rPr>
          <w:lang w:val="en-GB"/>
        </w:rPr>
      </w:pPr>
      <w:r w:rsidRPr="00DA0190">
        <w:rPr>
          <w:lang w:val="en-GB"/>
        </w:rPr>
        <w:t xml:space="preserve">The main point of this discussion is that an IAB node’s capability to perform simultaneous operations </w:t>
      </w:r>
      <w:r w:rsidR="009B59A5" w:rsidRPr="00DA0190">
        <w:rPr>
          <w:lang w:val="en-GB"/>
        </w:rPr>
        <w:t xml:space="preserve">depend on </w:t>
      </w:r>
      <w:r w:rsidRPr="00DA0190">
        <w:rPr>
          <w:lang w:val="en-GB"/>
        </w:rPr>
        <w:t>two main type</w:t>
      </w:r>
      <w:r w:rsidR="009B59A5" w:rsidRPr="00DA0190">
        <w:rPr>
          <w:lang w:val="en-GB"/>
        </w:rPr>
        <w:t xml:space="preserve"> of constraints</w:t>
      </w:r>
      <w:r w:rsidRPr="00DA0190">
        <w:rPr>
          <w:lang w:val="en-GB"/>
        </w:rPr>
        <w:t>:</w:t>
      </w:r>
    </w:p>
    <w:p w14:paraId="6082065A" w14:textId="3A3A836E" w:rsidR="009B59A5" w:rsidRPr="00DA0190" w:rsidRDefault="00164961" w:rsidP="00B05C5E">
      <w:pPr>
        <w:pStyle w:val="ListParagraph"/>
        <w:numPr>
          <w:ilvl w:val="0"/>
          <w:numId w:val="11"/>
        </w:numPr>
        <w:rPr>
          <w:lang w:val="en-GB"/>
        </w:rPr>
      </w:pPr>
      <w:r w:rsidRPr="00DA0190">
        <w:rPr>
          <w:lang w:val="en-GB"/>
        </w:rPr>
        <w:t xml:space="preserve">hardware </w:t>
      </w:r>
      <w:r w:rsidR="009B59A5" w:rsidRPr="00DA0190">
        <w:rPr>
          <w:lang w:val="en-GB"/>
        </w:rPr>
        <w:t>constraints, e.g., the number of antenna panels,</w:t>
      </w:r>
    </w:p>
    <w:p w14:paraId="3A135A3A" w14:textId="66801578" w:rsidR="00164961" w:rsidRPr="00DA0190" w:rsidRDefault="009B59A5" w:rsidP="00B05C5E">
      <w:pPr>
        <w:pStyle w:val="ListParagraph"/>
        <w:numPr>
          <w:ilvl w:val="0"/>
          <w:numId w:val="11"/>
        </w:numPr>
        <w:rPr>
          <w:lang w:val="en-GB"/>
        </w:rPr>
      </w:pPr>
      <w:r w:rsidRPr="00DA0190">
        <w:rPr>
          <w:lang w:val="en-GB"/>
        </w:rPr>
        <w:t>operation constraints, e.g., beam, power, interference, and timing alignment constraints.</w:t>
      </w:r>
    </w:p>
    <w:p w14:paraId="1FB32AB3" w14:textId="11B44C6F" w:rsidR="009B59A5" w:rsidRPr="00DA0190" w:rsidRDefault="003159C8" w:rsidP="009B59A5">
      <w:pPr>
        <w:rPr>
          <w:lang w:val="en-GB"/>
        </w:rPr>
      </w:pPr>
      <w:r w:rsidRPr="00DA0190">
        <w:rPr>
          <w:lang w:val="en-GB"/>
        </w:rPr>
        <w:t>With regards to hardware constraints</w:t>
      </w:r>
      <w:r w:rsidR="009B59A5" w:rsidRPr="00DA0190">
        <w:rPr>
          <w:lang w:val="en-GB"/>
        </w:rPr>
        <w:t>, it was agreed in the previous meetings that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3779D5B1" w14:textId="7D31FE0F" w:rsidR="009B59A5" w:rsidRPr="00DA0190" w:rsidRDefault="009B59A5" w:rsidP="009B59A5">
      <w:pPr>
        <w:rPr>
          <w:lang w:val="en-GB"/>
        </w:rPr>
      </w:pPr>
      <w:r w:rsidRPr="00DA0190">
        <w:rPr>
          <w:lang w:val="en-GB"/>
        </w:rPr>
        <w:t xml:space="preserve">However, an IAB node with a single panel/RF frontend, shared between IAB-MT and IAB-DU, may require a perfect alignment between </w:t>
      </w:r>
      <w:proofErr w:type="spellStart"/>
      <w:r w:rsidRPr="00DA0190">
        <w:rPr>
          <w:lang w:val="en-GB"/>
        </w:rPr>
        <w:t>FDM’ed</w:t>
      </w:r>
      <w:proofErr w:type="spellEnd"/>
      <w:r w:rsidRPr="00DA0190">
        <w:rPr>
          <w:lang w:val="en-GB"/>
        </w:rPr>
        <w:t xml:space="preserve"> operations. Enhanced timing alignment cases being discussed under agenda item 8.10.2 can be employed to satisfy the timing alignment constraint for simultaneous transmissions (Case</w:t>
      </w:r>
      <w:r w:rsidR="008B1EE6">
        <w:rPr>
          <w:lang w:val="en-GB"/>
        </w:rPr>
        <w:t xml:space="preserve"> </w:t>
      </w:r>
      <w:r w:rsidRPr="00DA0190">
        <w:rPr>
          <w:lang w:val="en-GB"/>
        </w:rPr>
        <w:t xml:space="preserve">6) </w:t>
      </w:r>
      <w:r w:rsidR="00AE1BB1">
        <w:rPr>
          <w:lang w:val="en-GB"/>
        </w:rPr>
        <w:t>and</w:t>
      </w:r>
      <w:r w:rsidRPr="00DA0190">
        <w:rPr>
          <w:lang w:val="en-GB"/>
        </w:rPr>
        <w:t xml:space="preserve"> simultaneous receptions (Case</w:t>
      </w:r>
      <w:r w:rsidR="008B1EE6">
        <w:rPr>
          <w:lang w:val="en-GB"/>
        </w:rPr>
        <w:t xml:space="preserve"> </w:t>
      </w:r>
      <w:r w:rsidRPr="00DA0190">
        <w:rPr>
          <w:lang w:val="en-GB"/>
        </w:rPr>
        <w:t xml:space="preserve">7). Nevertheless, such a requirement can be relaxed if multiple baseband units are </w:t>
      </w:r>
      <w:r w:rsidR="00D459DE" w:rsidRPr="00DA0190">
        <w:rPr>
          <w:lang w:val="en-GB"/>
        </w:rPr>
        <w:t>available,</w:t>
      </w:r>
      <w:r w:rsidRPr="00DA0190">
        <w:rPr>
          <w:lang w:val="en-GB"/>
        </w:rPr>
        <w:t xml:space="preserve"> or the baseband unit is equipped with multiple IFFT/FFT windows. Whether the IAB node supports multiple baseband processing can be specified as an IAB node capability.</w:t>
      </w:r>
    </w:p>
    <w:p w14:paraId="5807B7C6" w14:textId="79EAC3D3" w:rsidR="009B59A5" w:rsidRPr="00DA0190" w:rsidRDefault="009B59A5" w:rsidP="009B59A5">
      <w:pPr>
        <w:pStyle w:val="Proposal"/>
      </w:pPr>
      <w:bookmarkStart w:id="400" w:name="_Toc54393517"/>
      <w:bookmarkStart w:id="401" w:name="_Toc54393578"/>
      <w:bookmarkStart w:id="402" w:name="_Toc54393717"/>
      <w:bookmarkStart w:id="403" w:name="_Toc61520643"/>
      <w:bookmarkStart w:id="404" w:name="_Toc61536509"/>
      <w:bookmarkStart w:id="405" w:name="_Toc61541289"/>
      <w:bookmarkStart w:id="406" w:name="_Toc61541341"/>
      <w:bookmarkStart w:id="407" w:name="_Toc61544632"/>
      <w:bookmarkStart w:id="408" w:name="_Toc61547539"/>
      <w:bookmarkStart w:id="409" w:name="_Toc61559098"/>
      <w:bookmarkStart w:id="410" w:name="_Toc61559321"/>
      <w:bookmarkStart w:id="411" w:name="_Toc61854479"/>
      <w:bookmarkStart w:id="412" w:name="_Toc61895529"/>
      <w:bookmarkStart w:id="413" w:name="_Toc61895647"/>
      <w:bookmarkStart w:id="414" w:name="_Toc68553149"/>
      <w:bookmarkStart w:id="415" w:name="_Toc54311503"/>
      <w:bookmarkStart w:id="416" w:name="_Toc54311603"/>
      <w:bookmarkStart w:id="417" w:name="_Toc54311798"/>
      <w:bookmarkStart w:id="418" w:name="_Toc54332051"/>
      <w:bookmarkStart w:id="419" w:name="_Toc54332729"/>
      <w:bookmarkStart w:id="420" w:name="_Toc54332773"/>
      <w:bookmarkStart w:id="421" w:name="_Toc54332815"/>
      <w:bookmarkStart w:id="422" w:name="_Toc54336715"/>
      <w:bookmarkStart w:id="423" w:name="_Toc54336876"/>
      <w:bookmarkStart w:id="424" w:name="_Toc54341453"/>
      <w:bookmarkStart w:id="425" w:name="_Toc54341511"/>
      <w:bookmarkStart w:id="426" w:name="_Toc54345800"/>
      <w:bookmarkStart w:id="427" w:name="_Toc68604760"/>
      <w:bookmarkStart w:id="428" w:name="_Toc68608877"/>
      <w:bookmarkStart w:id="429" w:name="_Toc68611509"/>
      <w:bookmarkStart w:id="430" w:name="_Toc68621474"/>
      <w:bookmarkStart w:id="431" w:name="_Toc68645545"/>
      <w:bookmarkStart w:id="432" w:name="_Toc71627800"/>
      <w:bookmarkStart w:id="433" w:name="_Toc71627850"/>
      <w:bookmarkStart w:id="434" w:name="_Toc71631396"/>
      <w:bookmarkStart w:id="435" w:name="_Toc71634736"/>
      <w:bookmarkStart w:id="436" w:name="_Toc71639082"/>
      <w:bookmarkStart w:id="437" w:name="_Toc71642081"/>
      <w:bookmarkStart w:id="438" w:name="_Toc71648834"/>
      <w:bookmarkStart w:id="439" w:name="_Toc71649584"/>
      <w:bookmarkStart w:id="440" w:name="_Toc71665429"/>
      <w:bookmarkStart w:id="441" w:name="_Toc71665678"/>
      <w:bookmarkStart w:id="442" w:name="_Toc71666697"/>
      <w:bookmarkStart w:id="443" w:name="_Toc79157025"/>
      <w:bookmarkStart w:id="444" w:name="_Toc79157217"/>
      <w:bookmarkStart w:id="445" w:name="_Toc79159807"/>
      <w:bookmarkStart w:id="446" w:name="_Toc79177828"/>
      <w:bookmarkStart w:id="447" w:name="_Toc83997385"/>
      <w:bookmarkStart w:id="448" w:name="_Toc84007481"/>
      <w:bookmarkStart w:id="449" w:name="_Toc84018540"/>
      <w:bookmarkStart w:id="450" w:name="_Toc87021769"/>
      <w:bookmarkStart w:id="451" w:name="_Toc87034786"/>
      <w:bookmarkStart w:id="452" w:name="_Toc87034940"/>
      <w:bookmarkStart w:id="453" w:name="_Toc87035720"/>
      <w:bookmarkStart w:id="454" w:name="_Toc87035745"/>
      <w:bookmarkStart w:id="455" w:name="_Toc87036444"/>
      <w:bookmarkStart w:id="456" w:name="_Toc87036787"/>
      <w:bookmarkStart w:id="457" w:name="_Toc87037763"/>
      <w:bookmarkStart w:id="458" w:name="_Toc87037959"/>
      <w:bookmarkStart w:id="459" w:name="_Toc87038112"/>
      <w:bookmarkStart w:id="460" w:name="_Toc87040017"/>
      <w:bookmarkStart w:id="461" w:name="_Toc87040183"/>
      <w:bookmarkStart w:id="462" w:name="_Toc87045013"/>
      <w:r w:rsidRPr="00DA0190">
        <w:t xml:space="preserve">Support </w:t>
      </w:r>
      <w:r w:rsidR="0094468A" w:rsidRPr="00DA0190">
        <w:t>signaling</w:t>
      </w:r>
      <w:r w:rsidRPr="00DA0190">
        <w:t xml:space="preserve"> IAB node capabilities </w:t>
      </w:r>
      <w:r w:rsidR="00175989" w:rsidRPr="00DA0190">
        <w:t xml:space="preserve">for </w:t>
      </w:r>
      <w:r w:rsidRPr="00DA0190">
        <w:t>timing alignment</w:t>
      </w:r>
      <w:r w:rsidR="003415D0">
        <w:t xml:space="preserve"> </w:t>
      </w:r>
      <w:r w:rsidRPr="00DA0190">
        <w:t>and multi-panel and baseband characteristics.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4969750" w14:textId="727E35FD" w:rsidR="00164961" w:rsidRPr="00130BC9" w:rsidRDefault="005D02CF" w:rsidP="004E2463">
      <w:pPr>
        <w:rPr>
          <w:lang w:val="en-GB"/>
        </w:rPr>
      </w:pPr>
      <w:r w:rsidRPr="00130BC9">
        <w:rPr>
          <w:lang w:val="en-GB"/>
        </w:rPr>
        <w:t>Next</w:t>
      </w:r>
      <w:r w:rsidR="003159C8" w:rsidRPr="00130BC9">
        <w:rPr>
          <w:lang w:val="en-GB"/>
        </w:rPr>
        <w:t xml:space="preserve">, </w:t>
      </w:r>
      <w:r w:rsidRPr="00130BC9">
        <w:rPr>
          <w:lang w:val="en-GB"/>
        </w:rPr>
        <w:t xml:space="preserve">regarding operation constraints, dynamic signalling can be introduced </w:t>
      </w:r>
      <w:r w:rsidR="00AE1BB1">
        <w:rPr>
          <w:lang w:val="en-GB"/>
        </w:rPr>
        <w:t>whereby</w:t>
      </w:r>
      <w:r w:rsidRPr="00130BC9">
        <w:rPr>
          <w:lang w:val="en-GB"/>
        </w:rPr>
        <w:t xml:space="preserve"> an IAB node indicates to its parent node</w:t>
      </w:r>
      <w:r w:rsidR="00E40D87" w:rsidRPr="00130BC9">
        <w:rPr>
          <w:lang w:val="en-GB"/>
        </w:rPr>
        <w:t xml:space="preserve"> whether </w:t>
      </w:r>
      <w:r w:rsidRPr="00130BC9">
        <w:rPr>
          <w:lang w:val="en-GB"/>
        </w:rPr>
        <w:t xml:space="preserve">a multiplexing </w:t>
      </w:r>
      <w:r w:rsidR="00E40D87" w:rsidRPr="00130BC9">
        <w:rPr>
          <w:lang w:val="en-GB"/>
        </w:rPr>
        <w:t>(simultaneous operation) case is currently possible with the current operation (beam, power, interference, etc.) constraints. The indication message may be specified as an L1/L2 control message that includes the following additional information:</w:t>
      </w:r>
    </w:p>
    <w:p w14:paraId="2ECBC58C" w14:textId="3BDD92A8" w:rsidR="00E40D87" w:rsidRPr="00130BC9" w:rsidRDefault="00E40D87" w:rsidP="00B05C5E">
      <w:pPr>
        <w:pStyle w:val="ListParagraph"/>
        <w:numPr>
          <w:ilvl w:val="0"/>
          <w:numId w:val="11"/>
        </w:numPr>
        <w:rPr>
          <w:lang w:val="en-GB"/>
        </w:rPr>
      </w:pPr>
      <w:r w:rsidRPr="00130BC9">
        <w:rPr>
          <w:lang w:val="en-GB"/>
        </w:rPr>
        <w:t>time-frequency domain resources, including a temporal parameter such as a number of slots or subframes,</w:t>
      </w:r>
    </w:p>
    <w:p w14:paraId="41F843B4" w14:textId="22813738" w:rsidR="00E40D87" w:rsidRPr="00130BC9" w:rsidRDefault="00E40D87" w:rsidP="00B05C5E">
      <w:pPr>
        <w:pStyle w:val="ListParagraph"/>
        <w:numPr>
          <w:ilvl w:val="0"/>
          <w:numId w:val="11"/>
        </w:numPr>
        <w:rPr>
          <w:lang w:val="en-GB"/>
        </w:rPr>
      </w:pPr>
      <w:r w:rsidRPr="00130BC9">
        <w:rPr>
          <w:lang w:val="en-GB"/>
        </w:rPr>
        <w:t>spatial constraints, e.g., beams that cause excessive interference, hence not allowing a certain multiplexing case,</w:t>
      </w:r>
    </w:p>
    <w:p w14:paraId="523018D0" w14:textId="78FAAC72" w:rsidR="00E40D87" w:rsidRPr="00130BC9" w:rsidRDefault="00E40D87" w:rsidP="00B05C5E">
      <w:pPr>
        <w:pStyle w:val="ListParagraph"/>
        <w:numPr>
          <w:ilvl w:val="0"/>
          <w:numId w:val="11"/>
        </w:numPr>
        <w:rPr>
          <w:lang w:val="en-GB"/>
        </w:rPr>
      </w:pPr>
      <w:r w:rsidRPr="00130BC9">
        <w:rPr>
          <w:lang w:val="en-GB"/>
        </w:rPr>
        <w:t>TX power range or maximum TX power offset based on the TX/RX power for a downstream operation,</w:t>
      </w:r>
    </w:p>
    <w:p w14:paraId="43B69729" w14:textId="22427629" w:rsidR="00E40D87" w:rsidRPr="00130BC9" w:rsidRDefault="00E40D87" w:rsidP="00B05C5E">
      <w:pPr>
        <w:pStyle w:val="ListParagraph"/>
        <w:numPr>
          <w:ilvl w:val="0"/>
          <w:numId w:val="11"/>
        </w:numPr>
        <w:rPr>
          <w:lang w:val="en-GB"/>
        </w:rPr>
      </w:pPr>
      <w:r w:rsidRPr="00130BC9">
        <w:rPr>
          <w:lang w:val="en-GB"/>
        </w:rPr>
        <w:t>guard times, guard bands, etc.</w:t>
      </w:r>
    </w:p>
    <w:p w14:paraId="6ABBCB46" w14:textId="4B7EE35D" w:rsidR="00E40D87" w:rsidRPr="00130BC9" w:rsidRDefault="00E40D87" w:rsidP="00E40D87">
      <w:pPr>
        <w:rPr>
          <w:lang w:val="en-GB"/>
        </w:rPr>
      </w:pPr>
      <w:r w:rsidRPr="00130BC9">
        <w:rPr>
          <w:lang w:val="en-GB"/>
        </w:rPr>
        <w:t xml:space="preserve">Given hardware constraints and operation constraints at the IAB node, the parent node can then respond by applying the information for signalling </w:t>
      </w:r>
      <w:r w:rsidR="00175989" w:rsidRPr="00130BC9">
        <w:rPr>
          <w:lang w:val="en-GB"/>
        </w:rPr>
        <w:t xml:space="preserve">of </w:t>
      </w:r>
      <w:r w:rsidRPr="00130BC9">
        <w:rPr>
          <w:lang w:val="en-GB"/>
        </w:rPr>
        <w:t xml:space="preserve">scheduling, beam indication, link adaptation, </w:t>
      </w:r>
      <w:r w:rsidR="00175989" w:rsidRPr="00130BC9">
        <w:rPr>
          <w:lang w:val="en-GB"/>
        </w:rPr>
        <w:t>power control, timing alignment control, availability indication in time/frequency domains, and so on.</w:t>
      </w:r>
    </w:p>
    <w:p w14:paraId="21848CB9" w14:textId="5D5815AC" w:rsidR="00175989" w:rsidRDefault="00175989" w:rsidP="00175989">
      <w:pPr>
        <w:pStyle w:val="Proposal"/>
        <w:rPr>
          <w:lang w:val="en-GB"/>
        </w:rPr>
      </w:pPr>
      <w:bookmarkStart w:id="463" w:name="_Toc68611510"/>
      <w:bookmarkStart w:id="464" w:name="_Toc68621475"/>
      <w:bookmarkStart w:id="465" w:name="_Toc68645546"/>
      <w:bookmarkStart w:id="466" w:name="_Toc71627801"/>
      <w:bookmarkStart w:id="467" w:name="_Toc71627851"/>
      <w:bookmarkStart w:id="468" w:name="_Toc71631397"/>
      <w:bookmarkStart w:id="469" w:name="_Toc71634737"/>
      <w:bookmarkStart w:id="470" w:name="_Toc71639083"/>
      <w:bookmarkStart w:id="471" w:name="_Toc71642082"/>
      <w:bookmarkStart w:id="472" w:name="_Toc71648835"/>
      <w:bookmarkStart w:id="473" w:name="_Toc71649585"/>
      <w:bookmarkStart w:id="474" w:name="_Toc71665430"/>
      <w:bookmarkStart w:id="475" w:name="_Toc71665679"/>
      <w:bookmarkStart w:id="476" w:name="_Toc71666698"/>
      <w:bookmarkStart w:id="477" w:name="_Toc79157026"/>
      <w:bookmarkStart w:id="478" w:name="_Toc79157218"/>
      <w:bookmarkStart w:id="479" w:name="_Toc79159808"/>
      <w:bookmarkStart w:id="480" w:name="_Toc79177829"/>
      <w:bookmarkStart w:id="481" w:name="_Toc83997386"/>
      <w:bookmarkStart w:id="482" w:name="_Toc84007482"/>
      <w:bookmarkStart w:id="483" w:name="_Toc84018541"/>
      <w:bookmarkStart w:id="484" w:name="_Toc87021770"/>
      <w:bookmarkStart w:id="485" w:name="_Toc87034787"/>
      <w:bookmarkStart w:id="486" w:name="_Toc87034941"/>
      <w:bookmarkStart w:id="487" w:name="_Toc87035721"/>
      <w:bookmarkStart w:id="488" w:name="_Toc87035746"/>
      <w:bookmarkStart w:id="489" w:name="_Toc87036445"/>
      <w:bookmarkStart w:id="490" w:name="_Toc87036788"/>
      <w:bookmarkStart w:id="491" w:name="_Toc87037764"/>
      <w:bookmarkStart w:id="492" w:name="_Toc87037960"/>
      <w:bookmarkStart w:id="493" w:name="_Toc87038113"/>
      <w:bookmarkStart w:id="494" w:name="_Toc87040018"/>
      <w:bookmarkStart w:id="495" w:name="_Toc87040184"/>
      <w:bookmarkStart w:id="496" w:name="_Toc87045014"/>
      <w:r w:rsidRPr="00130BC9">
        <w:rPr>
          <w:lang w:val="en-GB"/>
        </w:rPr>
        <w:t>Support dynamic signalling for communicating operation constraints such as beam, power, interference, and timing alignment constraints along with information of time, frequency, and spatial resources.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2552123" w14:textId="77777777" w:rsidR="00AE40F7" w:rsidRPr="00AE40F7" w:rsidRDefault="00AE40F7" w:rsidP="00AE40F7">
      <w:pPr>
        <w:rPr>
          <w:lang w:val="en-GB"/>
        </w:rPr>
      </w:pPr>
    </w:p>
    <w:p w14:paraId="34F44E0B" w14:textId="29E73F69" w:rsidR="00130D81" w:rsidRDefault="006038AE" w:rsidP="00ED1FB7">
      <w:pPr>
        <w:pStyle w:val="Heading2"/>
      </w:pPr>
      <w:r>
        <w:t>Signalling</w:t>
      </w:r>
      <w:r w:rsidR="00130D81">
        <w:t xml:space="preserve"> details for timing alignment indication</w:t>
      </w:r>
    </w:p>
    <w:p w14:paraId="0C58C5E4" w14:textId="1860ED53" w:rsidR="00130D81" w:rsidRDefault="00130D81" w:rsidP="00130D81">
      <w:pPr>
        <w:rPr>
          <w:lang w:val="en-GB"/>
        </w:rPr>
      </w:pPr>
      <w:r>
        <w:rPr>
          <w:lang w:val="en-GB"/>
        </w:rPr>
        <w:t>The following conclusion was made in</w:t>
      </w:r>
      <w:r w:rsidR="00AE40F7">
        <w:rPr>
          <w:lang w:val="en-GB"/>
        </w:rPr>
        <w:t xml:space="preserve"> RAN1#106-e </w:t>
      </w:r>
      <w:r w:rsidR="00AE40F7">
        <w:rPr>
          <w:lang w:val="en-GB"/>
        </w:rPr>
        <w:fldChar w:fldCharType="begin"/>
      </w:r>
      <w:r w:rsidR="00AE40F7">
        <w:rPr>
          <w:lang w:val="en-GB"/>
        </w:rPr>
        <w:instrText xml:space="preserve"> REF _Ref83976458 \r \h </w:instrText>
      </w:r>
      <w:r w:rsidR="00AE40F7">
        <w:rPr>
          <w:lang w:val="en-GB"/>
        </w:rPr>
      </w:r>
      <w:r w:rsidR="00AE40F7">
        <w:rPr>
          <w:lang w:val="en-GB"/>
        </w:rPr>
        <w:fldChar w:fldCharType="separate"/>
      </w:r>
      <w:r w:rsidR="009F4637">
        <w:rPr>
          <w:cs/>
          <w:lang w:val="en-GB"/>
        </w:rPr>
        <w:t>‎</w:t>
      </w:r>
      <w:r w:rsidR="009F4637">
        <w:rPr>
          <w:lang w:val="en-GB"/>
        </w:rPr>
        <w:t>[3]</w:t>
      </w:r>
      <w:r w:rsidR="00AE40F7">
        <w:rPr>
          <w:lang w:val="en-GB"/>
        </w:rPr>
        <w:fldChar w:fldCharType="end"/>
      </w:r>
      <w:r>
        <w:rPr>
          <w:lang w:val="en-GB"/>
        </w:rPr>
        <w:t>:</w:t>
      </w:r>
    </w:p>
    <w:p w14:paraId="0A28A0FC" w14:textId="77777777" w:rsidR="00130D81" w:rsidRPr="00314552" w:rsidRDefault="00130D81" w:rsidP="00130D81">
      <w:pPr>
        <w:rPr>
          <w:rFonts w:asciiTheme="majorBidi" w:hAnsiTheme="majorBidi" w:cstheme="majorBidi"/>
          <w:b/>
          <w:bCs/>
          <w:szCs w:val="20"/>
          <w:u w:val="single"/>
        </w:rPr>
      </w:pPr>
      <w:r w:rsidRPr="00314552">
        <w:rPr>
          <w:rFonts w:asciiTheme="majorBidi" w:hAnsiTheme="majorBidi" w:cstheme="majorBidi"/>
          <w:b/>
          <w:bCs/>
          <w:szCs w:val="20"/>
          <w:u w:val="single"/>
        </w:rPr>
        <w:t>Conclusion</w:t>
      </w:r>
    </w:p>
    <w:p w14:paraId="53B4A376" w14:textId="77777777" w:rsidR="00130D81" w:rsidRPr="00314552" w:rsidRDefault="00130D81" w:rsidP="00130D81">
      <w:pPr>
        <w:rPr>
          <w:rFonts w:asciiTheme="majorBidi" w:hAnsiTheme="majorBidi" w:cstheme="majorBidi"/>
          <w:szCs w:val="20"/>
          <w:lang w:eastAsia="ja-JP"/>
        </w:rPr>
      </w:pPr>
      <w:r w:rsidRPr="00314552">
        <w:rPr>
          <w:rFonts w:asciiTheme="majorBidi" w:hAnsiTheme="majorBidi" w:cstheme="majorBidi"/>
          <w:szCs w:val="20"/>
          <w:lang w:eastAsia="ja-JP"/>
        </w:rPr>
        <w:t>Details on the design of the indication of when Case 6 timing (and Case 7 timing, if agreed) is performed at the IAB-node are to be discussed under 8.10.1.  </w:t>
      </w:r>
      <w:r w:rsidRPr="00314552">
        <w:rPr>
          <w:rStyle w:val="apple-converted-space"/>
          <w:rFonts w:asciiTheme="majorBidi" w:hAnsiTheme="majorBidi" w:cstheme="majorBidi"/>
          <w:szCs w:val="20"/>
          <w:lang w:eastAsia="ja-JP"/>
        </w:rPr>
        <w:t> </w:t>
      </w:r>
    </w:p>
    <w:p w14:paraId="2CCF1D88" w14:textId="34B9BC18" w:rsidR="00130D81" w:rsidRDefault="00130D81" w:rsidP="00130D81">
      <w:r w:rsidRPr="00130D81">
        <w:t>Hence</w:t>
      </w:r>
      <w:r>
        <w:t xml:space="preserve">, in this paper, a part of the discussion in the companion paper </w:t>
      </w:r>
      <w:r>
        <w:fldChar w:fldCharType="begin"/>
      </w:r>
      <w:r>
        <w:instrText xml:space="preserve"> REF _Ref54187073 \r \h </w:instrText>
      </w:r>
      <w:r>
        <w:fldChar w:fldCharType="separate"/>
      </w:r>
      <w:r w:rsidR="009F4637">
        <w:rPr>
          <w:cs/>
        </w:rPr>
        <w:t>‎</w:t>
      </w:r>
      <w:r w:rsidR="009F4637">
        <w:t>[1]</w:t>
      </w:r>
      <w:r>
        <w:fldChar w:fldCharType="end"/>
      </w:r>
      <w:r>
        <w:t xml:space="preserve"> is replicated.</w:t>
      </w:r>
    </w:p>
    <w:p w14:paraId="297E5B48" w14:textId="4BA5808F" w:rsidR="00130D81" w:rsidRPr="00130D81" w:rsidRDefault="00130D81" w:rsidP="00130D81">
      <w:r>
        <w:t xml:space="preserve">The following agreements on timing alignment from the previous meetings under 8.10.2 are related to this discussion </w:t>
      </w:r>
      <w:r>
        <w:fldChar w:fldCharType="begin"/>
      </w:r>
      <w:r>
        <w:instrText xml:space="preserve"> REF _Ref79129427 \r \h </w:instrText>
      </w:r>
      <w:r>
        <w:fldChar w:fldCharType="separate"/>
      </w:r>
      <w:r w:rsidR="009F4637">
        <w:rPr>
          <w:cs/>
        </w:rPr>
        <w:t>‎</w:t>
      </w:r>
      <w:r w:rsidR="009F4637">
        <w:t>[2]</w:t>
      </w:r>
      <w:r>
        <w:fldChar w:fldCharType="end"/>
      </w:r>
      <w:r>
        <w:fldChar w:fldCharType="begin"/>
      </w:r>
      <w:r>
        <w:instrText xml:space="preserve"> REF _Ref83976458 \r \h </w:instrText>
      </w:r>
      <w:r>
        <w:fldChar w:fldCharType="separate"/>
      </w:r>
      <w:r w:rsidR="009F4637">
        <w:rPr>
          <w:cs/>
        </w:rPr>
        <w:t>‎</w:t>
      </w:r>
      <w:r w:rsidR="009F4637">
        <w:t>[3]</w:t>
      </w:r>
      <w:r>
        <w:fldChar w:fldCharType="end"/>
      </w:r>
      <w:r>
        <w:t>:</w:t>
      </w:r>
    </w:p>
    <w:p w14:paraId="1F2C8D2C" w14:textId="77777777" w:rsidR="00130D81" w:rsidRPr="00314552" w:rsidRDefault="00130D81" w:rsidP="00130D81">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lastRenderedPageBreak/>
        <w:t>Agreement</w:t>
      </w:r>
    </w:p>
    <w:p w14:paraId="0B308D3B" w14:textId="77777777" w:rsidR="00130D81" w:rsidRPr="00314552" w:rsidRDefault="00130D81" w:rsidP="00130D81">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6 timing is performed at</w:t>
      </w:r>
      <w:r w:rsidRPr="00314552">
        <w:rPr>
          <w:rStyle w:val="apple-converted-space"/>
          <w:rFonts w:asciiTheme="majorBidi" w:hAnsiTheme="majorBidi" w:cstheme="majorBidi"/>
          <w:szCs w:val="20"/>
          <w:lang w:eastAsia="ja-JP"/>
        </w:rPr>
        <w:t> </w:t>
      </w:r>
      <w:r w:rsidRPr="00314552">
        <w:rPr>
          <w:rFonts w:asciiTheme="majorBidi" w:hAnsiTheme="majorBidi" w:cstheme="majorBidi"/>
          <w:szCs w:val="20"/>
          <w:lang w:eastAsia="ja-JP"/>
        </w:rPr>
        <w:t>the IAB-node at least for specific time resources.</w:t>
      </w:r>
    </w:p>
    <w:p w14:paraId="60A6C568" w14:textId="77777777" w:rsidR="00130D81" w:rsidRPr="00314552" w:rsidRDefault="00130D81" w:rsidP="00130D81">
      <w:pPr>
        <w:pStyle w:val="ListParagraph"/>
        <w:numPr>
          <w:ilvl w:val="0"/>
          <w:numId w:val="29"/>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the indication should be associated with another dimensions, e.g. multiplexing cases</w:t>
      </w:r>
    </w:p>
    <w:p w14:paraId="78F010BA" w14:textId="77777777" w:rsidR="00130D81" w:rsidRPr="00314552" w:rsidRDefault="00130D81" w:rsidP="00130D81">
      <w:pPr>
        <w:pStyle w:val="ListParagraph"/>
        <w:numPr>
          <w:ilvl w:val="0"/>
          <w:numId w:val="29"/>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an IAB-node is explicitly indicated by the parent node when Case 7 timing is performed at the IAB-node.</w:t>
      </w:r>
    </w:p>
    <w:p w14:paraId="53EFBD62" w14:textId="575D2E89" w:rsidR="00130D81" w:rsidRPr="00314552" w:rsidRDefault="00130D81" w:rsidP="00130D81">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t>Agreement</w:t>
      </w:r>
    </w:p>
    <w:p w14:paraId="2F413870" w14:textId="77777777" w:rsidR="00130D81" w:rsidRPr="00314552" w:rsidRDefault="00130D81" w:rsidP="00130D81">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7 timing is performed at the parent node.</w:t>
      </w:r>
    </w:p>
    <w:p w14:paraId="741EE060" w14:textId="77777777" w:rsidR="00130D81" w:rsidRPr="00314552" w:rsidRDefault="00130D81" w:rsidP="00130D81">
      <w:pPr>
        <w:pStyle w:val="ListParagraph"/>
        <w:numPr>
          <w:ilvl w:val="0"/>
          <w:numId w:val="33"/>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 xml:space="preserve">FFS for </w:t>
      </w:r>
      <w:proofErr w:type="spellStart"/>
      <w:r w:rsidRPr="00314552">
        <w:rPr>
          <w:rFonts w:asciiTheme="majorBidi" w:hAnsiTheme="majorBidi" w:cstheme="majorBidi"/>
        </w:rPr>
        <w:t>signalling</w:t>
      </w:r>
      <w:proofErr w:type="spellEnd"/>
      <w:r w:rsidRPr="00314552">
        <w:rPr>
          <w:rFonts w:asciiTheme="majorBidi" w:hAnsiTheme="majorBidi" w:cstheme="majorBidi"/>
        </w:rPr>
        <w:t xml:space="preserve"> details</w:t>
      </w:r>
    </w:p>
    <w:p w14:paraId="5F92ABD9" w14:textId="76968288" w:rsidR="00130D81" w:rsidRDefault="00130D81" w:rsidP="00130D81">
      <w:pPr>
        <w:pStyle w:val="ListParagraph"/>
        <w:ind w:left="0"/>
        <w:rPr>
          <w:rFonts w:asciiTheme="majorBidi" w:hAnsiTheme="majorBidi" w:cstheme="majorBidi"/>
          <w:bCs/>
          <w:color w:val="000000"/>
          <w:szCs w:val="20"/>
        </w:rPr>
      </w:pPr>
    </w:p>
    <w:p w14:paraId="5E84A99A" w14:textId="77777777" w:rsidR="005068AF" w:rsidRPr="00A35DED" w:rsidRDefault="005068AF" w:rsidP="005068AF">
      <w:pPr>
        <w:rPr>
          <w:b/>
          <w:bCs/>
          <w:u w:val="single"/>
        </w:rPr>
      </w:pPr>
      <w:r w:rsidRPr="00A35DED">
        <w:rPr>
          <w:b/>
          <w:bCs/>
          <w:u w:val="single"/>
        </w:rPr>
        <w:t>Case 6 timing alignment:</w:t>
      </w:r>
    </w:p>
    <w:p w14:paraId="5CED88F8" w14:textId="06B9670F" w:rsidR="005068AF" w:rsidRDefault="005068AF" w:rsidP="005068AF">
      <w:r>
        <w:t>With respect to indication signaling, dynamic indication to activate/deactivate Case 6 timing is needed in order to allow IAB nodes to adapt to varying conditions for realizing multiplexing cases. We propose MAC CE signaling for reliable activation/</w:t>
      </w:r>
      <w:r w:rsidR="006038AE">
        <w:t>deactivation</w:t>
      </w:r>
      <w:r>
        <w:t xml:space="preserve"> of Case 6 timing.</w:t>
      </w:r>
    </w:p>
    <w:p w14:paraId="1FAC7B72" w14:textId="02F5E366" w:rsidR="005068AF" w:rsidRDefault="005068AF" w:rsidP="005068AF">
      <w:pPr>
        <w:pStyle w:val="Proposal"/>
      </w:pPr>
      <w:bookmarkStart w:id="497" w:name="_Toc87040020"/>
      <w:bookmarkStart w:id="498" w:name="_Toc87040185"/>
      <w:bookmarkStart w:id="499" w:name="_Toc87045015"/>
      <w:r>
        <w:t xml:space="preserve">Support MAC CE </w:t>
      </w:r>
      <w:r w:rsidR="006038AE">
        <w:t>signaling</w:t>
      </w:r>
      <w:r>
        <w:t xml:space="preserve"> for</w:t>
      </w:r>
      <w:r w:rsidRPr="0072293E">
        <w:t xml:space="preserve"> </w:t>
      </w:r>
      <w:r>
        <w:t>activation/</w:t>
      </w:r>
      <w:r w:rsidR="006038AE">
        <w:t>deactivation</w:t>
      </w:r>
      <w:r>
        <w:t xml:space="preserve"> of Case 6 timing.</w:t>
      </w:r>
      <w:bookmarkEnd w:id="497"/>
      <w:bookmarkEnd w:id="498"/>
      <w:bookmarkEnd w:id="499"/>
    </w:p>
    <w:p w14:paraId="370886BA" w14:textId="77777777" w:rsidR="005068AF" w:rsidRPr="00C833D5" w:rsidRDefault="005068AF" w:rsidP="005068AF">
      <w:pPr>
        <w:rPr>
          <w:b/>
          <w:bCs/>
          <w:u w:val="single"/>
        </w:rPr>
      </w:pPr>
      <w:r w:rsidRPr="00C833D5">
        <w:rPr>
          <w:b/>
          <w:bCs/>
          <w:u w:val="single"/>
        </w:rPr>
        <w:t xml:space="preserve">Case </w:t>
      </w:r>
      <w:r>
        <w:rPr>
          <w:b/>
          <w:bCs/>
          <w:u w:val="single"/>
        </w:rPr>
        <w:t>7</w:t>
      </w:r>
      <w:r w:rsidRPr="00C833D5">
        <w:rPr>
          <w:b/>
          <w:bCs/>
          <w:u w:val="single"/>
        </w:rPr>
        <w:t xml:space="preserve"> timing alignment:</w:t>
      </w:r>
    </w:p>
    <w:p w14:paraId="5D255DE4" w14:textId="77777777" w:rsidR="005068AF" w:rsidRDefault="005068AF" w:rsidP="005068AF">
      <w:r>
        <w:t>Similarly, the parent IAB node can use MAC CE signaling for activating/deactivating Case 7 timing. The message activating Case 7 timing can additionally carry an additional TA value as offset to the legacy TA value.</w:t>
      </w:r>
    </w:p>
    <w:p w14:paraId="7D8FE93D" w14:textId="77777777" w:rsidR="005068AF" w:rsidRDefault="005068AF" w:rsidP="005068AF">
      <w:pPr>
        <w:pStyle w:val="Proposal"/>
      </w:pPr>
      <w:bookmarkStart w:id="500" w:name="_Toc87040021"/>
      <w:bookmarkStart w:id="501" w:name="_Toc87040186"/>
      <w:bookmarkStart w:id="502" w:name="_Toc87045016"/>
      <w:r>
        <w:t>Support MAC CE signaling for activation/deactivation of Case 7 timing.</w:t>
      </w:r>
      <w:bookmarkEnd w:id="500"/>
      <w:bookmarkEnd w:id="501"/>
      <w:bookmarkEnd w:id="502"/>
    </w:p>
    <w:p w14:paraId="14F3BB34" w14:textId="77777777" w:rsidR="005068AF" w:rsidRPr="00781C3C" w:rsidRDefault="005068AF" w:rsidP="005068AF">
      <w:pPr>
        <w:rPr>
          <w:b/>
          <w:bCs/>
          <w:u w:val="single"/>
          <w:lang w:val="en-GB"/>
        </w:rPr>
      </w:pPr>
      <w:r w:rsidRPr="00781C3C">
        <w:rPr>
          <w:b/>
          <w:bCs/>
          <w:u w:val="single"/>
          <w:lang w:val="en-GB"/>
        </w:rPr>
        <w:t>RRC configuration:</w:t>
      </w:r>
    </w:p>
    <w:p w14:paraId="65617F0C" w14:textId="1F25FE37" w:rsidR="005068AF" w:rsidRDefault="005068AF" w:rsidP="005068AF">
      <w:pPr>
        <w:rPr>
          <w:lang w:val="en-GB"/>
        </w:rPr>
      </w:pPr>
      <w:r>
        <w:rPr>
          <w:lang w:val="en-GB"/>
        </w:rPr>
        <w:t xml:space="preserve">In addition to dynamic </w:t>
      </w:r>
      <w:r w:rsidR="006038AE">
        <w:rPr>
          <w:lang w:val="en-GB"/>
        </w:rPr>
        <w:t>signalling</w:t>
      </w:r>
      <w:r>
        <w:rPr>
          <w:lang w:val="en-GB"/>
        </w:rPr>
        <w:t>, indicating timing alignment mode by RRC can be beneficial in some scenarios.</w:t>
      </w:r>
    </w:p>
    <w:p w14:paraId="6853E24C" w14:textId="77777777" w:rsidR="005068AF" w:rsidRDefault="005068AF" w:rsidP="005068AF">
      <w:pPr>
        <w:rPr>
          <w:lang w:val="en-GB"/>
        </w:rPr>
      </w:pPr>
      <w:r>
        <w:rPr>
          <w:lang w:val="en-GB"/>
        </w:rPr>
        <w:t>For example, Case 6 timing alignment should be applied when UL resources are configured for IAB-MT and DL resources are configured for IAB-DU; and conversely, Case 7 timing alignment should be applied when DL resources are configured for IAB-MT and UL resources are configured for IAB-DU.</w:t>
      </w:r>
    </w:p>
    <w:p w14:paraId="751D6FDF" w14:textId="77777777" w:rsidR="005068AF" w:rsidRDefault="005068AF" w:rsidP="005068AF">
      <w:pPr>
        <w:rPr>
          <w:lang w:val="en-GB"/>
        </w:rPr>
      </w:pPr>
      <w:r>
        <w:rPr>
          <w:lang w:val="en-GB"/>
        </w:rPr>
        <w:t>However, in a multi-hop scenario, since timing alignment modes affect child nodes’ timing, an indication of whether Case 6 or Case 7 timing can be applied to certain time-frequency resources can be determined by RRC in order to resolve timing conflicts in consecutive hops. For example, RRC can indicate to the parent node and its child node on which resources each can activate Case 6 or Case 7 timing modes.</w:t>
      </w:r>
    </w:p>
    <w:p w14:paraId="0559BE4B" w14:textId="77777777" w:rsidR="005068AF" w:rsidRDefault="005068AF" w:rsidP="005068AF">
      <w:pPr>
        <w:pStyle w:val="Proposal"/>
      </w:pPr>
      <w:bookmarkStart w:id="503" w:name="_Toc87040022"/>
      <w:bookmarkStart w:id="504" w:name="_Toc87040187"/>
      <w:bookmarkStart w:id="505" w:name="_Toc87045017"/>
      <w:r>
        <w:t>Support RRC configuration for Case 6 and Case 7 timing alignment in addition to dynamic signaling.</w:t>
      </w:r>
      <w:bookmarkEnd w:id="503"/>
      <w:bookmarkEnd w:id="504"/>
      <w:bookmarkEnd w:id="505"/>
    </w:p>
    <w:p w14:paraId="5EE5F585" w14:textId="7B06D5BF" w:rsidR="005068AF" w:rsidRDefault="005068AF" w:rsidP="005068AF">
      <w:pPr>
        <w:rPr>
          <w:lang w:val="en-GB"/>
        </w:rPr>
      </w:pPr>
      <w:r>
        <w:rPr>
          <w:lang w:val="en-GB"/>
        </w:rPr>
        <w:t xml:space="preserve">The RRC indication and dynamic </w:t>
      </w:r>
      <w:r w:rsidR="006038AE">
        <w:rPr>
          <w:lang w:val="en-GB"/>
        </w:rPr>
        <w:t>signalling</w:t>
      </w:r>
      <w:r>
        <w:rPr>
          <w:lang w:val="en-GB"/>
        </w:rPr>
        <w:t xml:space="preserve"> are, of course, linked to multiplexing capability of the IAB node as well as whether the IAB node requires enhanced timing alignment as explained later in this section.</w:t>
      </w:r>
    </w:p>
    <w:p w14:paraId="3708EAF3" w14:textId="0280DA63" w:rsidR="005068AF" w:rsidRDefault="006038AE" w:rsidP="005068AF">
      <w:pPr>
        <w:pStyle w:val="Proposal"/>
        <w:rPr>
          <w:lang w:val="en-GB"/>
        </w:rPr>
      </w:pPr>
      <w:bookmarkStart w:id="506" w:name="_Toc87040023"/>
      <w:bookmarkStart w:id="507" w:name="_Toc87040188"/>
      <w:bookmarkStart w:id="508" w:name="_Toc87045018"/>
      <w:r>
        <w:rPr>
          <w:lang w:val="en-GB"/>
        </w:rPr>
        <w:t>Signalling</w:t>
      </w:r>
      <w:r w:rsidR="005068AF">
        <w:rPr>
          <w:lang w:val="en-GB"/>
        </w:rPr>
        <w:t xml:space="preserve"> for timing alignment indication is linked to multiplexing capability of the IAB node as well as whether the IAB node </w:t>
      </w:r>
      <w:r w:rsidR="005068AF" w:rsidRPr="00E8738D">
        <w:rPr>
          <w:u w:val="single"/>
          <w:lang w:val="en-GB"/>
        </w:rPr>
        <w:t>requires</w:t>
      </w:r>
      <w:r w:rsidR="005068AF">
        <w:rPr>
          <w:lang w:val="en-GB"/>
        </w:rPr>
        <w:t xml:space="preserve"> enhanced timing alignment.</w:t>
      </w:r>
      <w:bookmarkEnd w:id="506"/>
      <w:bookmarkEnd w:id="507"/>
      <w:bookmarkEnd w:id="508"/>
    </w:p>
    <w:p w14:paraId="4C59AA02" w14:textId="77777777" w:rsidR="005068AF" w:rsidRPr="00B16926" w:rsidRDefault="005068AF" w:rsidP="005068AF">
      <w:pPr>
        <w:rPr>
          <w:b/>
          <w:bCs/>
          <w:u w:val="single"/>
        </w:rPr>
      </w:pPr>
      <w:r w:rsidRPr="00B16926">
        <w:rPr>
          <w:b/>
          <w:bCs/>
          <w:u w:val="single"/>
        </w:rPr>
        <w:t>Capability signaling:</w:t>
      </w:r>
    </w:p>
    <w:p w14:paraId="26DBDD67" w14:textId="77777777" w:rsidR="005068AF" w:rsidRDefault="005068AF" w:rsidP="005068AF">
      <w:pPr>
        <w:rPr>
          <w:lang w:val="en-GB"/>
        </w:rPr>
      </w:pPr>
      <w:r>
        <w:rPr>
          <w:lang w:val="en-GB"/>
        </w:rPr>
        <w:t>An important outstanding issue that RAN1 is yet to discuss is whether enhanced timing alignment is needed in the first place. Particularly if the IAB node has multiple IFFT/FFT windows for OFDM processing, it does not need to perform timing alignment further than Case 1, which can improve the applicability of simultaneous operations significantly. Therefore, we propose that the IAB node’s capability for timing alignment be reported to the IAB donor and/or the parent node.</w:t>
      </w:r>
    </w:p>
    <w:p w14:paraId="5BC9879E" w14:textId="611AB350" w:rsidR="005068AF" w:rsidRDefault="005068AF" w:rsidP="005068AF">
      <w:pPr>
        <w:pStyle w:val="Proposal"/>
        <w:rPr>
          <w:lang w:val="en-GB"/>
        </w:rPr>
      </w:pPr>
      <w:bookmarkStart w:id="509" w:name="_Toc87040024"/>
      <w:bookmarkStart w:id="510" w:name="_Toc87040189"/>
      <w:bookmarkStart w:id="511" w:name="_Toc87045019"/>
      <w:r>
        <w:rPr>
          <w:lang w:val="en-GB"/>
        </w:rPr>
        <w:t xml:space="preserve">Support a capability signalling, e.g., number of IFFT/FFT windows, to indicate whether the IAB node </w:t>
      </w:r>
      <w:r w:rsidRPr="00781C3C">
        <w:rPr>
          <w:u w:val="single"/>
          <w:lang w:val="en-GB"/>
        </w:rPr>
        <w:t>requires</w:t>
      </w:r>
      <w:r>
        <w:rPr>
          <w:lang w:val="en-GB"/>
        </w:rPr>
        <w:t xml:space="preserve"> timing alignment between IAB-MT and IAB-DU operations. If negative, the IAB node can transmit unaligned OFDM symbols (Case A) and receive/process unaligned OFDM symbols (Case B), which simplifies </w:t>
      </w:r>
      <w:r w:rsidR="006038AE">
        <w:rPr>
          <w:lang w:val="en-GB"/>
        </w:rPr>
        <w:t>signalling</w:t>
      </w:r>
      <w:r>
        <w:rPr>
          <w:lang w:val="en-GB"/>
        </w:rPr>
        <w:t xml:space="preserve"> and configuration significantly.</w:t>
      </w:r>
      <w:bookmarkEnd w:id="509"/>
      <w:bookmarkEnd w:id="510"/>
      <w:bookmarkEnd w:id="511"/>
    </w:p>
    <w:p w14:paraId="75136857" w14:textId="0496CEAA" w:rsidR="00C120AE" w:rsidRDefault="00C120AE" w:rsidP="00C120AE">
      <w:pPr>
        <w:rPr>
          <w:lang w:val="en-GB"/>
        </w:rPr>
      </w:pPr>
    </w:p>
    <w:p w14:paraId="7DB322CF" w14:textId="3248FBE5" w:rsidR="00EA1EE4" w:rsidRDefault="00D459DE" w:rsidP="00ED1FB7">
      <w:pPr>
        <w:pStyle w:val="Heading2"/>
      </w:pPr>
      <w:r>
        <w:t>Dual connectivity</w:t>
      </w:r>
    </w:p>
    <w:p w14:paraId="101C6225" w14:textId="6D44EF4C" w:rsidR="00C4248E" w:rsidRDefault="0069728D" w:rsidP="00887C39">
      <w:pPr>
        <w:rPr>
          <w:lang w:val="en-GB"/>
        </w:rPr>
      </w:pPr>
      <w:r>
        <w:rPr>
          <w:lang w:val="en-GB"/>
        </w:rPr>
        <w:t xml:space="preserve">The following was agreed </w:t>
      </w:r>
      <w:r w:rsidR="00DD1C2A">
        <w:rPr>
          <w:lang w:val="en-GB"/>
        </w:rPr>
        <w:t>in the previous meetings</w:t>
      </w:r>
      <w:r>
        <w:rPr>
          <w:lang w:val="en-GB"/>
        </w:rPr>
        <w:t xml:space="preserve"> on DC enhancements</w:t>
      </w:r>
      <w:r w:rsidR="00E17405">
        <w:rPr>
          <w:lang w:val="en-GB"/>
        </w:rPr>
        <w:t xml:space="preserve"> </w:t>
      </w:r>
      <w:r w:rsidR="00E17405">
        <w:rPr>
          <w:lang w:val="en-GB"/>
        </w:rPr>
        <w:fldChar w:fldCharType="begin"/>
      </w:r>
      <w:r w:rsidR="00E17405">
        <w:rPr>
          <w:lang w:val="en-GB"/>
        </w:rPr>
        <w:instrText xml:space="preserve"> REF _Ref71645565 \r \h </w:instrText>
      </w:r>
      <w:r w:rsidR="00E17405">
        <w:rPr>
          <w:lang w:val="en-GB"/>
        </w:rPr>
      </w:r>
      <w:r w:rsidR="00E17405">
        <w:rPr>
          <w:lang w:val="en-GB"/>
        </w:rPr>
        <w:fldChar w:fldCharType="separate"/>
      </w:r>
      <w:r w:rsidR="009F4637">
        <w:rPr>
          <w:cs/>
          <w:lang w:val="en-GB"/>
        </w:rPr>
        <w:t>‎</w:t>
      </w:r>
      <w:r w:rsidR="009F4637">
        <w:rPr>
          <w:lang w:val="en-GB"/>
        </w:rPr>
        <w:t>[2]</w:t>
      </w:r>
      <w:r w:rsidR="00E17405">
        <w:rPr>
          <w:lang w:val="en-GB"/>
        </w:rPr>
        <w:fldChar w:fldCharType="end"/>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9F4637">
        <w:rPr>
          <w:cs/>
          <w:lang w:val="en-GB"/>
        </w:rPr>
        <w:t>‎</w:t>
      </w:r>
      <w:r w:rsidR="009F4637">
        <w:rPr>
          <w:lang w:val="en-GB"/>
        </w:rPr>
        <w:t>[2]</w:t>
      </w:r>
      <w:r w:rsidR="00C477CC">
        <w:rPr>
          <w:lang w:val="en-GB"/>
        </w:rPr>
        <w:fldChar w:fldCharType="end"/>
      </w:r>
      <w:r w:rsidR="00C4248E">
        <w:rPr>
          <w:lang w:val="en-GB"/>
        </w:rPr>
        <w:t>:</w:t>
      </w:r>
    </w:p>
    <w:p w14:paraId="4121AEFB" w14:textId="77777777" w:rsidR="00C477CC" w:rsidRPr="0069728D" w:rsidRDefault="00C477CC" w:rsidP="0069728D">
      <w:pPr>
        <w:adjustRightInd w:val="0"/>
        <w:snapToGrid w:val="0"/>
        <w:spacing w:before="240" w:after="0"/>
        <w:ind w:left="1267" w:hanging="1267"/>
        <w:jc w:val="both"/>
        <w:rPr>
          <w:rFonts w:asciiTheme="majorBidi" w:hAnsiTheme="majorBidi" w:cstheme="majorBidi"/>
          <w:b/>
          <w:szCs w:val="20"/>
          <w:highlight w:val="green"/>
        </w:rPr>
      </w:pPr>
      <w:r w:rsidRPr="0069728D">
        <w:rPr>
          <w:rFonts w:asciiTheme="majorBidi" w:hAnsiTheme="majorBidi" w:cstheme="majorBidi"/>
          <w:b/>
          <w:szCs w:val="20"/>
          <w:highlight w:val="green"/>
        </w:rPr>
        <w:t>Agreement</w:t>
      </w:r>
    </w:p>
    <w:p w14:paraId="4442AA66" w14:textId="77777777" w:rsidR="00C477CC" w:rsidRPr="0069728D" w:rsidRDefault="00C477CC" w:rsidP="00C477CC">
      <w:pPr>
        <w:shd w:val="clear" w:color="auto" w:fill="FFFFFF"/>
        <w:rPr>
          <w:rFonts w:asciiTheme="majorBidi" w:eastAsia="SimSun" w:hAnsiTheme="majorBidi" w:cstheme="majorBidi"/>
        </w:rPr>
      </w:pPr>
      <w:r w:rsidRPr="0069728D">
        <w:rPr>
          <w:rFonts w:asciiTheme="majorBidi" w:hAnsiTheme="majorBidi" w:cstheme="majorBidi"/>
          <w:bCs/>
          <w:color w:val="000000"/>
        </w:rPr>
        <w:t>In case of intra-band inter-carrier dual connectivity for both inter-donor and intra-donor scenarios the following are supported:</w:t>
      </w:r>
    </w:p>
    <w:p w14:paraId="4C8FF561" w14:textId="77777777" w:rsidR="00C477CC" w:rsidRPr="0069728D" w:rsidRDefault="00C477CC" w:rsidP="00C477CC">
      <w:pPr>
        <w:numPr>
          <w:ilvl w:val="0"/>
          <w:numId w:val="18"/>
        </w:numPr>
        <w:shd w:val="clear" w:color="auto" w:fill="FFFFFF"/>
        <w:spacing w:after="0" w:line="240" w:lineRule="auto"/>
        <w:jc w:val="both"/>
        <w:rPr>
          <w:rFonts w:asciiTheme="majorBidi" w:eastAsia="Times New Roman" w:hAnsiTheme="majorBidi" w:cstheme="majorBidi"/>
          <w:sz w:val="16"/>
          <w:szCs w:val="20"/>
        </w:rPr>
      </w:pPr>
      <w:r w:rsidRPr="0069728D">
        <w:rPr>
          <w:rFonts w:asciiTheme="majorBidi" w:eastAsia="Times New Roman" w:hAnsiTheme="majorBidi" w:cstheme="majorBidi"/>
          <w:bCs/>
          <w:color w:val="000000"/>
        </w:rPr>
        <w:t>Reusing the Rel-16 CA TDD prioritization rules in case of UL/DL conflict when applicable</w:t>
      </w:r>
      <w:r w:rsidRPr="0069728D">
        <w:rPr>
          <w:rFonts w:asciiTheme="majorBidi" w:eastAsia="Times New Roman" w:hAnsiTheme="majorBidi" w:cstheme="majorBidi"/>
          <w:color w:val="000000"/>
          <w:sz w:val="16"/>
          <w:szCs w:val="20"/>
        </w:rPr>
        <w:t xml:space="preserve"> </w:t>
      </w:r>
    </w:p>
    <w:p w14:paraId="49C55A69" w14:textId="77777777" w:rsidR="00C477CC" w:rsidRPr="0069728D" w:rsidRDefault="00C477CC" w:rsidP="00C477CC">
      <w:pPr>
        <w:numPr>
          <w:ilvl w:val="1"/>
          <w:numId w:val="18"/>
        </w:numPr>
        <w:shd w:val="clear" w:color="auto" w:fill="FFFFFF"/>
        <w:spacing w:after="0" w:line="240" w:lineRule="auto"/>
        <w:jc w:val="both"/>
        <w:rPr>
          <w:rFonts w:asciiTheme="majorBidi" w:eastAsia="Times New Roman" w:hAnsiTheme="majorBidi" w:cstheme="majorBidi"/>
          <w:sz w:val="16"/>
          <w:szCs w:val="20"/>
        </w:rPr>
      </w:pPr>
      <w:r w:rsidRPr="0069728D">
        <w:rPr>
          <w:rFonts w:asciiTheme="majorBidi" w:eastAsia="Times New Roman" w:hAnsiTheme="majorBidi" w:cstheme="majorBidi"/>
          <w:bCs/>
          <w:color w:val="000000"/>
        </w:rPr>
        <w:t>FFS: Whether all prioritization rules apply in case of NR-DC</w:t>
      </w:r>
    </w:p>
    <w:p w14:paraId="332A559F" w14:textId="77777777" w:rsidR="00C477CC" w:rsidRPr="0069728D" w:rsidRDefault="00C477CC" w:rsidP="00C477CC">
      <w:pPr>
        <w:numPr>
          <w:ilvl w:val="1"/>
          <w:numId w:val="18"/>
        </w:numPr>
        <w:shd w:val="clear" w:color="auto" w:fill="FFFFFF"/>
        <w:spacing w:after="0" w:line="240" w:lineRule="auto"/>
        <w:jc w:val="both"/>
        <w:rPr>
          <w:rFonts w:asciiTheme="majorBidi" w:eastAsia="Times New Roman" w:hAnsiTheme="majorBidi" w:cstheme="majorBidi"/>
          <w:sz w:val="16"/>
          <w:szCs w:val="20"/>
        </w:rPr>
      </w:pPr>
      <w:r w:rsidRPr="0069728D">
        <w:rPr>
          <w:rFonts w:asciiTheme="majorBidi" w:eastAsia="Times New Roman" w:hAnsiTheme="majorBidi" w:cstheme="majorBidi"/>
          <w:bCs/>
          <w:color w:val="000000"/>
        </w:rPr>
        <w:t>FFS: Need of new prioritization rules in case of NR-DC</w:t>
      </w:r>
    </w:p>
    <w:p w14:paraId="7A2388AE" w14:textId="77777777" w:rsidR="00C477CC" w:rsidRPr="0069728D" w:rsidRDefault="00C477CC" w:rsidP="00C477CC">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69728D">
        <w:rPr>
          <w:rFonts w:asciiTheme="majorBidi" w:eastAsia="Times New Roman" w:hAnsiTheme="majorBidi" w:cstheme="majorBidi"/>
          <w:bCs/>
          <w:color w:val="000000"/>
        </w:rPr>
        <w:t>Coordinating the IAB-MT’s TDD configurations to avoid conflicts from different parent nodes in case the child IAB-MT does not support simultaneous TX and RX on different carries</w:t>
      </w:r>
    </w:p>
    <w:p w14:paraId="403F65D6" w14:textId="77777777" w:rsidR="00C477CC" w:rsidRPr="0069728D" w:rsidRDefault="00C477CC" w:rsidP="00C477CC">
      <w:pPr>
        <w:numPr>
          <w:ilvl w:val="1"/>
          <w:numId w:val="18"/>
        </w:numPr>
        <w:shd w:val="clear" w:color="auto" w:fill="FFFFFF"/>
        <w:spacing w:after="0" w:line="240" w:lineRule="auto"/>
        <w:jc w:val="both"/>
        <w:rPr>
          <w:rFonts w:asciiTheme="majorBidi" w:eastAsia="Times New Roman" w:hAnsiTheme="majorBidi" w:cstheme="majorBidi"/>
          <w:bCs/>
          <w:color w:val="000000"/>
        </w:rPr>
      </w:pPr>
      <w:r w:rsidRPr="0069728D">
        <w:rPr>
          <w:rFonts w:asciiTheme="majorBidi" w:eastAsia="Times New Roman" w:hAnsiTheme="majorBidi" w:cstheme="majorBidi"/>
          <w:bCs/>
          <w:color w:val="000000"/>
        </w:rPr>
        <w:t>FFS: Coordination for scheduling conflicts involving at least DCI Format 2_0 usage (e.g. usage of flexible symbols)</w:t>
      </w:r>
    </w:p>
    <w:p w14:paraId="5B328880" w14:textId="77777777" w:rsidR="00C477CC" w:rsidRPr="009F4637" w:rsidRDefault="00C477CC" w:rsidP="00C477CC">
      <w:pPr>
        <w:numPr>
          <w:ilvl w:val="0"/>
          <w:numId w:val="18"/>
        </w:numPr>
        <w:shd w:val="clear" w:color="auto" w:fill="FFFFFF"/>
        <w:spacing w:after="0" w:line="240" w:lineRule="auto"/>
        <w:jc w:val="both"/>
        <w:rPr>
          <w:rFonts w:asciiTheme="majorBidi" w:eastAsia="Times New Roman" w:hAnsiTheme="majorBidi" w:cstheme="majorBidi"/>
          <w:bCs/>
          <w:color w:val="000000"/>
          <w:highlight w:val="yellow"/>
        </w:rPr>
      </w:pPr>
      <w:r w:rsidRPr="009F4637">
        <w:rPr>
          <w:rFonts w:asciiTheme="majorBidi" w:eastAsia="Times New Roman" w:hAnsiTheme="majorBidi" w:cstheme="majorBidi"/>
          <w:bCs/>
          <w:color w:val="000000"/>
          <w:highlight w:val="yellow"/>
        </w:rPr>
        <w:t>Exchanging H/S/NA configurations between parent nodes/donors</w:t>
      </w:r>
    </w:p>
    <w:p w14:paraId="7A56F3B1" w14:textId="77777777" w:rsidR="00A60BD4" w:rsidRDefault="00A60BD4" w:rsidP="00A60BD4">
      <w:pPr>
        <w:rPr>
          <w:lang w:val="en-GB"/>
        </w:rPr>
      </w:pPr>
    </w:p>
    <w:p w14:paraId="35C87171" w14:textId="39AB0A09" w:rsidR="00A60BD4" w:rsidRPr="000A3582" w:rsidRDefault="009F4637" w:rsidP="00A60BD4">
      <w:pPr>
        <w:rPr>
          <w:lang w:val="en-GB"/>
        </w:rPr>
      </w:pPr>
      <w:r>
        <w:rPr>
          <w:lang w:val="en-GB"/>
        </w:rPr>
        <w:t xml:space="preserve">Consider the scenario where the IAB node is served by two parent nodes PN1 and PN2. </w:t>
      </w:r>
      <w:r w:rsidR="00A60BD4" w:rsidRPr="000A3582">
        <w:rPr>
          <w:lang w:val="en-GB"/>
        </w:rPr>
        <w:t xml:space="preserve">In this </w:t>
      </w:r>
      <w:r>
        <w:rPr>
          <w:lang w:val="en-GB"/>
        </w:rPr>
        <w:t>case</w:t>
      </w:r>
      <w:r w:rsidR="00A60BD4" w:rsidRPr="000A3582">
        <w:rPr>
          <w:lang w:val="en-GB"/>
        </w:rPr>
        <w:t xml:space="preserve">, both </w:t>
      </w:r>
      <w:r>
        <w:rPr>
          <w:lang w:val="en-GB"/>
        </w:rPr>
        <w:t>PN1 and PN2</w:t>
      </w:r>
      <w:r w:rsidR="00A60BD4" w:rsidRPr="000A3582">
        <w:rPr>
          <w:lang w:val="en-GB"/>
        </w:rPr>
        <w:t xml:space="preserve"> can be informed of H/S/NA resource configurations for the IAB node (N) according to IAB Rel-16. However, for example, if PN1 indicates soft resources available for N through DCI 2_5 </w:t>
      </w:r>
      <w:r w:rsidR="006038AE" w:rsidRPr="000A3582">
        <w:rPr>
          <w:lang w:val="en-GB"/>
        </w:rPr>
        <w:t>signalling</w:t>
      </w:r>
      <w:r w:rsidR="00A60BD4" w:rsidRPr="000A3582">
        <w:rPr>
          <w:lang w:val="en-GB"/>
        </w:rPr>
        <w:t>, PN2 does not have access to this information.</w:t>
      </w:r>
    </w:p>
    <w:p w14:paraId="65B4D297" w14:textId="77777777" w:rsidR="00A60BD4" w:rsidRPr="000A3582" w:rsidRDefault="00A60BD4" w:rsidP="00A60BD4">
      <w:pPr>
        <w:rPr>
          <w:lang w:val="en-GB"/>
        </w:rPr>
      </w:pPr>
      <w:r w:rsidRPr="000A3582">
        <w:rPr>
          <w:lang w:val="en-GB"/>
        </w:rPr>
        <w:t>That raises issues. One issue is that if PN2 intends to avoid interference with transmissions scheduled by N on soft resources, it does not have a means to realize whether the soft resources are already available to N.</w:t>
      </w:r>
    </w:p>
    <w:p w14:paraId="64FFE330" w14:textId="77777777" w:rsidR="00A60BD4" w:rsidRPr="000A3582" w:rsidRDefault="00A60BD4" w:rsidP="00A60BD4">
      <w:pPr>
        <w:rPr>
          <w:lang w:val="en-GB"/>
        </w:rPr>
      </w:pPr>
      <w:r w:rsidRPr="000A3582">
        <w:rPr>
          <w:lang w:val="en-GB"/>
        </w:rPr>
        <w:t>Another issue that may be raised in intra-band DC is that during transition times, when the link between N and PN1 is not available, PN2 should take control of resource availability for N and other child nodes without knowing which soft resources are already indicated available to N.</w:t>
      </w:r>
    </w:p>
    <w:p w14:paraId="47BB9DB3" w14:textId="77777777" w:rsidR="00A60BD4" w:rsidRPr="000A3582" w:rsidRDefault="00A60BD4" w:rsidP="00A60BD4">
      <w:pPr>
        <w:rPr>
          <w:lang w:val="en-GB"/>
        </w:rPr>
      </w:pPr>
      <w:r w:rsidRPr="000A3582">
        <w:rPr>
          <w:lang w:val="en-GB"/>
        </w:rPr>
        <w:t>In order to address these issues, signalling can be introduced between parent nodes, or from an IAB node to its parent node, that informs the parent node of the current status of availability indication for soft resources of a dually connected IAB node.</w:t>
      </w:r>
    </w:p>
    <w:p w14:paraId="039DC023" w14:textId="77777777" w:rsidR="00A60BD4" w:rsidRPr="000A3582" w:rsidRDefault="00A60BD4" w:rsidP="00A60BD4">
      <w:pPr>
        <w:pStyle w:val="Proposal"/>
      </w:pPr>
      <w:bookmarkStart w:id="512" w:name="_Toc54311507"/>
      <w:bookmarkStart w:id="513" w:name="_Toc54311607"/>
      <w:bookmarkStart w:id="514" w:name="_Toc54311802"/>
      <w:bookmarkStart w:id="515" w:name="_Toc54332055"/>
      <w:bookmarkStart w:id="516" w:name="_Toc54332733"/>
      <w:bookmarkStart w:id="517" w:name="_Toc54332777"/>
      <w:bookmarkStart w:id="518" w:name="_Toc54332819"/>
      <w:bookmarkStart w:id="519" w:name="_Toc54336719"/>
      <w:bookmarkStart w:id="520" w:name="_Toc54336880"/>
      <w:bookmarkStart w:id="521" w:name="_Toc54341457"/>
      <w:bookmarkStart w:id="522" w:name="_Toc54341515"/>
      <w:bookmarkStart w:id="523" w:name="_Toc54345804"/>
      <w:bookmarkStart w:id="524" w:name="_Toc54393521"/>
      <w:bookmarkStart w:id="525" w:name="_Toc54393582"/>
      <w:bookmarkStart w:id="526" w:name="_Toc54393721"/>
      <w:bookmarkStart w:id="527" w:name="_Toc61520647"/>
      <w:bookmarkStart w:id="528" w:name="_Toc61536513"/>
      <w:bookmarkStart w:id="529" w:name="_Toc61541293"/>
      <w:bookmarkStart w:id="530" w:name="_Toc61541345"/>
      <w:bookmarkStart w:id="531" w:name="_Toc61544636"/>
      <w:bookmarkStart w:id="532" w:name="_Toc61547549"/>
      <w:bookmarkStart w:id="533" w:name="_Toc61559093"/>
      <w:bookmarkStart w:id="534" w:name="_Toc61559330"/>
      <w:bookmarkStart w:id="535" w:name="_Toc61854476"/>
      <w:bookmarkStart w:id="536" w:name="_Toc61858383"/>
      <w:bookmarkStart w:id="537" w:name="_Toc61858817"/>
      <w:bookmarkStart w:id="538" w:name="_Toc61859148"/>
      <w:bookmarkStart w:id="539" w:name="_Toc61895542"/>
      <w:bookmarkStart w:id="540" w:name="_Toc61895644"/>
      <w:bookmarkStart w:id="541" w:name="_Toc68553155"/>
      <w:bookmarkStart w:id="542" w:name="_Toc68604766"/>
      <w:bookmarkStart w:id="543" w:name="_Toc68608879"/>
      <w:bookmarkStart w:id="544" w:name="_Toc68611512"/>
      <w:bookmarkStart w:id="545" w:name="_Toc68621477"/>
      <w:bookmarkStart w:id="546" w:name="_Toc68645548"/>
      <w:bookmarkStart w:id="547" w:name="_Toc71627803"/>
      <w:bookmarkStart w:id="548" w:name="_Toc71627853"/>
      <w:bookmarkStart w:id="549" w:name="_Toc71631399"/>
      <w:bookmarkStart w:id="550" w:name="_Toc71634739"/>
      <w:bookmarkStart w:id="551" w:name="_Toc71639084"/>
      <w:bookmarkStart w:id="552" w:name="_Toc71642083"/>
      <w:bookmarkStart w:id="553" w:name="_Toc71648836"/>
      <w:bookmarkStart w:id="554" w:name="_Toc71649586"/>
      <w:bookmarkStart w:id="555" w:name="_Toc71665431"/>
      <w:bookmarkStart w:id="556" w:name="_Toc71665680"/>
      <w:bookmarkStart w:id="557" w:name="_Toc71666699"/>
      <w:bookmarkStart w:id="558" w:name="_Toc79157028"/>
      <w:bookmarkStart w:id="559" w:name="_Toc79157220"/>
      <w:bookmarkStart w:id="560" w:name="_Toc79159810"/>
      <w:bookmarkStart w:id="561" w:name="_Toc79177831"/>
      <w:bookmarkStart w:id="562" w:name="_Toc83997388"/>
      <w:bookmarkStart w:id="563" w:name="_Toc84007485"/>
      <w:bookmarkStart w:id="564" w:name="_Toc84018549"/>
      <w:bookmarkStart w:id="565" w:name="_Toc87021776"/>
      <w:bookmarkStart w:id="566" w:name="_Toc87034793"/>
      <w:bookmarkStart w:id="567" w:name="_Toc87034947"/>
      <w:bookmarkStart w:id="568" w:name="_Toc87035727"/>
      <w:bookmarkStart w:id="569" w:name="_Toc87035752"/>
      <w:bookmarkStart w:id="570" w:name="_Toc87036451"/>
      <w:bookmarkStart w:id="571" w:name="_Toc87036794"/>
      <w:bookmarkStart w:id="572" w:name="_Toc87037771"/>
      <w:bookmarkStart w:id="573" w:name="_Toc87037967"/>
      <w:bookmarkStart w:id="574" w:name="_Toc87038120"/>
      <w:bookmarkStart w:id="575" w:name="_Toc87040025"/>
      <w:bookmarkStart w:id="576" w:name="_Toc87040190"/>
      <w:bookmarkStart w:id="577" w:name="_Toc87045020"/>
      <w:r w:rsidRPr="000A3582">
        <w:t>Support signaling from an IAB node in the DC mode to its parent node for informing the parent node of the status of availability of soft resources.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0A3582">
        <w:t xml:space="preserve"> Further discuss specification of mechanisms to handle availability indication collisions by two parent nodes in the DC mode.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E82B94B" w14:textId="2A63E0E6" w:rsidR="00061AB1" w:rsidRPr="000A3582" w:rsidRDefault="00061AB1" w:rsidP="00061AB1">
      <w:r>
        <w:t>Finally,</w:t>
      </w:r>
      <w:r w:rsidRPr="000A3582">
        <w:t xml:space="preserve"> Case-7 timing alignment can result in a timing conflict between two uplink transmissions</w:t>
      </w:r>
      <w:r>
        <w:t xml:space="preserve"> in the intra-band DC scenario, as timing of each uplink transmission follows TA commands from the corresponding parent node. </w:t>
      </w:r>
      <w:r w:rsidR="00642BE6">
        <w:t>RAN1 should investigate t</w:t>
      </w:r>
      <w:r>
        <w:t>his matter.</w:t>
      </w:r>
    </w:p>
    <w:p w14:paraId="380B4BC9" w14:textId="7F6FC344" w:rsidR="00061AB1" w:rsidRDefault="00061AB1" w:rsidP="00061AB1">
      <w:pPr>
        <w:pStyle w:val="Proposal"/>
        <w:rPr>
          <w:lang w:val="en-GB"/>
        </w:rPr>
      </w:pPr>
      <w:bookmarkStart w:id="578" w:name="_Toc83997392"/>
      <w:bookmarkStart w:id="579" w:name="_Toc84007492"/>
      <w:bookmarkStart w:id="580" w:name="_Toc84018556"/>
      <w:bookmarkStart w:id="581" w:name="_Toc87021777"/>
      <w:bookmarkStart w:id="582" w:name="_Toc87034794"/>
      <w:bookmarkStart w:id="583" w:name="_Toc87034948"/>
      <w:bookmarkStart w:id="584" w:name="_Toc87035728"/>
      <w:bookmarkStart w:id="585" w:name="_Toc87035753"/>
      <w:bookmarkStart w:id="586" w:name="_Toc87036452"/>
      <w:bookmarkStart w:id="587" w:name="_Toc87036795"/>
      <w:bookmarkStart w:id="588" w:name="_Toc87037772"/>
      <w:bookmarkStart w:id="589" w:name="_Toc87037968"/>
      <w:bookmarkStart w:id="590" w:name="_Toc87038121"/>
      <w:bookmarkStart w:id="591" w:name="_Toc87040026"/>
      <w:bookmarkStart w:id="592" w:name="_Toc87040191"/>
      <w:bookmarkStart w:id="593" w:name="_Toc87045021"/>
      <w:r>
        <w:rPr>
          <w:lang w:val="en-GB"/>
        </w:rPr>
        <w:t xml:space="preserve">RAN1 to discuss resource conflicts in the DC mode </w:t>
      </w:r>
      <w:r w:rsidR="00D31F1E">
        <w:rPr>
          <w:lang w:val="en-GB"/>
        </w:rPr>
        <w:t>due to conflicting</w:t>
      </w:r>
      <w:r>
        <w:rPr>
          <w:lang w:val="en-GB"/>
        </w:rPr>
        <w:t xml:space="preserve"> Case-7 timing.</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E23DC7E" w14:textId="77777777" w:rsidR="00061AB1" w:rsidRPr="00295710" w:rsidRDefault="00061AB1" w:rsidP="00061AB1"/>
    <w:p w14:paraId="27D4F397" w14:textId="56087957" w:rsidR="00B1741F" w:rsidRPr="001B5AA8" w:rsidRDefault="00453465" w:rsidP="00B1741F">
      <w:pPr>
        <w:pStyle w:val="Heading1"/>
      </w:pPr>
      <w:r>
        <w:t>Conclusions</w:t>
      </w:r>
    </w:p>
    <w:p w14:paraId="2F91A1ED" w14:textId="0A1C35AF"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 xml:space="preserve">node and made the following </w:t>
      </w:r>
      <w:r w:rsidR="006F16D6">
        <w:t xml:space="preserve">observations and </w:t>
      </w:r>
      <w:r>
        <w:t>proposals:</w:t>
      </w:r>
    </w:p>
    <w:p w14:paraId="767C642C" w14:textId="77777777" w:rsidR="0093270A" w:rsidRDefault="006E4066">
      <w:pPr>
        <w:pStyle w:val="TableofFigures"/>
        <w:tabs>
          <w:tab w:val="left" w:pos="1701"/>
        </w:tabs>
        <w:rPr>
          <w:rFonts w:asciiTheme="minorHAnsi" w:eastAsiaTheme="minorEastAsia" w:hAnsiTheme="minorHAnsi" w:cstheme="minorBidi"/>
          <w:b w:val="0"/>
          <w:bCs w:val="0"/>
          <w:noProof/>
          <w:sz w:val="22"/>
          <w:szCs w:val="22"/>
        </w:rPr>
      </w:pPr>
      <w:r>
        <w:fldChar w:fldCharType="begin"/>
      </w:r>
      <w:r>
        <w:instrText xml:space="preserve"> TOC \n \t "Observation" \c </w:instrText>
      </w:r>
      <w:r>
        <w:fldChar w:fldCharType="separate"/>
      </w:r>
      <w:r w:rsidR="0093270A">
        <w:rPr>
          <w:noProof/>
        </w:rPr>
        <w:t>Observation 1:</w:t>
      </w:r>
      <w:r w:rsidR="0093270A">
        <w:rPr>
          <w:rFonts w:asciiTheme="minorHAnsi" w:eastAsiaTheme="minorEastAsia" w:hAnsiTheme="minorHAnsi" w:cstheme="minorBidi"/>
          <w:b w:val="0"/>
          <w:bCs w:val="0"/>
          <w:noProof/>
          <w:sz w:val="22"/>
          <w:szCs w:val="22"/>
        </w:rPr>
        <w:tab/>
      </w:r>
      <w:r w:rsidR="0093270A">
        <w:rPr>
          <w:noProof/>
        </w:rPr>
        <w:t>The working assumption on applying the frequency-domain H/S/NA in RAN1#106-bis-e is incorrect/invalid because it refers to “operating in a non-TDM multiplexing mode,” the definition of which has not been agreed.</w:t>
      </w:r>
    </w:p>
    <w:p w14:paraId="1D1BE96B" w14:textId="77777777" w:rsidR="0093270A" w:rsidRDefault="0093270A">
      <w:pPr>
        <w:pStyle w:val="TableofFigures"/>
        <w:tabs>
          <w:tab w:val="left" w:pos="1701"/>
        </w:tabs>
        <w:rPr>
          <w:rFonts w:asciiTheme="minorHAnsi" w:eastAsiaTheme="minorEastAsia" w:hAnsiTheme="minorHAnsi" w:cstheme="minorBidi"/>
          <w:b w:val="0"/>
          <w:bCs w:val="0"/>
          <w:noProof/>
          <w:sz w:val="22"/>
          <w:szCs w:val="22"/>
        </w:rPr>
      </w:pPr>
      <w:r>
        <w:rPr>
          <w:noProof/>
        </w:rPr>
        <w:t>Observation 2:</w:t>
      </w:r>
      <w:r>
        <w:rPr>
          <w:rFonts w:asciiTheme="minorHAnsi" w:eastAsiaTheme="minorEastAsia" w:hAnsiTheme="minorHAnsi" w:cstheme="minorBidi"/>
          <w:b w:val="0"/>
          <w:bCs w:val="0"/>
          <w:noProof/>
          <w:sz w:val="22"/>
          <w:szCs w:val="22"/>
        </w:rPr>
        <w:tab/>
      </w:r>
      <w:r>
        <w:rPr>
          <w:noProof/>
        </w:rPr>
        <w:t>Joint application of time-domain (Rel-16) and frequency-domain (Rel-17) H/S/NA attributes facilitates a fallback mode, avoids the complexity of defining a multiplexing mode, and provides higher resource efficiency if the IAB node is not capable of performing FDM at a moment.</w:t>
      </w:r>
    </w:p>
    <w:p w14:paraId="52D6640B" w14:textId="77777777" w:rsidR="0093270A" w:rsidRDefault="0093270A">
      <w:pPr>
        <w:pStyle w:val="TableofFigures"/>
        <w:tabs>
          <w:tab w:val="left" w:pos="1701"/>
        </w:tabs>
        <w:rPr>
          <w:rFonts w:asciiTheme="minorHAnsi" w:eastAsiaTheme="minorEastAsia" w:hAnsiTheme="minorHAnsi" w:cstheme="minorBidi"/>
          <w:b w:val="0"/>
          <w:bCs w:val="0"/>
          <w:noProof/>
          <w:sz w:val="22"/>
          <w:szCs w:val="22"/>
        </w:rPr>
      </w:pPr>
      <w:r>
        <w:rPr>
          <w:noProof/>
        </w:rPr>
        <w:lastRenderedPageBreak/>
        <w:t>Observation 3:</w:t>
      </w:r>
      <w:r>
        <w:rPr>
          <w:rFonts w:asciiTheme="minorHAnsi" w:eastAsiaTheme="minorEastAsia" w:hAnsiTheme="minorHAnsi" w:cstheme="minorBidi"/>
          <w:b w:val="0"/>
          <w:bCs w:val="0"/>
          <w:noProof/>
          <w:sz w:val="22"/>
          <w:szCs w:val="22"/>
        </w:rPr>
        <w:tab/>
      </w:r>
      <w:r>
        <w:rPr>
          <w:noProof/>
        </w:rPr>
        <w:t>Separate application of time-domain and frequency-domain H/S/NA is a special case of joint application.</w:t>
      </w:r>
    </w:p>
    <w:p w14:paraId="05C8E05A" w14:textId="77777777" w:rsidR="0093270A" w:rsidRDefault="0093270A">
      <w:pPr>
        <w:pStyle w:val="TableofFigures"/>
        <w:tabs>
          <w:tab w:val="left" w:pos="1701"/>
        </w:tabs>
        <w:rPr>
          <w:rFonts w:asciiTheme="minorHAnsi" w:eastAsiaTheme="minorEastAsia" w:hAnsiTheme="minorHAnsi" w:cstheme="minorBidi"/>
          <w:b w:val="0"/>
          <w:bCs w:val="0"/>
          <w:noProof/>
          <w:sz w:val="22"/>
          <w:szCs w:val="22"/>
        </w:rPr>
      </w:pPr>
      <w:r>
        <w:rPr>
          <w:noProof/>
        </w:rPr>
        <w:t>Observation 4:</w:t>
      </w:r>
      <w:r>
        <w:rPr>
          <w:rFonts w:asciiTheme="minorHAnsi" w:eastAsiaTheme="minorEastAsia" w:hAnsiTheme="minorHAnsi" w:cstheme="minorBidi"/>
          <w:b w:val="0"/>
          <w:bCs w:val="0"/>
          <w:noProof/>
          <w:sz w:val="22"/>
          <w:szCs w:val="22"/>
        </w:rPr>
        <w:tab/>
      </w:r>
      <w:r>
        <w:rPr>
          <w:noProof/>
        </w:rPr>
        <w:t>The best-effort approach is insufficient for non-TDM operation in the presence of varying beam, power, interference, and timing alignment constraints.</w:t>
      </w:r>
    </w:p>
    <w:p w14:paraId="065394D2" w14:textId="77777777" w:rsidR="0093270A" w:rsidRDefault="0093270A">
      <w:pPr>
        <w:pStyle w:val="TableofFigures"/>
        <w:tabs>
          <w:tab w:val="left" w:pos="1701"/>
        </w:tabs>
        <w:rPr>
          <w:rFonts w:asciiTheme="minorHAnsi" w:eastAsiaTheme="minorEastAsia" w:hAnsiTheme="minorHAnsi" w:cstheme="minorBidi"/>
          <w:b w:val="0"/>
          <w:bCs w:val="0"/>
          <w:noProof/>
          <w:sz w:val="22"/>
          <w:szCs w:val="22"/>
        </w:rPr>
      </w:pPr>
      <w:r>
        <w:rPr>
          <w:noProof/>
        </w:rPr>
        <w:t>Observation 5:</w:t>
      </w:r>
      <w:r>
        <w:rPr>
          <w:rFonts w:asciiTheme="minorHAnsi" w:eastAsiaTheme="minorEastAsia" w:hAnsiTheme="minorHAnsi" w:cstheme="minorBidi"/>
          <w:b w:val="0"/>
          <w:bCs w:val="0"/>
          <w:noProof/>
          <w:sz w:val="22"/>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386B2511" w14:textId="4F80F1A3" w:rsidR="00FA6AE1" w:rsidRDefault="006E4066">
      <w:pPr>
        <w:pStyle w:val="TableofFigures"/>
      </w:pPr>
      <w:r>
        <w:fldChar w:fldCharType="end"/>
      </w:r>
    </w:p>
    <w:p w14:paraId="7F2E595C" w14:textId="77777777" w:rsidR="0093270A" w:rsidRDefault="009A7FE7">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93270A" w:rsidRPr="00024944">
        <w:rPr>
          <w:noProof/>
          <w:lang w:val="en-GB"/>
        </w:rPr>
        <w:t>Proposal 1:</w:t>
      </w:r>
      <w:r w:rsidR="0093270A">
        <w:rPr>
          <w:rFonts w:asciiTheme="minorHAnsi" w:eastAsiaTheme="minorEastAsia" w:hAnsiTheme="minorHAnsi" w:cstheme="minorBidi"/>
          <w:b w:val="0"/>
          <w:bCs w:val="0"/>
          <w:noProof/>
          <w:sz w:val="22"/>
          <w:szCs w:val="22"/>
        </w:rPr>
        <w:tab/>
      </w:r>
      <w:r w:rsidR="0093270A" w:rsidRPr="00024944">
        <w:rPr>
          <w:noProof/>
          <w:lang w:val="en-GB"/>
        </w:rPr>
        <w:t>Support joint application of time-domain and frequency-domain H/S/NA configurations.</w:t>
      </w:r>
    </w:p>
    <w:p w14:paraId="30272CB6"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sidRPr="00024944">
        <w:rPr>
          <w:noProof/>
          <w:lang w:val="en-GB"/>
        </w:rPr>
        <w:t>Specify rules for determining H/S/NA resource types for time-frequency resources based on separate configurations in time and frequency domains.</w:t>
      </w:r>
    </w:p>
    <w:p w14:paraId="69EB198E"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3:</w:t>
      </w:r>
      <w:r>
        <w:rPr>
          <w:rFonts w:asciiTheme="minorHAnsi" w:eastAsiaTheme="minorEastAsia" w:hAnsiTheme="minorHAnsi" w:cstheme="minorBidi"/>
          <w:b w:val="0"/>
          <w:bCs w:val="0"/>
          <w:noProof/>
          <w:sz w:val="22"/>
          <w:szCs w:val="22"/>
        </w:rPr>
        <w:tab/>
      </w:r>
      <w:r w:rsidRPr="00024944">
        <w:rPr>
          <w:noProof/>
          <w:lang w:val="en-GB"/>
        </w:rPr>
        <w:t>Allow multiple frequency-domain H/S/NA configurations for non-overlapping and overlapping RB sets provided that the configurations do not assign conflicting H/S/NA attributes to any given resource.</w:t>
      </w:r>
    </w:p>
    <w:p w14:paraId="7B405BD0"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4:</w:t>
      </w:r>
      <w:r>
        <w:rPr>
          <w:rFonts w:asciiTheme="minorHAnsi" w:eastAsiaTheme="minorEastAsia" w:hAnsiTheme="minorHAnsi" w:cstheme="minorBidi"/>
          <w:b w:val="0"/>
          <w:bCs w:val="0"/>
          <w:noProof/>
          <w:sz w:val="22"/>
          <w:szCs w:val="22"/>
        </w:rPr>
        <w:tab/>
      </w:r>
      <w:r w:rsidRPr="00024944">
        <w:rPr>
          <w:noProof/>
          <w:lang w:val="en-GB"/>
        </w:rPr>
        <w:t>Extend DCI 2-5 for frequency-domain availability indication by allowing a unit of N PRBs in addition to the unit of 1 slot.</w:t>
      </w:r>
    </w:p>
    <w:p w14:paraId="6F0F24BC"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5:</w:t>
      </w:r>
      <w:r>
        <w:rPr>
          <w:rFonts w:asciiTheme="minorHAnsi" w:eastAsiaTheme="minorEastAsia" w:hAnsiTheme="minorHAnsi" w:cstheme="minorBidi"/>
          <w:b w:val="0"/>
          <w:bCs w:val="0"/>
          <w:noProof/>
          <w:sz w:val="22"/>
          <w:szCs w:val="22"/>
        </w:rPr>
        <w:tab/>
      </w:r>
      <w:r w:rsidRPr="00024944">
        <w:rPr>
          <w:noProof/>
          <w:lang w:val="en-GB"/>
        </w:rPr>
        <w:t>Support conditional availability indication as a balance between existing best-effort non-TDM and TDM-only availability indication.</w:t>
      </w:r>
    </w:p>
    <w:p w14:paraId="330128F9"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6:</w:t>
      </w:r>
      <w:r>
        <w:rPr>
          <w:rFonts w:asciiTheme="minorHAnsi" w:eastAsiaTheme="minorEastAsia" w:hAnsiTheme="minorHAnsi" w:cstheme="minorBidi"/>
          <w:b w:val="0"/>
          <w:bCs w:val="0"/>
          <w:noProof/>
          <w:sz w:val="22"/>
          <w:szCs w:val="22"/>
        </w:rPr>
        <w:tab/>
      </w:r>
      <w:r w:rsidRPr="00024944">
        <w:rPr>
          <w:noProof/>
          <w:lang w:val="en-GB"/>
        </w:rPr>
        <w:t xml:space="preserve">The beam restriction indication from the parent node includes </w:t>
      </w:r>
      <w:r w:rsidRPr="00024944">
        <w:rPr>
          <w:i/>
          <w:iCs/>
          <w:noProof/>
          <w:lang w:val="en-GB"/>
        </w:rPr>
        <w:t>indication of time and frequency resources</w:t>
      </w:r>
      <w:r w:rsidRPr="00024944">
        <w:rPr>
          <w:noProof/>
          <w:lang w:val="en-GB"/>
        </w:rPr>
        <w:t xml:space="preserve"> (e.g., slots/symbols and RB sets) of the IAB-DU over which the beam restriction is applied. No need to include information related to H/S resource attributes and relationship with IAB-MT beams.</w:t>
      </w:r>
    </w:p>
    <w:p w14:paraId="4E8DA8DB"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Support indication of recommended beams to the parent node as part of dynamic signaling of “conditions/parameter” agreed in RAN#105-e.</w:t>
      </w:r>
    </w:p>
    <w:p w14:paraId="2B93AF94"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per-panel granularity by allowing dynamic indication of restricting/using beams and their associated antenna panels for specific time-frequency resources.</w:t>
      </w:r>
    </w:p>
    <w:p w14:paraId="5BC38852"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9:</w:t>
      </w:r>
      <w:r>
        <w:rPr>
          <w:rFonts w:asciiTheme="minorHAnsi" w:eastAsiaTheme="minorEastAsia" w:hAnsiTheme="minorHAnsi" w:cstheme="minorBidi"/>
          <w:b w:val="0"/>
          <w:bCs w:val="0"/>
          <w:noProof/>
          <w:sz w:val="22"/>
          <w:szCs w:val="22"/>
        </w:rPr>
        <w:tab/>
      </w:r>
      <w:r w:rsidRPr="00024944">
        <w:rPr>
          <w:noProof/>
          <w:lang w:val="en-GB"/>
        </w:rPr>
        <w:t>Support early beam/panel indications for the upstream link in addition to downstream beam indications.</w:t>
      </w:r>
    </w:p>
    <w:p w14:paraId="77519D88"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Support signaling IAB node capabilities for timing alignment and multi-panel and baseband characteristics.</w:t>
      </w:r>
    </w:p>
    <w:p w14:paraId="11157241"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11:</w:t>
      </w:r>
      <w:r>
        <w:rPr>
          <w:rFonts w:asciiTheme="minorHAnsi" w:eastAsiaTheme="minorEastAsia" w:hAnsiTheme="minorHAnsi" w:cstheme="minorBidi"/>
          <w:b w:val="0"/>
          <w:bCs w:val="0"/>
          <w:noProof/>
          <w:sz w:val="22"/>
          <w:szCs w:val="22"/>
        </w:rPr>
        <w:tab/>
      </w:r>
      <w:r w:rsidRPr="00024944">
        <w:rPr>
          <w:noProof/>
          <w:lang w:val="en-GB"/>
        </w:rPr>
        <w:t>Support dynamic signalling for communicating operation constraints such as beam, power, interference, and timing alignment constraints along with information of time, frequency, and spatial resources.</w:t>
      </w:r>
    </w:p>
    <w:p w14:paraId="7ECCE739"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12:</w:t>
      </w:r>
      <w:r>
        <w:rPr>
          <w:rFonts w:asciiTheme="minorHAnsi" w:eastAsiaTheme="minorEastAsia" w:hAnsiTheme="minorHAnsi" w:cstheme="minorBidi"/>
          <w:b w:val="0"/>
          <w:bCs w:val="0"/>
          <w:noProof/>
          <w:sz w:val="22"/>
          <w:szCs w:val="22"/>
        </w:rPr>
        <w:tab/>
      </w:r>
      <w:r>
        <w:rPr>
          <w:noProof/>
        </w:rPr>
        <w:t>Support MAC CE signaling for activation/deactivation of Case 6 timing.</w:t>
      </w:r>
    </w:p>
    <w:p w14:paraId="15CF7E14"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13:</w:t>
      </w:r>
      <w:r>
        <w:rPr>
          <w:rFonts w:asciiTheme="minorHAnsi" w:eastAsiaTheme="minorEastAsia" w:hAnsiTheme="minorHAnsi" w:cstheme="minorBidi"/>
          <w:b w:val="0"/>
          <w:bCs w:val="0"/>
          <w:noProof/>
          <w:sz w:val="22"/>
          <w:szCs w:val="22"/>
        </w:rPr>
        <w:tab/>
      </w:r>
      <w:r>
        <w:rPr>
          <w:noProof/>
        </w:rPr>
        <w:t>Support MAC CE signaling for activation/deactivation of Case 7 timing.</w:t>
      </w:r>
    </w:p>
    <w:p w14:paraId="54248F38"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14:</w:t>
      </w:r>
      <w:r>
        <w:rPr>
          <w:rFonts w:asciiTheme="minorHAnsi" w:eastAsiaTheme="minorEastAsia" w:hAnsiTheme="minorHAnsi" w:cstheme="minorBidi"/>
          <w:b w:val="0"/>
          <w:bCs w:val="0"/>
          <w:noProof/>
          <w:sz w:val="22"/>
          <w:szCs w:val="22"/>
        </w:rPr>
        <w:tab/>
      </w:r>
      <w:r>
        <w:rPr>
          <w:noProof/>
        </w:rPr>
        <w:t>Support RRC configuration for Case 6 and Case 7 timing alignment in addition to dynamic signaling.</w:t>
      </w:r>
    </w:p>
    <w:p w14:paraId="19973BE6"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15:</w:t>
      </w:r>
      <w:r>
        <w:rPr>
          <w:rFonts w:asciiTheme="minorHAnsi" w:eastAsiaTheme="minorEastAsia" w:hAnsiTheme="minorHAnsi" w:cstheme="minorBidi"/>
          <w:b w:val="0"/>
          <w:bCs w:val="0"/>
          <w:noProof/>
          <w:sz w:val="22"/>
          <w:szCs w:val="22"/>
        </w:rPr>
        <w:tab/>
      </w:r>
      <w:r w:rsidRPr="00024944">
        <w:rPr>
          <w:noProof/>
          <w:lang w:val="en-GB"/>
        </w:rPr>
        <w:t xml:space="preserve">Signalling for timing alignment indication is linked to multiplexing capability of the IAB node as well as whether the IAB node </w:t>
      </w:r>
      <w:r w:rsidRPr="00024944">
        <w:rPr>
          <w:noProof/>
          <w:u w:val="single"/>
          <w:lang w:val="en-GB"/>
        </w:rPr>
        <w:t>requires</w:t>
      </w:r>
      <w:r w:rsidRPr="00024944">
        <w:rPr>
          <w:noProof/>
          <w:lang w:val="en-GB"/>
        </w:rPr>
        <w:t xml:space="preserve"> enhanced timing alignment.</w:t>
      </w:r>
    </w:p>
    <w:p w14:paraId="59E1B740"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t>Proposal 16:</w:t>
      </w:r>
      <w:r>
        <w:rPr>
          <w:rFonts w:asciiTheme="minorHAnsi" w:eastAsiaTheme="minorEastAsia" w:hAnsiTheme="minorHAnsi" w:cstheme="minorBidi"/>
          <w:b w:val="0"/>
          <w:bCs w:val="0"/>
          <w:noProof/>
          <w:sz w:val="22"/>
          <w:szCs w:val="22"/>
        </w:rPr>
        <w:tab/>
      </w:r>
      <w:r w:rsidRPr="00024944">
        <w:rPr>
          <w:noProof/>
          <w:lang w:val="en-GB"/>
        </w:rPr>
        <w:t xml:space="preserve">Support a capability signalling, e.g., number of IFFT/FFT windows, to indicate whether the IAB node </w:t>
      </w:r>
      <w:r w:rsidRPr="00024944">
        <w:rPr>
          <w:noProof/>
          <w:u w:val="single"/>
          <w:lang w:val="en-GB"/>
        </w:rPr>
        <w:t>requires</w:t>
      </w:r>
      <w:r w:rsidRPr="00024944">
        <w:rPr>
          <w:noProof/>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43400424" w14:textId="77777777" w:rsidR="0093270A" w:rsidRDefault="0093270A">
      <w:pPr>
        <w:pStyle w:val="TableofFigures"/>
        <w:rPr>
          <w:rFonts w:asciiTheme="minorHAnsi" w:eastAsiaTheme="minorEastAsia" w:hAnsiTheme="minorHAnsi" w:cstheme="minorBidi"/>
          <w:b w:val="0"/>
          <w:bCs w:val="0"/>
          <w:noProof/>
          <w:sz w:val="22"/>
          <w:szCs w:val="22"/>
        </w:rPr>
      </w:pPr>
      <w:r>
        <w:rPr>
          <w:noProof/>
        </w:rPr>
        <w:t>Proposal 17:</w:t>
      </w:r>
      <w:r>
        <w:rPr>
          <w:rFonts w:asciiTheme="minorHAnsi" w:eastAsiaTheme="minorEastAsia" w:hAnsiTheme="minorHAnsi"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09EBB684" w14:textId="77777777" w:rsidR="0093270A" w:rsidRDefault="0093270A">
      <w:pPr>
        <w:pStyle w:val="TableofFigures"/>
        <w:rPr>
          <w:rFonts w:asciiTheme="minorHAnsi" w:eastAsiaTheme="minorEastAsia" w:hAnsiTheme="minorHAnsi" w:cstheme="minorBidi"/>
          <w:b w:val="0"/>
          <w:bCs w:val="0"/>
          <w:noProof/>
          <w:sz w:val="22"/>
          <w:szCs w:val="22"/>
        </w:rPr>
      </w:pPr>
      <w:r w:rsidRPr="00024944">
        <w:rPr>
          <w:noProof/>
          <w:lang w:val="en-GB"/>
        </w:rPr>
        <w:lastRenderedPageBreak/>
        <w:t>Proposal 18:</w:t>
      </w:r>
      <w:r>
        <w:rPr>
          <w:rFonts w:asciiTheme="minorHAnsi" w:eastAsiaTheme="minorEastAsia" w:hAnsiTheme="minorHAnsi" w:cstheme="minorBidi"/>
          <w:b w:val="0"/>
          <w:bCs w:val="0"/>
          <w:noProof/>
          <w:sz w:val="22"/>
          <w:szCs w:val="22"/>
        </w:rPr>
        <w:tab/>
      </w:r>
      <w:r w:rsidRPr="00024944">
        <w:rPr>
          <w:noProof/>
          <w:lang w:val="en-GB"/>
        </w:rPr>
        <w:t>RAN1 to discuss resource conflicts in the DC mode due to conflicting Case-7 timing.</w:t>
      </w:r>
    </w:p>
    <w:p w14:paraId="3D51BDC7" w14:textId="32C5ACD6" w:rsidR="006055A3" w:rsidRDefault="009A7FE7" w:rsidP="00A51664">
      <w:pPr>
        <w:pStyle w:val="TableofFigures"/>
        <w:tabs>
          <w:tab w:val="clear" w:pos="1411"/>
          <w:tab w:val="left" w:pos="1418"/>
        </w:tabs>
      </w:pPr>
      <w:r>
        <w:fldChar w:fldCharType="end"/>
      </w:r>
    </w:p>
    <w:p w14:paraId="2AAA3E1B" w14:textId="7D685E96" w:rsidR="00B1741F" w:rsidRPr="001B5AA8" w:rsidRDefault="00B1741F" w:rsidP="00B1741F">
      <w:pPr>
        <w:pStyle w:val="Heading1"/>
      </w:pPr>
      <w:r>
        <w:rPr>
          <w:lang w:val="en-US"/>
        </w:rPr>
        <w:t>References</w:t>
      </w:r>
    </w:p>
    <w:p w14:paraId="32BAA834" w14:textId="32054BDF" w:rsidR="00FF498A" w:rsidRPr="00F73FA0" w:rsidRDefault="00FF498A" w:rsidP="00B05C5E">
      <w:pPr>
        <w:pStyle w:val="References"/>
        <w:numPr>
          <w:ilvl w:val="0"/>
          <w:numId w:val="4"/>
        </w:numPr>
      </w:pPr>
      <w:bookmarkStart w:id="594" w:name="_Ref54187073"/>
      <w:bookmarkStart w:id="595" w:name="_Ref54186872"/>
      <w:bookmarkStart w:id="596" w:name="_Ref30491916"/>
      <w:bookmarkEnd w:id="2"/>
      <w:bookmarkEnd w:id="3"/>
      <w:r w:rsidRPr="00F73FA0">
        <w:t>R1-21</w:t>
      </w:r>
      <w:r w:rsidR="009546CD">
        <w:t>11953</w:t>
      </w:r>
      <w:r w:rsidRPr="00F73FA0">
        <w:t>, “Timing, interference, and power control in enhanced IAB systems,” Lenovo, Motorola Mobility, RAN1#10</w:t>
      </w:r>
      <w:r w:rsidR="009546CD">
        <w:t>7</w:t>
      </w:r>
      <w:r w:rsidRPr="00F73FA0">
        <w:t xml:space="preserve">-e, Electronic Meeting, </w:t>
      </w:r>
      <w:r w:rsidR="009546CD">
        <w:t>November</w:t>
      </w:r>
      <w:r w:rsidRPr="00F73FA0">
        <w:t xml:space="preserve"> 2021.</w:t>
      </w:r>
      <w:bookmarkEnd w:id="594"/>
    </w:p>
    <w:p w14:paraId="73C7AED5" w14:textId="357B116C" w:rsidR="00CF228E" w:rsidRDefault="00CF228E" w:rsidP="00B05C5E">
      <w:pPr>
        <w:pStyle w:val="References"/>
        <w:numPr>
          <w:ilvl w:val="0"/>
          <w:numId w:val="4"/>
        </w:numPr>
      </w:pPr>
      <w:bookmarkStart w:id="597" w:name="_Ref79129427"/>
      <w:bookmarkStart w:id="598" w:name="_Ref71645565"/>
      <w:r w:rsidRPr="004E58DF">
        <w:t>RAN1#105-e Chairman’s Notes.</w:t>
      </w:r>
      <w:bookmarkEnd w:id="597"/>
    </w:p>
    <w:p w14:paraId="4D583E4E" w14:textId="2FC85526" w:rsidR="00AA5A48" w:rsidRDefault="00AA5A48" w:rsidP="00B05C5E">
      <w:pPr>
        <w:pStyle w:val="References"/>
        <w:numPr>
          <w:ilvl w:val="0"/>
          <w:numId w:val="4"/>
        </w:numPr>
      </w:pPr>
      <w:bookmarkStart w:id="599" w:name="_Ref83976458"/>
      <w:r>
        <w:t>RAN1#106-e Chairman’s Notes.</w:t>
      </w:r>
      <w:bookmarkEnd w:id="599"/>
    </w:p>
    <w:p w14:paraId="337768AC" w14:textId="5FF368DA" w:rsidR="00BA7B45" w:rsidRPr="004E58DF" w:rsidRDefault="00BA7B45" w:rsidP="00B05C5E">
      <w:pPr>
        <w:pStyle w:val="References"/>
        <w:numPr>
          <w:ilvl w:val="0"/>
          <w:numId w:val="4"/>
        </w:numPr>
      </w:pPr>
      <w:bookmarkStart w:id="600" w:name="_Ref87005492"/>
      <w:r>
        <w:t>RAN1#106-bis-e Chairman’s Notes.</w:t>
      </w:r>
      <w:bookmarkEnd w:id="600"/>
    </w:p>
    <w:p w14:paraId="3C829CDA" w14:textId="3D94E2C0" w:rsidR="00597C2C" w:rsidRPr="004E58DF" w:rsidRDefault="00597C2C" w:rsidP="00B05C5E">
      <w:pPr>
        <w:pStyle w:val="References"/>
        <w:numPr>
          <w:ilvl w:val="0"/>
          <w:numId w:val="4"/>
        </w:numPr>
      </w:pPr>
      <w:bookmarkStart w:id="601" w:name="_Ref71645600"/>
      <w:bookmarkEnd w:id="4"/>
      <w:bookmarkEnd w:id="595"/>
      <w:bookmarkEnd w:id="596"/>
      <w:bookmarkEnd w:id="598"/>
      <w:r w:rsidRPr="004E58DF">
        <w:t>RAN1#95</w:t>
      </w:r>
      <w:r w:rsidR="00AC7138" w:rsidRPr="004E58DF">
        <w:t>, RAN1#100 Chairman’s Notes.</w:t>
      </w:r>
      <w:bookmarkEnd w:id="601"/>
    </w:p>
    <w:sectPr w:rsidR="00597C2C" w:rsidRPr="004E58DF"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5D264" w14:textId="77777777" w:rsidR="00827910" w:rsidRDefault="00827910">
      <w:r>
        <w:separator/>
      </w:r>
    </w:p>
  </w:endnote>
  <w:endnote w:type="continuationSeparator" w:id="0">
    <w:p w14:paraId="0C6BD081" w14:textId="77777777" w:rsidR="00827910" w:rsidRDefault="00827910">
      <w:r>
        <w:continuationSeparator/>
      </w:r>
    </w:p>
  </w:endnote>
  <w:endnote w:type="continuationNotice" w:id="1">
    <w:p w14:paraId="40D26B64" w14:textId="77777777" w:rsidR="00827910" w:rsidRDefault="00827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42F0C" w14:textId="77777777" w:rsidR="00827910" w:rsidRDefault="00827910">
      <w:r>
        <w:separator/>
      </w:r>
    </w:p>
  </w:footnote>
  <w:footnote w:type="continuationSeparator" w:id="0">
    <w:p w14:paraId="7ACD999C" w14:textId="77777777" w:rsidR="00827910" w:rsidRDefault="00827910">
      <w:r>
        <w:continuationSeparator/>
      </w:r>
    </w:p>
  </w:footnote>
  <w:footnote w:type="continuationNotice" w:id="1">
    <w:p w14:paraId="36754D40" w14:textId="77777777" w:rsidR="00827910" w:rsidRDefault="00827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BB4E99"/>
    <w:multiLevelType w:val="hybridMultilevel"/>
    <w:tmpl w:val="6B2C0ADC"/>
    <w:lvl w:ilvl="0" w:tplc="2654F29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0" w15:restartNumberingAfterBreak="0">
    <w:nsid w:val="1FD269EA"/>
    <w:multiLevelType w:val="hybridMultilevel"/>
    <w:tmpl w:val="46CA3B64"/>
    <w:lvl w:ilvl="0" w:tplc="DA00E52A">
      <w:start w:val="1"/>
      <w:numFmt w:val="decimal"/>
      <w:pStyle w:val="Proposal"/>
      <w:lvlText w:val="Proposal %1: "/>
      <w:lvlJc w:val="left"/>
      <w:pPr>
        <w:ind w:left="78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454C7"/>
    <w:multiLevelType w:val="hybridMultilevel"/>
    <w:tmpl w:val="5B9E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3E07F0"/>
    <w:multiLevelType w:val="hybridMultilevel"/>
    <w:tmpl w:val="6D10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853BC"/>
    <w:multiLevelType w:val="hybridMultilevel"/>
    <w:tmpl w:val="300E1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3A4E83"/>
    <w:multiLevelType w:val="hybridMultilevel"/>
    <w:tmpl w:val="79A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9D7E7B"/>
    <w:multiLevelType w:val="hybridMultilevel"/>
    <w:tmpl w:val="21B68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B66B5"/>
    <w:multiLevelType w:val="hybridMultilevel"/>
    <w:tmpl w:val="F766CA0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9"/>
  </w:num>
  <w:num w:numId="4">
    <w:abstractNumId w:val="19"/>
    <w:lvlOverride w:ilvl="0">
      <w:startOverride w:val="1"/>
    </w:lvlOverride>
  </w:num>
  <w:num w:numId="5">
    <w:abstractNumId w:val="14"/>
  </w:num>
  <w:num w:numId="6">
    <w:abstractNumId w:val="38"/>
  </w:num>
  <w:num w:numId="7">
    <w:abstractNumId w:val="10"/>
  </w:num>
  <w:num w:numId="8">
    <w:abstractNumId w:val="28"/>
  </w:num>
  <w:num w:numId="9">
    <w:abstractNumId w:val="16"/>
  </w:num>
  <w:num w:numId="10">
    <w:abstractNumId w:val="5"/>
  </w:num>
  <w:num w:numId="11">
    <w:abstractNumId w:val="17"/>
  </w:num>
  <w:num w:numId="12">
    <w:abstractNumId w:val="37"/>
  </w:num>
  <w:num w:numId="13">
    <w:abstractNumId w:val="0"/>
  </w:num>
  <w:num w:numId="14">
    <w:abstractNumId w:val="25"/>
  </w:num>
  <w:num w:numId="15">
    <w:abstractNumId w:val="6"/>
  </w:num>
  <w:num w:numId="16">
    <w:abstractNumId w:val="13"/>
  </w:num>
  <w:num w:numId="17">
    <w:abstractNumId w:val="29"/>
  </w:num>
  <w:num w:numId="18">
    <w:abstractNumId w:val="32"/>
  </w:num>
  <w:num w:numId="19">
    <w:abstractNumId w:val="22"/>
  </w:num>
  <w:num w:numId="20">
    <w:abstractNumId w:val="20"/>
  </w:num>
  <w:num w:numId="21">
    <w:abstractNumId w:val="11"/>
  </w:num>
  <w:num w:numId="22">
    <w:abstractNumId w:val="7"/>
  </w:num>
  <w:num w:numId="23">
    <w:abstractNumId w:val="38"/>
    <w:lvlOverride w:ilvl="0">
      <w:startOverride w:val="1"/>
    </w:lvlOverride>
  </w:num>
  <w:num w:numId="24">
    <w:abstractNumId w:val="30"/>
  </w:num>
  <w:num w:numId="25">
    <w:abstractNumId w:val="2"/>
  </w:num>
  <w:num w:numId="26">
    <w:abstractNumId w:val="33"/>
  </w:num>
  <w:num w:numId="27">
    <w:abstractNumId w:val="3"/>
  </w:num>
  <w:num w:numId="28">
    <w:abstractNumId w:val="21"/>
  </w:num>
  <w:num w:numId="29">
    <w:abstractNumId w:val="26"/>
  </w:num>
  <w:num w:numId="30">
    <w:abstractNumId w:val="38"/>
    <w:lvlOverride w:ilvl="0">
      <w:startOverride w:val="1"/>
    </w:lvlOverride>
  </w:num>
  <w:num w:numId="31">
    <w:abstractNumId w:val="31"/>
  </w:num>
  <w:num w:numId="32">
    <w:abstractNumId w:val="27"/>
  </w:num>
  <w:num w:numId="33">
    <w:abstractNumId w:val="1"/>
  </w:num>
  <w:num w:numId="34">
    <w:abstractNumId w:val="8"/>
  </w:num>
  <w:num w:numId="35">
    <w:abstractNumId w:val="24"/>
  </w:num>
  <w:num w:numId="36">
    <w:abstractNumId w:val="12"/>
  </w:num>
  <w:num w:numId="37">
    <w:abstractNumId w:val="39"/>
  </w:num>
  <w:num w:numId="38">
    <w:abstractNumId w:val="36"/>
  </w:num>
  <w:num w:numId="39">
    <w:abstractNumId w:val="34"/>
  </w:num>
  <w:num w:numId="40">
    <w:abstractNumId w:val="18"/>
  </w:num>
  <w:num w:numId="41">
    <w:abstractNumId w:val="23"/>
  </w:num>
  <w:num w:numId="42">
    <w:abstractNumId w:val="35"/>
  </w:num>
  <w:num w:numId="4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661"/>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276DF"/>
    <w:rsid w:val="000300FE"/>
    <w:rsid w:val="00030ACA"/>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7B8"/>
    <w:rsid w:val="00037A21"/>
    <w:rsid w:val="00037C88"/>
    <w:rsid w:val="000404F2"/>
    <w:rsid w:val="000417B6"/>
    <w:rsid w:val="000421A0"/>
    <w:rsid w:val="0004274B"/>
    <w:rsid w:val="000429D0"/>
    <w:rsid w:val="00042A5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1AB1"/>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4D9"/>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3ED6"/>
    <w:rsid w:val="00094EF2"/>
    <w:rsid w:val="0009559C"/>
    <w:rsid w:val="00095B6A"/>
    <w:rsid w:val="000962D1"/>
    <w:rsid w:val="0009709B"/>
    <w:rsid w:val="000A0543"/>
    <w:rsid w:val="000A0D72"/>
    <w:rsid w:val="000A0E99"/>
    <w:rsid w:val="000A19B6"/>
    <w:rsid w:val="000A1D49"/>
    <w:rsid w:val="000A1FB3"/>
    <w:rsid w:val="000A2AA6"/>
    <w:rsid w:val="000A356B"/>
    <w:rsid w:val="000A3582"/>
    <w:rsid w:val="000A3ACB"/>
    <w:rsid w:val="000A4B74"/>
    <w:rsid w:val="000A6466"/>
    <w:rsid w:val="000A6788"/>
    <w:rsid w:val="000A6CFE"/>
    <w:rsid w:val="000B051F"/>
    <w:rsid w:val="000B1B68"/>
    <w:rsid w:val="000B1CD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B66"/>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1B65"/>
    <w:rsid w:val="000D231C"/>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0D31"/>
    <w:rsid w:val="000F1313"/>
    <w:rsid w:val="000F15E6"/>
    <w:rsid w:val="000F1CF3"/>
    <w:rsid w:val="000F2944"/>
    <w:rsid w:val="000F2AD9"/>
    <w:rsid w:val="000F3F1D"/>
    <w:rsid w:val="000F4734"/>
    <w:rsid w:val="000F4F44"/>
    <w:rsid w:val="000F6974"/>
    <w:rsid w:val="000F6AFA"/>
    <w:rsid w:val="000F6DDE"/>
    <w:rsid w:val="000F7452"/>
    <w:rsid w:val="000F75EB"/>
    <w:rsid w:val="000F794D"/>
    <w:rsid w:val="00100E41"/>
    <w:rsid w:val="00101489"/>
    <w:rsid w:val="00101ACE"/>
    <w:rsid w:val="00102147"/>
    <w:rsid w:val="00102FE9"/>
    <w:rsid w:val="00103E0E"/>
    <w:rsid w:val="00104058"/>
    <w:rsid w:val="0010405D"/>
    <w:rsid w:val="00104228"/>
    <w:rsid w:val="0010458A"/>
    <w:rsid w:val="00104A80"/>
    <w:rsid w:val="00105328"/>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3DB"/>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0BC9"/>
    <w:rsid w:val="00130D81"/>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2720"/>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559"/>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243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50C"/>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05A4"/>
    <w:rsid w:val="001E095A"/>
    <w:rsid w:val="001E216A"/>
    <w:rsid w:val="001E220A"/>
    <w:rsid w:val="001E2419"/>
    <w:rsid w:val="001E24F9"/>
    <w:rsid w:val="001E2C1A"/>
    <w:rsid w:val="001E359D"/>
    <w:rsid w:val="001E420B"/>
    <w:rsid w:val="001E4704"/>
    <w:rsid w:val="001E4B22"/>
    <w:rsid w:val="001E52F1"/>
    <w:rsid w:val="001E5917"/>
    <w:rsid w:val="001E5A63"/>
    <w:rsid w:val="001E623D"/>
    <w:rsid w:val="001E6BD1"/>
    <w:rsid w:val="001E719A"/>
    <w:rsid w:val="001E71A9"/>
    <w:rsid w:val="001E734D"/>
    <w:rsid w:val="001E750C"/>
    <w:rsid w:val="001E7E3A"/>
    <w:rsid w:val="001F06FC"/>
    <w:rsid w:val="001F0BE6"/>
    <w:rsid w:val="001F0DDF"/>
    <w:rsid w:val="001F1DFA"/>
    <w:rsid w:val="001F22A9"/>
    <w:rsid w:val="001F296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CB"/>
    <w:rsid w:val="00201AFC"/>
    <w:rsid w:val="00202561"/>
    <w:rsid w:val="0020293F"/>
    <w:rsid w:val="002033CD"/>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6460"/>
    <w:rsid w:val="0022657F"/>
    <w:rsid w:val="00226BD3"/>
    <w:rsid w:val="002279D2"/>
    <w:rsid w:val="00227C76"/>
    <w:rsid w:val="00227FF3"/>
    <w:rsid w:val="00230814"/>
    <w:rsid w:val="002309A5"/>
    <w:rsid w:val="00230AD3"/>
    <w:rsid w:val="00230D88"/>
    <w:rsid w:val="002314BC"/>
    <w:rsid w:val="002314EE"/>
    <w:rsid w:val="00231A4A"/>
    <w:rsid w:val="00231C70"/>
    <w:rsid w:val="00231D67"/>
    <w:rsid w:val="00233718"/>
    <w:rsid w:val="00235F2E"/>
    <w:rsid w:val="00236B4F"/>
    <w:rsid w:val="00236F71"/>
    <w:rsid w:val="00237779"/>
    <w:rsid w:val="00237D3F"/>
    <w:rsid w:val="00237E83"/>
    <w:rsid w:val="002400D6"/>
    <w:rsid w:val="002416E8"/>
    <w:rsid w:val="00241DAF"/>
    <w:rsid w:val="00242284"/>
    <w:rsid w:val="00242C9E"/>
    <w:rsid w:val="0024353D"/>
    <w:rsid w:val="0024379E"/>
    <w:rsid w:val="00243ACD"/>
    <w:rsid w:val="00244690"/>
    <w:rsid w:val="00244924"/>
    <w:rsid w:val="00244DF7"/>
    <w:rsid w:val="00244E50"/>
    <w:rsid w:val="0024511F"/>
    <w:rsid w:val="00245492"/>
    <w:rsid w:val="00245F7B"/>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165"/>
    <w:rsid w:val="002738C9"/>
    <w:rsid w:val="00273B2D"/>
    <w:rsid w:val="00273CFB"/>
    <w:rsid w:val="00273E2E"/>
    <w:rsid w:val="00273F80"/>
    <w:rsid w:val="00274B3C"/>
    <w:rsid w:val="002756D5"/>
    <w:rsid w:val="0027598E"/>
    <w:rsid w:val="00275AD2"/>
    <w:rsid w:val="00276AA1"/>
    <w:rsid w:val="0027702F"/>
    <w:rsid w:val="0027723B"/>
    <w:rsid w:val="0027731D"/>
    <w:rsid w:val="002777F5"/>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D29"/>
    <w:rsid w:val="002944CA"/>
    <w:rsid w:val="00295710"/>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3FBA"/>
    <w:rsid w:val="002B475D"/>
    <w:rsid w:val="002B4B75"/>
    <w:rsid w:val="002B4FE2"/>
    <w:rsid w:val="002B643F"/>
    <w:rsid w:val="002B7C8F"/>
    <w:rsid w:val="002B7FB1"/>
    <w:rsid w:val="002C0364"/>
    <w:rsid w:val="002C0397"/>
    <w:rsid w:val="002C0779"/>
    <w:rsid w:val="002C138C"/>
    <w:rsid w:val="002C203A"/>
    <w:rsid w:val="002C2FCD"/>
    <w:rsid w:val="002C36BB"/>
    <w:rsid w:val="002C36EB"/>
    <w:rsid w:val="002C3AE4"/>
    <w:rsid w:val="002C4749"/>
    <w:rsid w:val="002C4CB7"/>
    <w:rsid w:val="002C5235"/>
    <w:rsid w:val="002C5620"/>
    <w:rsid w:val="002C57BB"/>
    <w:rsid w:val="002C61E0"/>
    <w:rsid w:val="002C6221"/>
    <w:rsid w:val="002C6374"/>
    <w:rsid w:val="002C6BE0"/>
    <w:rsid w:val="002C7B03"/>
    <w:rsid w:val="002D0657"/>
    <w:rsid w:val="002D08DC"/>
    <w:rsid w:val="002D13B7"/>
    <w:rsid w:val="002D1A21"/>
    <w:rsid w:val="002D20FC"/>
    <w:rsid w:val="002D26FA"/>
    <w:rsid w:val="002D2B4E"/>
    <w:rsid w:val="002D34F5"/>
    <w:rsid w:val="002D40D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B4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4D4"/>
    <w:rsid w:val="003268CF"/>
    <w:rsid w:val="00326974"/>
    <w:rsid w:val="003274C8"/>
    <w:rsid w:val="00327A0A"/>
    <w:rsid w:val="0033007D"/>
    <w:rsid w:val="0033027D"/>
    <w:rsid w:val="003308C4"/>
    <w:rsid w:val="00330DE8"/>
    <w:rsid w:val="00331EDC"/>
    <w:rsid w:val="00331FF4"/>
    <w:rsid w:val="003323F3"/>
    <w:rsid w:val="0033306E"/>
    <w:rsid w:val="00333DC8"/>
    <w:rsid w:val="00335250"/>
    <w:rsid w:val="0033592C"/>
    <w:rsid w:val="00335B9C"/>
    <w:rsid w:val="00335C8D"/>
    <w:rsid w:val="00336164"/>
    <w:rsid w:val="0034150F"/>
    <w:rsid w:val="003415D0"/>
    <w:rsid w:val="0034298C"/>
    <w:rsid w:val="0034305B"/>
    <w:rsid w:val="00343E84"/>
    <w:rsid w:val="003444EB"/>
    <w:rsid w:val="00344778"/>
    <w:rsid w:val="003448FF"/>
    <w:rsid w:val="00344E12"/>
    <w:rsid w:val="00344E58"/>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337"/>
    <w:rsid w:val="00355C3F"/>
    <w:rsid w:val="00355DD1"/>
    <w:rsid w:val="00356CEC"/>
    <w:rsid w:val="00357034"/>
    <w:rsid w:val="00357522"/>
    <w:rsid w:val="003576D7"/>
    <w:rsid w:val="00357712"/>
    <w:rsid w:val="00360C31"/>
    <w:rsid w:val="0036185C"/>
    <w:rsid w:val="00361AFA"/>
    <w:rsid w:val="003623E9"/>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021"/>
    <w:rsid w:val="0039178D"/>
    <w:rsid w:val="00392C0A"/>
    <w:rsid w:val="00392D4A"/>
    <w:rsid w:val="00393367"/>
    <w:rsid w:val="003939F6"/>
    <w:rsid w:val="00393AA5"/>
    <w:rsid w:val="00393B78"/>
    <w:rsid w:val="00393B7F"/>
    <w:rsid w:val="003942A4"/>
    <w:rsid w:val="00394E4F"/>
    <w:rsid w:val="003959A9"/>
    <w:rsid w:val="0039665F"/>
    <w:rsid w:val="00396D81"/>
    <w:rsid w:val="0039732D"/>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CA9"/>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776"/>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9"/>
    <w:rsid w:val="0040042A"/>
    <w:rsid w:val="004009C5"/>
    <w:rsid w:val="00400E97"/>
    <w:rsid w:val="004024AB"/>
    <w:rsid w:val="0040303D"/>
    <w:rsid w:val="0040379F"/>
    <w:rsid w:val="00403883"/>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B11"/>
    <w:rsid w:val="00453DEF"/>
    <w:rsid w:val="00453FE0"/>
    <w:rsid w:val="004543BB"/>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94F"/>
    <w:rsid w:val="00461B3E"/>
    <w:rsid w:val="00461E80"/>
    <w:rsid w:val="00462420"/>
    <w:rsid w:val="004627B7"/>
    <w:rsid w:val="00462FE1"/>
    <w:rsid w:val="00463146"/>
    <w:rsid w:val="004641FE"/>
    <w:rsid w:val="0046434B"/>
    <w:rsid w:val="00465573"/>
    <w:rsid w:val="00465FF9"/>
    <w:rsid w:val="0046649C"/>
    <w:rsid w:val="004670B3"/>
    <w:rsid w:val="00467479"/>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CAC"/>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982"/>
    <w:rsid w:val="004B0FC0"/>
    <w:rsid w:val="004B1313"/>
    <w:rsid w:val="004B1C42"/>
    <w:rsid w:val="004B2B31"/>
    <w:rsid w:val="004B2BD5"/>
    <w:rsid w:val="004B3C3F"/>
    <w:rsid w:val="004B3CE9"/>
    <w:rsid w:val="004B4D0A"/>
    <w:rsid w:val="004B566D"/>
    <w:rsid w:val="004B5C0C"/>
    <w:rsid w:val="004B6301"/>
    <w:rsid w:val="004B71E9"/>
    <w:rsid w:val="004C0346"/>
    <w:rsid w:val="004C0405"/>
    <w:rsid w:val="004C0B5B"/>
    <w:rsid w:val="004C0F99"/>
    <w:rsid w:val="004C1220"/>
    <w:rsid w:val="004C130D"/>
    <w:rsid w:val="004C1E76"/>
    <w:rsid w:val="004C1F0C"/>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8DF"/>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8AF"/>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3A4"/>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5DCE"/>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757"/>
    <w:rsid w:val="005B097C"/>
    <w:rsid w:val="005B1CC4"/>
    <w:rsid w:val="005B1D3E"/>
    <w:rsid w:val="005B2EB8"/>
    <w:rsid w:val="005B33A1"/>
    <w:rsid w:val="005B3946"/>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3AD"/>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001"/>
    <w:rsid w:val="005F55AA"/>
    <w:rsid w:val="005F55CC"/>
    <w:rsid w:val="005F55E3"/>
    <w:rsid w:val="005F5B30"/>
    <w:rsid w:val="005F5B83"/>
    <w:rsid w:val="005F60C4"/>
    <w:rsid w:val="005F6365"/>
    <w:rsid w:val="005F660A"/>
    <w:rsid w:val="005F6697"/>
    <w:rsid w:val="005F7382"/>
    <w:rsid w:val="0060031B"/>
    <w:rsid w:val="00600E33"/>
    <w:rsid w:val="006012E3"/>
    <w:rsid w:val="0060194F"/>
    <w:rsid w:val="00601FCD"/>
    <w:rsid w:val="00602949"/>
    <w:rsid w:val="00602CFB"/>
    <w:rsid w:val="00602F2F"/>
    <w:rsid w:val="00602FB5"/>
    <w:rsid w:val="0060342E"/>
    <w:rsid w:val="0060384D"/>
    <w:rsid w:val="006038AE"/>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603"/>
    <w:rsid w:val="006179B1"/>
    <w:rsid w:val="00617D03"/>
    <w:rsid w:val="00617E9E"/>
    <w:rsid w:val="0062027C"/>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BE6"/>
    <w:rsid w:val="00642D10"/>
    <w:rsid w:val="006430B5"/>
    <w:rsid w:val="00643168"/>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6F3"/>
    <w:rsid w:val="0065293D"/>
    <w:rsid w:val="006536FE"/>
    <w:rsid w:val="00653C67"/>
    <w:rsid w:val="00654348"/>
    <w:rsid w:val="006544F6"/>
    <w:rsid w:val="00655070"/>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28D"/>
    <w:rsid w:val="006979CD"/>
    <w:rsid w:val="00697FE2"/>
    <w:rsid w:val="006A05E8"/>
    <w:rsid w:val="006A0B49"/>
    <w:rsid w:val="006A1313"/>
    <w:rsid w:val="006A1C6F"/>
    <w:rsid w:val="006A2347"/>
    <w:rsid w:val="006A24B3"/>
    <w:rsid w:val="006A2A3D"/>
    <w:rsid w:val="006A3AC9"/>
    <w:rsid w:val="006A40F0"/>
    <w:rsid w:val="006A415E"/>
    <w:rsid w:val="006A46C7"/>
    <w:rsid w:val="006A49B5"/>
    <w:rsid w:val="006A5A82"/>
    <w:rsid w:val="006A5BC7"/>
    <w:rsid w:val="006A5C44"/>
    <w:rsid w:val="006A5DE5"/>
    <w:rsid w:val="006A636A"/>
    <w:rsid w:val="006A6B69"/>
    <w:rsid w:val="006A6F85"/>
    <w:rsid w:val="006A78EC"/>
    <w:rsid w:val="006B1229"/>
    <w:rsid w:val="006B183C"/>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2D1"/>
    <w:rsid w:val="006E7496"/>
    <w:rsid w:val="006E7969"/>
    <w:rsid w:val="006F0104"/>
    <w:rsid w:val="006F0B08"/>
    <w:rsid w:val="006F0C12"/>
    <w:rsid w:val="006F0EB1"/>
    <w:rsid w:val="006F0FC3"/>
    <w:rsid w:val="006F1636"/>
    <w:rsid w:val="006F16B4"/>
    <w:rsid w:val="006F16D6"/>
    <w:rsid w:val="006F2A5F"/>
    <w:rsid w:val="006F2CCB"/>
    <w:rsid w:val="006F2E9D"/>
    <w:rsid w:val="006F314D"/>
    <w:rsid w:val="006F4252"/>
    <w:rsid w:val="006F57A2"/>
    <w:rsid w:val="006F59D4"/>
    <w:rsid w:val="006F5CDF"/>
    <w:rsid w:val="006F5FAA"/>
    <w:rsid w:val="006F61B8"/>
    <w:rsid w:val="006F6BE1"/>
    <w:rsid w:val="006F719C"/>
    <w:rsid w:val="006F738F"/>
    <w:rsid w:val="006F7E42"/>
    <w:rsid w:val="0070023A"/>
    <w:rsid w:val="00700EC2"/>
    <w:rsid w:val="00700F47"/>
    <w:rsid w:val="00700F6E"/>
    <w:rsid w:val="00700FB8"/>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566"/>
    <w:rsid w:val="0073171A"/>
    <w:rsid w:val="007324E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C9E"/>
    <w:rsid w:val="00820E25"/>
    <w:rsid w:val="00820FE6"/>
    <w:rsid w:val="00821167"/>
    <w:rsid w:val="0082126F"/>
    <w:rsid w:val="00821737"/>
    <w:rsid w:val="00821B0B"/>
    <w:rsid w:val="00821D40"/>
    <w:rsid w:val="008233F8"/>
    <w:rsid w:val="008237B2"/>
    <w:rsid w:val="00827910"/>
    <w:rsid w:val="00827A8A"/>
    <w:rsid w:val="00830D11"/>
    <w:rsid w:val="008314F0"/>
    <w:rsid w:val="008319D3"/>
    <w:rsid w:val="00832C18"/>
    <w:rsid w:val="0083388D"/>
    <w:rsid w:val="00833A21"/>
    <w:rsid w:val="0083411C"/>
    <w:rsid w:val="008343CB"/>
    <w:rsid w:val="00834512"/>
    <w:rsid w:val="00835544"/>
    <w:rsid w:val="00835967"/>
    <w:rsid w:val="00835B82"/>
    <w:rsid w:val="00836157"/>
    <w:rsid w:val="0083657B"/>
    <w:rsid w:val="00836762"/>
    <w:rsid w:val="00837D50"/>
    <w:rsid w:val="00837D87"/>
    <w:rsid w:val="0084059F"/>
    <w:rsid w:val="0084062D"/>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499"/>
    <w:rsid w:val="0084760D"/>
    <w:rsid w:val="00847991"/>
    <w:rsid w:val="008479F4"/>
    <w:rsid w:val="00847C4E"/>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590"/>
    <w:rsid w:val="00861B0E"/>
    <w:rsid w:val="00861B16"/>
    <w:rsid w:val="00861B41"/>
    <w:rsid w:val="00861DA1"/>
    <w:rsid w:val="00862173"/>
    <w:rsid w:val="008621F7"/>
    <w:rsid w:val="008626B0"/>
    <w:rsid w:val="00864A2A"/>
    <w:rsid w:val="00864E86"/>
    <w:rsid w:val="00865DE1"/>
    <w:rsid w:val="0086711C"/>
    <w:rsid w:val="00870793"/>
    <w:rsid w:val="00870D41"/>
    <w:rsid w:val="00871EED"/>
    <w:rsid w:val="008723C5"/>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3DE"/>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1EE6"/>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3A"/>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3DC"/>
    <w:rsid w:val="008D1980"/>
    <w:rsid w:val="008D1E23"/>
    <w:rsid w:val="008D2461"/>
    <w:rsid w:val="008D2C0B"/>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2EAD"/>
    <w:rsid w:val="008E303D"/>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A18"/>
    <w:rsid w:val="00900BAA"/>
    <w:rsid w:val="00901845"/>
    <w:rsid w:val="00901AAA"/>
    <w:rsid w:val="0090242C"/>
    <w:rsid w:val="00902740"/>
    <w:rsid w:val="00902D62"/>
    <w:rsid w:val="00902EF7"/>
    <w:rsid w:val="00903281"/>
    <w:rsid w:val="009035F5"/>
    <w:rsid w:val="009037A0"/>
    <w:rsid w:val="009045C7"/>
    <w:rsid w:val="009046D9"/>
    <w:rsid w:val="00905641"/>
    <w:rsid w:val="009056A9"/>
    <w:rsid w:val="00905C55"/>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0A"/>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3951"/>
    <w:rsid w:val="00943A08"/>
    <w:rsid w:val="00944202"/>
    <w:rsid w:val="009443FC"/>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6CD"/>
    <w:rsid w:val="009548C3"/>
    <w:rsid w:val="0095506D"/>
    <w:rsid w:val="0095535D"/>
    <w:rsid w:val="009555E2"/>
    <w:rsid w:val="00955A31"/>
    <w:rsid w:val="009567AF"/>
    <w:rsid w:val="0095685B"/>
    <w:rsid w:val="009572CB"/>
    <w:rsid w:val="00957679"/>
    <w:rsid w:val="009576C5"/>
    <w:rsid w:val="00957C19"/>
    <w:rsid w:val="00957D9C"/>
    <w:rsid w:val="009604DE"/>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4519"/>
    <w:rsid w:val="00975236"/>
    <w:rsid w:val="0097579F"/>
    <w:rsid w:val="00975CBD"/>
    <w:rsid w:val="0097672C"/>
    <w:rsid w:val="009769BA"/>
    <w:rsid w:val="00976E39"/>
    <w:rsid w:val="009773CE"/>
    <w:rsid w:val="0097780F"/>
    <w:rsid w:val="009778AB"/>
    <w:rsid w:val="0097796A"/>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974A0"/>
    <w:rsid w:val="00997A5C"/>
    <w:rsid w:val="009A013B"/>
    <w:rsid w:val="009A0212"/>
    <w:rsid w:val="009A031F"/>
    <w:rsid w:val="009A0878"/>
    <w:rsid w:val="009A0E12"/>
    <w:rsid w:val="009A10D5"/>
    <w:rsid w:val="009A119C"/>
    <w:rsid w:val="009A2261"/>
    <w:rsid w:val="009A253A"/>
    <w:rsid w:val="009A2601"/>
    <w:rsid w:val="009A2968"/>
    <w:rsid w:val="009A3DBF"/>
    <w:rsid w:val="009A43FF"/>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74E2"/>
    <w:rsid w:val="009C00EF"/>
    <w:rsid w:val="009C064F"/>
    <w:rsid w:val="009C1566"/>
    <w:rsid w:val="009C245B"/>
    <w:rsid w:val="009C26F1"/>
    <w:rsid w:val="009C281C"/>
    <w:rsid w:val="009C3440"/>
    <w:rsid w:val="009C4E6E"/>
    <w:rsid w:val="009C520B"/>
    <w:rsid w:val="009C5874"/>
    <w:rsid w:val="009C5A49"/>
    <w:rsid w:val="009C6768"/>
    <w:rsid w:val="009C6894"/>
    <w:rsid w:val="009C68C6"/>
    <w:rsid w:val="009C6B3B"/>
    <w:rsid w:val="009C6B7B"/>
    <w:rsid w:val="009C6DA9"/>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6E88"/>
    <w:rsid w:val="009E732A"/>
    <w:rsid w:val="009E73D9"/>
    <w:rsid w:val="009F01C9"/>
    <w:rsid w:val="009F0433"/>
    <w:rsid w:val="009F0BCF"/>
    <w:rsid w:val="009F0CD1"/>
    <w:rsid w:val="009F115A"/>
    <w:rsid w:val="009F15B3"/>
    <w:rsid w:val="009F187B"/>
    <w:rsid w:val="009F21DD"/>
    <w:rsid w:val="009F23DC"/>
    <w:rsid w:val="009F3CC3"/>
    <w:rsid w:val="009F3F25"/>
    <w:rsid w:val="009F42FA"/>
    <w:rsid w:val="009F4375"/>
    <w:rsid w:val="009F4637"/>
    <w:rsid w:val="009F4769"/>
    <w:rsid w:val="009F4F05"/>
    <w:rsid w:val="009F4FB7"/>
    <w:rsid w:val="009F5218"/>
    <w:rsid w:val="009F6420"/>
    <w:rsid w:val="009F68B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F37"/>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BD4"/>
    <w:rsid w:val="00A60ED7"/>
    <w:rsid w:val="00A611CB"/>
    <w:rsid w:val="00A61828"/>
    <w:rsid w:val="00A61E26"/>
    <w:rsid w:val="00A622E2"/>
    <w:rsid w:val="00A62B97"/>
    <w:rsid w:val="00A62F30"/>
    <w:rsid w:val="00A630C0"/>
    <w:rsid w:val="00A63872"/>
    <w:rsid w:val="00A63A37"/>
    <w:rsid w:val="00A648F2"/>
    <w:rsid w:val="00A64AF3"/>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0CD6"/>
    <w:rsid w:val="00A817F3"/>
    <w:rsid w:val="00A81DCD"/>
    <w:rsid w:val="00A8221B"/>
    <w:rsid w:val="00A82D80"/>
    <w:rsid w:val="00A82F10"/>
    <w:rsid w:val="00A83213"/>
    <w:rsid w:val="00A83430"/>
    <w:rsid w:val="00A8389D"/>
    <w:rsid w:val="00A83BF1"/>
    <w:rsid w:val="00A84298"/>
    <w:rsid w:val="00A842D6"/>
    <w:rsid w:val="00A844C6"/>
    <w:rsid w:val="00A8523D"/>
    <w:rsid w:val="00A85300"/>
    <w:rsid w:val="00A853A6"/>
    <w:rsid w:val="00A905F1"/>
    <w:rsid w:val="00A90CE4"/>
    <w:rsid w:val="00A90E27"/>
    <w:rsid w:val="00A90F65"/>
    <w:rsid w:val="00A911C3"/>
    <w:rsid w:val="00A91218"/>
    <w:rsid w:val="00A913B4"/>
    <w:rsid w:val="00A92257"/>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003"/>
    <w:rsid w:val="00AA216B"/>
    <w:rsid w:val="00AA2CD8"/>
    <w:rsid w:val="00AA30A2"/>
    <w:rsid w:val="00AA35D2"/>
    <w:rsid w:val="00AA37AC"/>
    <w:rsid w:val="00AA398E"/>
    <w:rsid w:val="00AA3CB1"/>
    <w:rsid w:val="00AA49B7"/>
    <w:rsid w:val="00AA5A48"/>
    <w:rsid w:val="00AA5F24"/>
    <w:rsid w:val="00AA61DD"/>
    <w:rsid w:val="00AA630A"/>
    <w:rsid w:val="00AA64FA"/>
    <w:rsid w:val="00AA6932"/>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3BA"/>
    <w:rsid w:val="00AB55A8"/>
    <w:rsid w:val="00AB5702"/>
    <w:rsid w:val="00AB583A"/>
    <w:rsid w:val="00AB657E"/>
    <w:rsid w:val="00AB6872"/>
    <w:rsid w:val="00AB7192"/>
    <w:rsid w:val="00AB76D5"/>
    <w:rsid w:val="00AB78AC"/>
    <w:rsid w:val="00AC0F0B"/>
    <w:rsid w:val="00AC1818"/>
    <w:rsid w:val="00AC2520"/>
    <w:rsid w:val="00AC2671"/>
    <w:rsid w:val="00AC27BD"/>
    <w:rsid w:val="00AC2D25"/>
    <w:rsid w:val="00AC2E78"/>
    <w:rsid w:val="00AC33F9"/>
    <w:rsid w:val="00AC3431"/>
    <w:rsid w:val="00AC34AE"/>
    <w:rsid w:val="00AC367D"/>
    <w:rsid w:val="00AC3727"/>
    <w:rsid w:val="00AC4379"/>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B70"/>
    <w:rsid w:val="00AE0F2E"/>
    <w:rsid w:val="00AE1BB1"/>
    <w:rsid w:val="00AE2083"/>
    <w:rsid w:val="00AE2205"/>
    <w:rsid w:val="00AE26E7"/>
    <w:rsid w:val="00AE3128"/>
    <w:rsid w:val="00AE31D7"/>
    <w:rsid w:val="00AE3D1D"/>
    <w:rsid w:val="00AE4080"/>
    <w:rsid w:val="00AE40F7"/>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4776"/>
    <w:rsid w:val="00AF5363"/>
    <w:rsid w:val="00AF5494"/>
    <w:rsid w:val="00AF5CB8"/>
    <w:rsid w:val="00AF5F78"/>
    <w:rsid w:val="00AF6600"/>
    <w:rsid w:val="00AF66F1"/>
    <w:rsid w:val="00AF6C00"/>
    <w:rsid w:val="00AF7C44"/>
    <w:rsid w:val="00B00306"/>
    <w:rsid w:val="00B00A5B"/>
    <w:rsid w:val="00B010D3"/>
    <w:rsid w:val="00B017CA"/>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5C5E"/>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7EC"/>
    <w:rsid w:val="00B21CA7"/>
    <w:rsid w:val="00B21D24"/>
    <w:rsid w:val="00B22137"/>
    <w:rsid w:val="00B22651"/>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15B1"/>
    <w:rsid w:val="00B31F85"/>
    <w:rsid w:val="00B3245C"/>
    <w:rsid w:val="00B32D9A"/>
    <w:rsid w:val="00B33105"/>
    <w:rsid w:val="00B336EB"/>
    <w:rsid w:val="00B3396B"/>
    <w:rsid w:val="00B33C09"/>
    <w:rsid w:val="00B34039"/>
    <w:rsid w:val="00B34464"/>
    <w:rsid w:val="00B34CA0"/>
    <w:rsid w:val="00B35846"/>
    <w:rsid w:val="00B35CD0"/>
    <w:rsid w:val="00B35E23"/>
    <w:rsid w:val="00B36447"/>
    <w:rsid w:val="00B364F3"/>
    <w:rsid w:val="00B36892"/>
    <w:rsid w:val="00B36993"/>
    <w:rsid w:val="00B36B4F"/>
    <w:rsid w:val="00B40294"/>
    <w:rsid w:val="00B40C22"/>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A13"/>
    <w:rsid w:val="00B50D90"/>
    <w:rsid w:val="00B5230B"/>
    <w:rsid w:val="00B52A20"/>
    <w:rsid w:val="00B52D01"/>
    <w:rsid w:val="00B54374"/>
    <w:rsid w:val="00B54CD5"/>
    <w:rsid w:val="00B553CF"/>
    <w:rsid w:val="00B553DB"/>
    <w:rsid w:val="00B558AB"/>
    <w:rsid w:val="00B55957"/>
    <w:rsid w:val="00B560F8"/>
    <w:rsid w:val="00B566E0"/>
    <w:rsid w:val="00B5685D"/>
    <w:rsid w:val="00B57861"/>
    <w:rsid w:val="00B57900"/>
    <w:rsid w:val="00B57E03"/>
    <w:rsid w:val="00B60E6E"/>
    <w:rsid w:val="00B60F93"/>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B45"/>
    <w:rsid w:val="00BA7EB0"/>
    <w:rsid w:val="00BB022B"/>
    <w:rsid w:val="00BB0528"/>
    <w:rsid w:val="00BB07FA"/>
    <w:rsid w:val="00BB0986"/>
    <w:rsid w:val="00BB1D67"/>
    <w:rsid w:val="00BB214E"/>
    <w:rsid w:val="00BB23BD"/>
    <w:rsid w:val="00BB301E"/>
    <w:rsid w:val="00BB3F4C"/>
    <w:rsid w:val="00BB5260"/>
    <w:rsid w:val="00BB5817"/>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3CE9"/>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6DC"/>
    <w:rsid w:val="00BD5A65"/>
    <w:rsid w:val="00BD5D54"/>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51F0"/>
    <w:rsid w:val="00BF60E3"/>
    <w:rsid w:val="00BF67D2"/>
    <w:rsid w:val="00BF6ECD"/>
    <w:rsid w:val="00BF70A1"/>
    <w:rsid w:val="00BF72DF"/>
    <w:rsid w:val="00BF752F"/>
    <w:rsid w:val="00BF7D43"/>
    <w:rsid w:val="00C00B95"/>
    <w:rsid w:val="00C00D06"/>
    <w:rsid w:val="00C00D60"/>
    <w:rsid w:val="00C00E26"/>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0AE"/>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7CC"/>
    <w:rsid w:val="00C479D8"/>
    <w:rsid w:val="00C47AE8"/>
    <w:rsid w:val="00C50066"/>
    <w:rsid w:val="00C5017F"/>
    <w:rsid w:val="00C5027B"/>
    <w:rsid w:val="00C51B51"/>
    <w:rsid w:val="00C51F1A"/>
    <w:rsid w:val="00C5218E"/>
    <w:rsid w:val="00C522F8"/>
    <w:rsid w:val="00C5256D"/>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CA7"/>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7719A"/>
    <w:rsid w:val="00C8009E"/>
    <w:rsid w:val="00C811D4"/>
    <w:rsid w:val="00C8128C"/>
    <w:rsid w:val="00C8198E"/>
    <w:rsid w:val="00C81A28"/>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2C5"/>
    <w:rsid w:val="00C93297"/>
    <w:rsid w:val="00C93600"/>
    <w:rsid w:val="00C93DE2"/>
    <w:rsid w:val="00C94BD7"/>
    <w:rsid w:val="00C95730"/>
    <w:rsid w:val="00C95962"/>
    <w:rsid w:val="00C95B1E"/>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43BF"/>
    <w:rsid w:val="00CA5DA1"/>
    <w:rsid w:val="00CA60CC"/>
    <w:rsid w:val="00CA68EC"/>
    <w:rsid w:val="00CA7692"/>
    <w:rsid w:val="00CA7769"/>
    <w:rsid w:val="00CB047F"/>
    <w:rsid w:val="00CB10AB"/>
    <w:rsid w:val="00CB11BD"/>
    <w:rsid w:val="00CB123B"/>
    <w:rsid w:val="00CB1EB9"/>
    <w:rsid w:val="00CB2BBD"/>
    <w:rsid w:val="00CB3010"/>
    <w:rsid w:val="00CB3BBE"/>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935"/>
    <w:rsid w:val="00CC3F83"/>
    <w:rsid w:val="00CC4072"/>
    <w:rsid w:val="00CC5048"/>
    <w:rsid w:val="00CC54DF"/>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639"/>
    <w:rsid w:val="00CF2C82"/>
    <w:rsid w:val="00CF2ED9"/>
    <w:rsid w:val="00CF35E4"/>
    <w:rsid w:val="00CF399F"/>
    <w:rsid w:val="00CF3F01"/>
    <w:rsid w:val="00CF4219"/>
    <w:rsid w:val="00CF4D18"/>
    <w:rsid w:val="00CF557C"/>
    <w:rsid w:val="00CF6AF3"/>
    <w:rsid w:val="00CF75C7"/>
    <w:rsid w:val="00D014A9"/>
    <w:rsid w:val="00D017EE"/>
    <w:rsid w:val="00D02369"/>
    <w:rsid w:val="00D02621"/>
    <w:rsid w:val="00D02AC8"/>
    <w:rsid w:val="00D02C36"/>
    <w:rsid w:val="00D03684"/>
    <w:rsid w:val="00D038A2"/>
    <w:rsid w:val="00D038F6"/>
    <w:rsid w:val="00D03FC3"/>
    <w:rsid w:val="00D04718"/>
    <w:rsid w:val="00D049E7"/>
    <w:rsid w:val="00D04FC8"/>
    <w:rsid w:val="00D05BC3"/>
    <w:rsid w:val="00D05FD4"/>
    <w:rsid w:val="00D06088"/>
    <w:rsid w:val="00D065A5"/>
    <w:rsid w:val="00D066CD"/>
    <w:rsid w:val="00D0675C"/>
    <w:rsid w:val="00D06800"/>
    <w:rsid w:val="00D06B75"/>
    <w:rsid w:val="00D06BB8"/>
    <w:rsid w:val="00D06EF9"/>
    <w:rsid w:val="00D0798F"/>
    <w:rsid w:val="00D07A46"/>
    <w:rsid w:val="00D07ADD"/>
    <w:rsid w:val="00D10199"/>
    <w:rsid w:val="00D10E49"/>
    <w:rsid w:val="00D10FB7"/>
    <w:rsid w:val="00D11683"/>
    <w:rsid w:val="00D11873"/>
    <w:rsid w:val="00D12BDB"/>
    <w:rsid w:val="00D12BF8"/>
    <w:rsid w:val="00D13880"/>
    <w:rsid w:val="00D14204"/>
    <w:rsid w:val="00D145AE"/>
    <w:rsid w:val="00D14A3B"/>
    <w:rsid w:val="00D14F37"/>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2FD"/>
    <w:rsid w:val="00D27327"/>
    <w:rsid w:val="00D27695"/>
    <w:rsid w:val="00D27944"/>
    <w:rsid w:val="00D30320"/>
    <w:rsid w:val="00D30756"/>
    <w:rsid w:val="00D31502"/>
    <w:rsid w:val="00D31F1E"/>
    <w:rsid w:val="00D32B70"/>
    <w:rsid w:val="00D330E1"/>
    <w:rsid w:val="00D33313"/>
    <w:rsid w:val="00D33410"/>
    <w:rsid w:val="00D33783"/>
    <w:rsid w:val="00D33EF4"/>
    <w:rsid w:val="00D344C9"/>
    <w:rsid w:val="00D34666"/>
    <w:rsid w:val="00D34F9F"/>
    <w:rsid w:val="00D3610A"/>
    <w:rsid w:val="00D364A5"/>
    <w:rsid w:val="00D36706"/>
    <w:rsid w:val="00D367E7"/>
    <w:rsid w:val="00D37B89"/>
    <w:rsid w:val="00D40485"/>
    <w:rsid w:val="00D40494"/>
    <w:rsid w:val="00D41054"/>
    <w:rsid w:val="00D41274"/>
    <w:rsid w:val="00D41284"/>
    <w:rsid w:val="00D41E9F"/>
    <w:rsid w:val="00D422E4"/>
    <w:rsid w:val="00D423C9"/>
    <w:rsid w:val="00D4277B"/>
    <w:rsid w:val="00D429B7"/>
    <w:rsid w:val="00D4357E"/>
    <w:rsid w:val="00D44862"/>
    <w:rsid w:val="00D44A5C"/>
    <w:rsid w:val="00D44B18"/>
    <w:rsid w:val="00D459DE"/>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4BE3"/>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F90"/>
    <w:rsid w:val="00D74635"/>
    <w:rsid w:val="00D74977"/>
    <w:rsid w:val="00D75843"/>
    <w:rsid w:val="00D75999"/>
    <w:rsid w:val="00D76E83"/>
    <w:rsid w:val="00D8036A"/>
    <w:rsid w:val="00D81307"/>
    <w:rsid w:val="00D8192C"/>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0"/>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45B9"/>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638"/>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4568"/>
    <w:rsid w:val="00DD5312"/>
    <w:rsid w:val="00DD6396"/>
    <w:rsid w:val="00DD6C70"/>
    <w:rsid w:val="00DD6E8E"/>
    <w:rsid w:val="00DD70C8"/>
    <w:rsid w:val="00DD7F36"/>
    <w:rsid w:val="00DE0C03"/>
    <w:rsid w:val="00DE21CF"/>
    <w:rsid w:val="00DE265D"/>
    <w:rsid w:val="00DE273A"/>
    <w:rsid w:val="00DE285A"/>
    <w:rsid w:val="00DE334A"/>
    <w:rsid w:val="00DE3E7C"/>
    <w:rsid w:val="00DE4664"/>
    <w:rsid w:val="00DE5102"/>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DF6C6F"/>
    <w:rsid w:val="00E00C18"/>
    <w:rsid w:val="00E012D8"/>
    <w:rsid w:val="00E0160D"/>
    <w:rsid w:val="00E0175D"/>
    <w:rsid w:val="00E01843"/>
    <w:rsid w:val="00E028E6"/>
    <w:rsid w:val="00E0293F"/>
    <w:rsid w:val="00E029BD"/>
    <w:rsid w:val="00E02DBD"/>
    <w:rsid w:val="00E035DE"/>
    <w:rsid w:val="00E03941"/>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304"/>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7F6"/>
    <w:rsid w:val="00E33802"/>
    <w:rsid w:val="00E33814"/>
    <w:rsid w:val="00E33D97"/>
    <w:rsid w:val="00E3582D"/>
    <w:rsid w:val="00E35834"/>
    <w:rsid w:val="00E35AC6"/>
    <w:rsid w:val="00E35F47"/>
    <w:rsid w:val="00E36306"/>
    <w:rsid w:val="00E36C4E"/>
    <w:rsid w:val="00E377BF"/>
    <w:rsid w:val="00E379BC"/>
    <w:rsid w:val="00E37C82"/>
    <w:rsid w:val="00E40288"/>
    <w:rsid w:val="00E4080B"/>
    <w:rsid w:val="00E40D87"/>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231"/>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420"/>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D85"/>
    <w:rsid w:val="00E85FB9"/>
    <w:rsid w:val="00E86072"/>
    <w:rsid w:val="00E86752"/>
    <w:rsid w:val="00E86D0D"/>
    <w:rsid w:val="00E86F8D"/>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C7756"/>
    <w:rsid w:val="00ED0DE8"/>
    <w:rsid w:val="00ED0FAF"/>
    <w:rsid w:val="00ED0FB6"/>
    <w:rsid w:val="00ED16EF"/>
    <w:rsid w:val="00ED19F8"/>
    <w:rsid w:val="00ED1FB7"/>
    <w:rsid w:val="00ED3068"/>
    <w:rsid w:val="00ED3534"/>
    <w:rsid w:val="00ED3B7D"/>
    <w:rsid w:val="00ED6435"/>
    <w:rsid w:val="00ED675D"/>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883"/>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A4"/>
    <w:rsid w:val="00F046B1"/>
    <w:rsid w:val="00F04932"/>
    <w:rsid w:val="00F04CF6"/>
    <w:rsid w:val="00F04ED5"/>
    <w:rsid w:val="00F05BA0"/>
    <w:rsid w:val="00F05EED"/>
    <w:rsid w:val="00F062B0"/>
    <w:rsid w:val="00F06F02"/>
    <w:rsid w:val="00F077C0"/>
    <w:rsid w:val="00F0783A"/>
    <w:rsid w:val="00F07C4E"/>
    <w:rsid w:val="00F11C49"/>
    <w:rsid w:val="00F12184"/>
    <w:rsid w:val="00F1352E"/>
    <w:rsid w:val="00F1416B"/>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0EE2"/>
    <w:rsid w:val="00F31234"/>
    <w:rsid w:val="00F317D4"/>
    <w:rsid w:val="00F3250F"/>
    <w:rsid w:val="00F328BD"/>
    <w:rsid w:val="00F33374"/>
    <w:rsid w:val="00F33655"/>
    <w:rsid w:val="00F3383E"/>
    <w:rsid w:val="00F338BC"/>
    <w:rsid w:val="00F346BC"/>
    <w:rsid w:val="00F3471B"/>
    <w:rsid w:val="00F3498B"/>
    <w:rsid w:val="00F3521B"/>
    <w:rsid w:val="00F35561"/>
    <w:rsid w:val="00F35865"/>
    <w:rsid w:val="00F36DC1"/>
    <w:rsid w:val="00F37702"/>
    <w:rsid w:val="00F37922"/>
    <w:rsid w:val="00F37F61"/>
    <w:rsid w:val="00F40036"/>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0D0"/>
    <w:rsid w:val="00F60802"/>
    <w:rsid w:val="00F611F0"/>
    <w:rsid w:val="00F61564"/>
    <w:rsid w:val="00F61614"/>
    <w:rsid w:val="00F6190D"/>
    <w:rsid w:val="00F61D1B"/>
    <w:rsid w:val="00F61FDE"/>
    <w:rsid w:val="00F62BB8"/>
    <w:rsid w:val="00F63DE6"/>
    <w:rsid w:val="00F64966"/>
    <w:rsid w:val="00F65A43"/>
    <w:rsid w:val="00F661A3"/>
    <w:rsid w:val="00F6652C"/>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3FA0"/>
    <w:rsid w:val="00F74491"/>
    <w:rsid w:val="00F74A7A"/>
    <w:rsid w:val="00F75AE8"/>
    <w:rsid w:val="00F75B83"/>
    <w:rsid w:val="00F7625A"/>
    <w:rsid w:val="00F76408"/>
    <w:rsid w:val="00F77029"/>
    <w:rsid w:val="00F77CFA"/>
    <w:rsid w:val="00F80D8F"/>
    <w:rsid w:val="00F80E30"/>
    <w:rsid w:val="00F819DD"/>
    <w:rsid w:val="00F81E4A"/>
    <w:rsid w:val="00F81F25"/>
    <w:rsid w:val="00F82A4B"/>
    <w:rsid w:val="00F82D1C"/>
    <w:rsid w:val="00F837DD"/>
    <w:rsid w:val="00F83912"/>
    <w:rsid w:val="00F83C07"/>
    <w:rsid w:val="00F83CC5"/>
    <w:rsid w:val="00F84059"/>
    <w:rsid w:val="00F843E3"/>
    <w:rsid w:val="00F849D0"/>
    <w:rsid w:val="00F849D7"/>
    <w:rsid w:val="00F84A2F"/>
    <w:rsid w:val="00F84A9B"/>
    <w:rsid w:val="00F84B23"/>
    <w:rsid w:val="00F850EB"/>
    <w:rsid w:val="00F85744"/>
    <w:rsid w:val="00F85A95"/>
    <w:rsid w:val="00F86114"/>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A50"/>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C680D"/>
    <w:rsid w:val="00FD0386"/>
    <w:rsid w:val="00FD04EB"/>
    <w:rsid w:val="00FD10D2"/>
    <w:rsid w:val="00FD20D2"/>
    <w:rsid w:val="00FD22B6"/>
    <w:rsid w:val="00FD2403"/>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8F3"/>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98A"/>
    <w:rsid w:val="00FF4FC8"/>
    <w:rsid w:val="00FF51D0"/>
    <w:rsid w:val="00FF52CC"/>
    <w:rsid w:val="00FF5593"/>
    <w:rsid w:val="00FF5929"/>
    <w:rsid w:val="00FF6227"/>
    <w:rsid w:val="00FF62EF"/>
    <w:rsid w:val="00FF68C4"/>
    <w:rsid w:val="00FF6967"/>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4DF"/>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CC54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54DF"/>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7"/>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EastAsia" w:hAnsiTheme="minorHAnsi" w:cstheme="minorBidi"/>
      <w:b/>
      <w:sz w:val="22"/>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10"/>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87996-E1AB-4094-9C73-F35B664B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5114</Words>
  <Characters>29151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2021-11-06T03:38:00Z</dcterms:created>
  <dcterms:modified xsi:type="dcterms:W3CDTF">2021-11-06T03:50:00Z</dcterms:modified>
</cp:coreProperties>
</file>