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5A6FD60F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53295E">
        <w:rPr>
          <w:rFonts w:ascii="Arial" w:hAnsi="Arial" w:cs="Arial"/>
          <w:bCs/>
          <w:sz w:val="28"/>
          <w:szCs w:val="28"/>
        </w:rPr>
        <w:t>7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410D2D" w:rsidRPr="00410D2D">
        <w:t xml:space="preserve"> </w:t>
      </w:r>
      <w:r w:rsidR="00931E5D" w:rsidRPr="00931E5D">
        <w:rPr>
          <w:rFonts w:ascii="Arial" w:hAnsi="Arial" w:cs="Arial"/>
          <w:bCs/>
          <w:sz w:val="28"/>
          <w:szCs w:val="28"/>
        </w:rPr>
        <w:t>211</w:t>
      </w:r>
      <w:r w:rsidR="003D18C6">
        <w:rPr>
          <w:rFonts w:ascii="Arial" w:hAnsi="Arial" w:cs="Arial"/>
          <w:bCs/>
          <w:sz w:val="28"/>
          <w:szCs w:val="28"/>
        </w:rPr>
        <w:t>1893</w:t>
      </w:r>
    </w:p>
    <w:p w14:paraId="3ED772E9" w14:textId="4BD6439E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3295E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8150E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88150E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435B41A7" w:rsidR="00E90E49" w:rsidRPr="009E7B8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Agenda Item:</w:t>
      </w:r>
      <w:r w:rsidRPr="009E7B88">
        <w:rPr>
          <w:rFonts w:ascii="Arial" w:hAnsi="Arial" w:cs="Arial"/>
          <w:sz w:val="22"/>
          <w:szCs w:val="22"/>
        </w:rPr>
        <w:tab/>
      </w:r>
      <w:r w:rsidR="002E78A1" w:rsidRPr="009E7B88">
        <w:rPr>
          <w:rFonts w:ascii="Arial" w:hAnsi="Arial" w:cs="Arial"/>
          <w:sz w:val="22"/>
          <w:szCs w:val="22"/>
        </w:rPr>
        <w:t>8.</w:t>
      </w:r>
      <w:r w:rsidR="005320E9" w:rsidRPr="009E7B88">
        <w:rPr>
          <w:rFonts w:ascii="Arial" w:hAnsi="Arial" w:cs="Arial"/>
          <w:sz w:val="22"/>
          <w:szCs w:val="22"/>
        </w:rPr>
        <w:t>10</w:t>
      </w:r>
      <w:r w:rsidR="002E78A1" w:rsidRPr="009E7B88">
        <w:rPr>
          <w:rFonts w:ascii="Arial" w:hAnsi="Arial" w:cs="Arial"/>
          <w:sz w:val="22"/>
          <w:szCs w:val="22"/>
        </w:rPr>
        <w:t>.</w:t>
      </w:r>
      <w:r w:rsidR="000A2BA4" w:rsidRPr="009E7B88">
        <w:rPr>
          <w:rFonts w:ascii="Arial" w:hAnsi="Arial" w:cs="Arial"/>
          <w:sz w:val="22"/>
          <w:szCs w:val="22"/>
        </w:rPr>
        <w:t>2</w:t>
      </w:r>
    </w:p>
    <w:p w14:paraId="3D5AB017" w14:textId="77777777" w:rsidR="00E90E49" w:rsidRPr="009E7B8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Source:</w:t>
      </w:r>
      <w:r w:rsidR="00E90E49" w:rsidRPr="009E7B88">
        <w:rPr>
          <w:rFonts w:ascii="Arial" w:hAnsi="Arial" w:cs="Arial"/>
          <w:sz w:val="22"/>
          <w:szCs w:val="22"/>
        </w:rPr>
        <w:tab/>
      </w:r>
      <w:r w:rsidR="00F12DE8" w:rsidRPr="009E7B88">
        <w:rPr>
          <w:rFonts w:ascii="Arial" w:hAnsi="Arial" w:cs="Arial"/>
          <w:sz w:val="22"/>
          <w:szCs w:val="22"/>
        </w:rPr>
        <w:t>Apple</w:t>
      </w:r>
      <w:r w:rsidR="009A524B" w:rsidRPr="009E7B88">
        <w:rPr>
          <w:rFonts w:ascii="Arial" w:hAnsi="Arial" w:cs="Arial"/>
          <w:sz w:val="22"/>
          <w:szCs w:val="22"/>
        </w:rPr>
        <w:t xml:space="preserve"> </w:t>
      </w:r>
      <w:r w:rsidR="00A20E07" w:rsidRPr="009E7B88">
        <w:rPr>
          <w:rFonts w:ascii="Arial" w:hAnsi="Arial" w:cs="Arial"/>
          <w:sz w:val="22"/>
          <w:szCs w:val="22"/>
        </w:rPr>
        <w:t>Inc.</w:t>
      </w:r>
    </w:p>
    <w:p w14:paraId="5B22300E" w14:textId="69A4C8E3" w:rsidR="00E90E49" w:rsidRPr="009E7B8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Title:</w:t>
      </w:r>
      <w:r w:rsidR="00193533" w:rsidRPr="009E7B88">
        <w:rPr>
          <w:rFonts w:ascii="Arial" w:hAnsi="Arial" w:cs="Arial"/>
          <w:sz w:val="22"/>
          <w:szCs w:val="22"/>
        </w:rPr>
        <w:tab/>
      </w:r>
      <w:r w:rsidR="000A2BA4" w:rsidRPr="009E7B88">
        <w:rPr>
          <w:rFonts w:ascii="Arial" w:hAnsi="Arial" w:cs="Arial"/>
          <w:sz w:val="22"/>
          <w:szCs w:val="22"/>
        </w:rPr>
        <w:t>Other enhancements for simultaneous operation of an IAB node's links</w:t>
      </w:r>
    </w:p>
    <w:p w14:paraId="499A70C9" w14:textId="77777777" w:rsidR="00E90E49" w:rsidRPr="009E7B8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Document for:</w:t>
      </w:r>
      <w:r w:rsidRPr="009E7B8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9E7B88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9E7B88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7975EF7F" w:rsidR="005B1FBD" w:rsidRDefault="00F838FC" w:rsidP="000D07AC">
      <w:pPr>
        <w:jc w:val="both"/>
        <w:rPr>
          <w:sz w:val="20"/>
          <w:szCs w:val="20"/>
          <w:lang w:val="en-GB"/>
        </w:rPr>
      </w:pPr>
      <w:r w:rsidRPr="00F838FC">
        <w:rPr>
          <w:sz w:val="20"/>
          <w:szCs w:val="20"/>
        </w:rPr>
        <w:t xml:space="preserve">In </w:t>
      </w:r>
      <w:r w:rsidR="005E2098">
        <w:rPr>
          <w:sz w:val="20"/>
          <w:szCs w:val="20"/>
        </w:rPr>
        <w:t>our companion paper [2]</w:t>
      </w:r>
      <w:r w:rsidRPr="00F838FC">
        <w:rPr>
          <w:sz w:val="20"/>
          <w:szCs w:val="20"/>
        </w:rPr>
        <w:t xml:space="preserve">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  <w:r w:rsidR="005E2098">
        <w:rPr>
          <w:sz w:val="20"/>
          <w:szCs w:val="20"/>
          <w:lang w:val="en-GB"/>
        </w:rPr>
        <w:t xml:space="preserve"> In this contribution, we </w:t>
      </w:r>
      <w:r w:rsidR="000F3056">
        <w:rPr>
          <w:sz w:val="20"/>
          <w:szCs w:val="20"/>
          <w:lang w:val="en-GB"/>
        </w:rPr>
        <w:t xml:space="preserve">specifically </w:t>
      </w:r>
      <w:r w:rsidR="005E2098">
        <w:rPr>
          <w:sz w:val="20"/>
          <w:szCs w:val="20"/>
          <w:lang w:val="en-GB"/>
        </w:rPr>
        <w:t>discuss</w:t>
      </w:r>
      <w:r w:rsidR="00BE6720">
        <w:rPr>
          <w:sz w:val="20"/>
          <w:szCs w:val="20"/>
          <w:lang w:val="en-GB"/>
        </w:rPr>
        <w:t xml:space="preserve"> enhancements on power control to facilitate simultaneous operation between parent and child links within an IAB node. </w:t>
      </w:r>
    </w:p>
    <w:p w14:paraId="3C71D592" w14:textId="77777777" w:rsidR="00C74C0B" w:rsidRDefault="00C74C0B" w:rsidP="000D07AC">
      <w:pPr>
        <w:jc w:val="both"/>
        <w:rPr>
          <w:sz w:val="20"/>
          <w:szCs w:val="20"/>
        </w:rPr>
      </w:pPr>
    </w:p>
    <w:p w14:paraId="38757835" w14:textId="157F2D62" w:rsidR="00987D62" w:rsidRPr="00987D62" w:rsidRDefault="00987D62" w:rsidP="00FF6C3F">
      <w:pPr>
        <w:jc w:val="both"/>
        <w:rPr>
          <w:sz w:val="20"/>
          <w:szCs w:val="20"/>
        </w:rPr>
      </w:pPr>
    </w:p>
    <w:p w14:paraId="64D90C78" w14:textId="77777777" w:rsidR="00601057" w:rsidRDefault="00601057" w:rsidP="00B760E2">
      <w:pPr>
        <w:pStyle w:val="Heading1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Discussion on Power Control</w:t>
      </w:r>
    </w:p>
    <w:p w14:paraId="06ECB268" w14:textId="716332A9" w:rsidR="00B760E2" w:rsidRPr="00B760E2" w:rsidRDefault="00601057" w:rsidP="00B760E2">
      <w:pPr>
        <w:pStyle w:val="Heading2"/>
      </w:pPr>
      <w:r>
        <w:t>Desired UL PSD indication</w:t>
      </w:r>
    </w:p>
    <w:p w14:paraId="250F0C94" w14:textId="1BFF0359" w:rsidR="00740B09" w:rsidRPr="00740B09" w:rsidRDefault="00601057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>On desired UL PSD indication by IAB-MT, it was further discussed in RAN1#106b-e from different remaining aspects like the association of the indication with multiplexing mode and/or resources, the range of desired UL PSD, required signaling to carry the indication, etc.</w:t>
      </w:r>
      <w:r w:rsidR="00436618">
        <w:rPr>
          <w:sz w:val="20"/>
          <w:szCs w:val="20"/>
        </w:rPr>
        <w:t xml:space="preserve"> </w:t>
      </w:r>
      <w:r>
        <w:rPr>
          <w:sz w:val="20"/>
          <w:szCs w:val="20"/>
        </w:rPr>
        <w:t>The following agreement is made in RAN1#106b-e [3]</w:t>
      </w:r>
    </w:p>
    <w:p w14:paraId="19F2FD09" w14:textId="77777777" w:rsidR="007A42D7" w:rsidRDefault="007A42D7" w:rsidP="004658F3">
      <w:pPr>
        <w:jc w:val="both"/>
        <w:rPr>
          <w:sz w:val="20"/>
          <w:szCs w:val="20"/>
        </w:rPr>
      </w:pPr>
    </w:p>
    <w:p w14:paraId="2AACEAA9" w14:textId="77777777" w:rsidR="00601057" w:rsidRPr="00601057" w:rsidRDefault="00601057" w:rsidP="00601057">
      <w:pPr>
        <w:jc w:val="both"/>
        <w:rPr>
          <w:b/>
          <w:bCs/>
          <w:sz w:val="20"/>
          <w:szCs w:val="20"/>
        </w:rPr>
      </w:pPr>
      <w:r w:rsidRPr="00601057">
        <w:rPr>
          <w:b/>
          <w:bCs/>
          <w:sz w:val="20"/>
          <w:szCs w:val="20"/>
          <w:highlight w:val="green"/>
        </w:rPr>
        <w:t>Agreement</w:t>
      </w:r>
    </w:p>
    <w:p w14:paraId="46B3305B" w14:textId="77777777" w:rsidR="00601057" w:rsidRPr="00601057" w:rsidRDefault="00601057" w:rsidP="00601057">
      <w:pPr>
        <w:jc w:val="both"/>
        <w:rPr>
          <w:b/>
          <w:sz w:val="20"/>
          <w:szCs w:val="20"/>
        </w:rPr>
      </w:pPr>
      <w:r w:rsidRPr="00601057">
        <w:rPr>
          <w:bCs/>
          <w:sz w:val="20"/>
          <w:szCs w:val="20"/>
        </w:rPr>
        <w:t>The desired IAB-MT’s UL PSD range, provided by the IAB-MT to its parent-node, is indicated to be associated with some combination (one or multiple) of the following IAB-node’s configurations:</w:t>
      </w:r>
    </w:p>
    <w:p w14:paraId="63530087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 xml:space="preserve">Multiplexing mode, </w:t>
      </w:r>
    </w:p>
    <w:p w14:paraId="02482359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 xml:space="preserve">MT’s UL beam (e.g., SRI id), </w:t>
      </w:r>
    </w:p>
    <w:p w14:paraId="2480BAD1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(MT CC, DU cell) pair,</w:t>
      </w:r>
    </w:p>
    <w:p w14:paraId="798BA137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DU resource configuration</w:t>
      </w:r>
    </w:p>
    <w:p w14:paraId="7CB4C226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FFS: slot index</w:t>
      </w:r>
    </w:p>
    <w:p w14:paraId="3D891FB8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FFS: timing mode (e.g., Case-6 timing)</w:t>
      </w:r>
    </w:p>
    <w:p w14:paraId="5092AFAF" w14:textId="77777777" w:rsidR="00601057" w:rsidRPr="00601057" w:rsidRDefault="00601057" w:rsidP="00601057">
      <w:pPr>
        <w:jc w:val="both"/>
        <w:rPr>
          <w:sz w:val="20"/>
          <w:szCs w:val="20"/>
        </w:rPr>
      </w:pPr>
      <w:r w:rsidRPr="00601057">
        <w:rPr>
          <w:sz w:val="20"/>
          <w:szCs w:val="20"/>
        </w:rPr>
        <w:t> </w:t>
      </w:r>
    </w:p>
    <w:p w14:paraId="266A9E3F" w14:textId="77777777" w:rsidR="00601057" w:rsidRPr="00601057" w:rsidRDefault="00601057" w:rsidP="00601057">
      <w:pPr>
        <w:jc w:val="both"/>
        <w:rPr>
          <w:b/>
          <w:bCs/>
          <w:sz w:val="20"/>
          <w:szCs w:val="20"/>
        </w:rPr>
      </w:pPr>
      <w:r w:rsidRPr="00601057">
        <w:rPr>
          <w:b/>
          <w:bCs/>
          <w:sz w:val="20"/>
          <w:szCs w:val="20"/>
          <w:highlight w:val="green"/>
        </w:rPr>
        <w:t>Agreement</w:t>
      </w:r>
    </w:p>
    <w:p w14:paraId="6345B046" w14:textId="77777777" w:rsidR="00601057" w:rsidRPr="00601057" w:rsidRDefault="00601057" w:rsidP="00601057">
      <w:p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The desired IAB-MT’s UL PSD range, provided by an IAB-MT to its parent-node, is indicated via a new MAC-CE.</w:t>
      </w:r>
    </w:p>
    <w:p w14:paraId="03886206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>The indication further includes the associated configurations for which the indicated PSD range is applicable.</w:t>
      </w:r>
    </w:p>
    <w:p w14:paraId="22252592" w14:textId="77777777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t xml:space="preserve">FFS: the range of values for the indicated PSD range and whether RAN4 input is needed. </w:t>
      </w:r>
    </w:p>
    <w:p w14:paraId="061F1E05" w14:textId="3BC00AD3" w:rsidR="00601057" w:rsidRPr="00601057" w:rsidRDefault="00601057" w:rsidP="00601057">
      <w:pPr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601057">
        <w:rPr>
          <w:bCs/>
          <w:sz w:val="20"/>
          <w:szCs w:val="20"/>
        </w:rPr>
        <w:lastRenderedPageBreak/>
        <w:t xml:space="preserve">FFS: IAB-MT’s </w:t>
      </w:r>
      <w:proofErr w:type="spellStart"/>
      <w:r w:rsidRPr="00601057">
        <w:rPr>
          <w:bCs/>
          <w:sz w:val="20"/>
          <w:szCs w:val="20"/>
        </w:rPr>
        <w:t>behaviour</w:t>
      </w:r>
      <w:proofErr w:type="spellEnd"/>
      <w:r w:rsidRPr="00601057">
        <w:rPr>
          <w:bCs/>
          <w:sz w:val="20"/>
          <w:szCs w:val="20"/>
        </w:rPr>
        <w:t xml:space="preserve"> in case the configured/indicated UL TX power is outside the indicated desired PSD range and whether RAN4 input is needed.</w:t>
      </w:r>
    </w:p>
    <w:p w14:paraId="5FA4C239" w14:textId="77777777" w:rsidR="008A1831" w:rsidRDefault="008A1831" w:rsidP="00601057">
      <w:pPr>
        <w:jc w:val="both"/>
        <w:rPr>
          <w:bCs/>
          <w:sz w:val="20"/>
          <w:szCs w:val="20"/>
        </w:rPr>
      </w:pPr>
    </w:p>
    <w:p w14:paraId="516C1A6A" w14:textId="064FD358" w:rsidR="00601057" w:rsidRPr="00601057" w:rsidRDefault="00601057" w:rsidP="00601057">
      <w:pPr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One remaining aspect is about </w:t>
      </w:r>
      <w:r w:rsidRPr="00601057">
        <w:rPr>
          <w:bCs/>
          <w:sz w:val="20"/>
          <w:szCs w:val="20"/>
        </w:rPr>
        <w:t>IAB-MT’s behavior in case the indicated UL TX power is outside the desired PSD range</w:t>
      </w:r>
      <w:r w:rsidR="00A42BCF">
        <w:rPr>
          <w:bCs/>
          <w:sz w:val="20"/>
          <w:szCs w:val="20"/>
        </w:rPr>
        <w:t>, indicated by IAB-MT</w:t>
      </w:r>
      <w:r w:rsidRPr="00601057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In our view, different alternatives are envisioned for IAB-MT’s behavior which are listed in our following proposal:</w:t>
      </w:r>
    </w:p>
    <w:p w14:paraId="5ABAC2FE" w14:textId="430C814A" w:rsidR="00601057" w:rsidRDefault="00601057" w:rsidP="00C4170C">
      <w:pPr>
        <w:jc w:val="both"/>
        <w:rPr>
          <w:sz w:val="20"/>
          <w:szCs w:val="20"/>
        </w:rPr>
      </w:pPr>
    </w:p>
    <w:p w14:paraId="5D4F936B" w14:textId="22975F7C" w:rsidR="00601057" w:rsidRPr="00601057" w:rsidRDefault="00601057" w:rsidP="0060105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6D2327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601057">
        <w:rPr>
          <w:sz w:val="20"/>
          <w:szCs w:val="20"/>
        </w:rPr>
        <w:t>IAB-MT reduces transmit power to meet the UL PSD limit</w:t>
      </w:r>
    </w:p>
    <w:p w14:paraId="68CF0B32" w14:textId="059B682C" w:rsidR="00601057" w:rsidRDefault="00601057" w:rsidP="00601057">
      <w:pPr>
        <w:pStyle w:val="ListParagraph"/>
        <w:numPr>
          <w:ilvl w:val="0"/>
          <w:numId w:val="43"/>
        </w:numPr>
        <w:jc w:val="both"/>
        <w:rPr>
          <w:sz w:val="20"/>
          <w:szCs w:val="20"/>
        </w:rPr>
      </w:pPr>
      <w:r w:rsidRPr="00601057">
        <w:rPr>
          <w:sz w:val="20"/>
          <w:szCs w:val="20"/>
        </w:rPr>
        <w:t>Alternatively, a TPC that results an UL PSD more than the threshold, implicitly indicates that simultaneous operation at the IAB-node is no longer allowed by IAB-parent</w:t>
      </w:r>
    </w:p>
    <w:p w14:paraId="35F80D51" w14:textId="3885421B" w:rsidR="00601057" w:rsidRDefault="00601057" w:rsidP="00601057">
      <w:pPr>
        <w:jc w:val="both"/>
        <w:rPr>
          <w:sz w:val="20"/>
          <w:szCs w:val="20"/>
        </w:rPr>
      </w:pPr>
    </w:p>
    <w:p w14:paraId="272F41F2" w14:textId="328ACF9F" w:rsidR="00565F5D" w:rsidRPr="0072636E" w:rsidRDefault="0072636E" w:rsidP="0072636E">
      <w:pPr>
        <w:pStyle w:val="Heading2"/>
      </w:pPr>
      <w:r>
        <w:t xml:space="preserve">On trigger </w:t>
      </w:r>
      <w:r w:rsidR="00601057" w:rsidRPr="009E7B88">
        <w:t>IAB-</w:t>
      </w:r>
      <w:r>
        <w:t>M</w:t>
      </w:r>
      <w:r w:rsidR="00601057" w:rsidRPr="009E7B88">
        <w:t xml:space="preserve">U’s </w:t>
      </w:r>
      <w:r>
        <w:t>PHR report</w:t>
      </w:r>
      <w:r w:rsidR="00601057" w:rsidRPr="009E7B88">
        <w:t xml:space="preserve"> </w:t>
      </w:r>
    </w:p>
    <w:p w14:paraId="08BB9C4D" w14:textId="7B7EE2CB" w:rsidR="00565F5D" w:rsidRPr="007E1152" w:rsidRDefault="00565F5D" w:rsidP="00565F5D">
      <w:pPr>
        <w:jc w:val="both"/>
        <w:rPr>
          <w:sz w:val="20"/>
          <w:szCs w:val="20"/>
        </w:rPr>
      </w:pPr>
      <w:r w:rsidRPr="007E1152">
        <w:rPr>
          <w:sz w:val="20"/>
          <w:szCs w:val="20"/>
        </w:rPr>
        <w:t>From 38.321</w:t>
      </w:r>
      <w:r>
        <w:rPr>
          <w:sz w:val="20"/>
          <w:szCs w:val="20"/>
        </w:rPr>
        <w:t>, we know that a PHR</w:t>
      </w:r>
      <w:r w:rsidRPr="007E1152">
        <w:rPr>
          <w:sz w:val="20"/>
          <w:szCs w:val="20"/>
        </w:rPr>
        <w:t xml:space="preserve"> shall be triggered under couple of events, including:</w:t>
      </w:r>
    </w:p>
    <w:p w14:paraId="2067ECBF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phr-ProhibitTimer</w:t>
      </w:r>
      <w:proofErr w:type="spellEnd"/>
      <w:r w:rsidRPr="006D2327">
        <w:rPr>
          <w:sz w:val="20"/>
          <w:szCs w:val="20"/>
        </w:rPr>
        <w:t xml:space="preserve"> expires or has </w:t>
      </w:r>
      <w:proofErr w:type="gramStart"/>
      <w:r w:rsidRPr="006D2327">
        <w:rPr>
          <w:sz w:val="20"/>
          <w:szCs w:val="20"/>
        </w:rPr>
        <w:t>expired</w:t>
      </w:r>
      <w:proofErr w:type="gramEnd"/>
      <w:r w:rsidRPr="006D2327">
        <w:rPr>
          <w:sz w:val="20"/>
          <w:szCs w:val="20"/>
        </w:rPr>
        <w:t xml:space="preserve"> and the path loss has changed more than </w:t>
      </w:r>
      <w:proofErr w:type="spellStart"/>
      <w:r w:rsidRPr="006D2327">
        <w:rPr>
          <w:i/>
          <w:iCs/>
          <w:sz w:val="20"/>
          <w:szCs w:val="20"/>
        </w:rPr>
        <w:t>phr</w:t>
      </w:r>
      <w:proofErr w:type="spellEnd"/>
      <w:r w:rsidRPr="006D2327">
        <w:rPr>
          <w:i/>
          <w:iCs/>
          <w:sz w:val="20"/>
          <w:szCs w:val="20"/>
        </w:rPr>
        <w:t>-Tx-</w:t>
      </w:r>
      <w:proofErr w:type="spellStart"/>
      <w:r w:rsidRPr="006D2327">
        <w:rPr>
          <w:i/>
          <w:iCs/>
          <w:sz w:val="20"/>
          <w:szCs w:val="20"/>
        </w:rPr>
        <w:t>PowerFactorChange</w:t>
      </w:r>
      <w:proofErr w:type="spellEnd"/>
      <w:r w:rsidRPr="006D2327">
        <w:rPr>
          <w:sz w:val="20"/>
          <w:szCs w:val="20"/>
        </w:rPr>
        <w:t xml:space="preserve"> dB for at least one activated Serving Cell of any MAC entity which is used as a pathloss reference since the last transmission of a PHR in this MAC entity when the MAC entity has UL resources for new transmission</w:t>
      </w:r>
    </w:p>
    <w:p w14:paraId="4DF22CC2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phr-PeriodicTimer</w:t>
      </w:r>
      <w:proofErr w:type="spellEnd"/>
      <w:r w:rsidRPr="006D2327">
        <w:rPr>
          <w:i/>
          <w:iCs/>
          <w:sz w:val="20"/>
          <w:szCs w:val="20"/>
        </w:rPr>
        <w:t xml:space="preserve"> </w:t>
      </w:r>
      <w:r w:rsidRPr="006D2327">
        <w:rPr>
          <w:sz w:val="20"/>
          <w:szCs w:val="20"/>
        </w:rPr>
        <w:t>expires</w:t>
      </w:r>
    </w:p>
    <w:p w14:paraId="6BB137EE" w14:textId="77777777" w:rsidR="00565F5D" w:rsidRDefault="00565F5D" w:rsidP="00565F5D">
      <w:pPr>
        <w:jc w:val="both"/>
        <w:rPr>
          <w:sz w:val="20"/>
          <w:szCs w:val="20"/>
          <w:lang w:eastAsia="zh-CN"/>
        </w:rPr>
      </w:pPr>
    </w:p>
    <w:p w14:paraId="7A2F633C" w14:textId="10D392C5" w:rsidR="00351AE1" w:rsidRDefault="006D2327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For the case of IAB-MT operat</w:t>
      </w:r>
      <w:r w:rsidR="00351AE1">
        <w:rPr>
          <w:sz w:val="20"/>
          <w:szCs w:val="20"/>
        </w:rPr>
        <w:t>ion in Rel-17, change of operation mode can be another source to trigger PHR report. For example, if IAB-MT is currently operating in TDM mode, but it is indicated to switch to simultaneous transmission with the IAB-DU, the PHR report for the two operation modes could be different. In summary, in addition to existing Rel-16 events, the other events that may trigger PHR for an IAB-MT are as follows:</w:t>
      </w:r>
    </w:p>
    <w:p w14:paraId="3C3D92F3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DU-Tx or vice versa</w:t>
      </w:r>
    </w:p>
    <w:p w14:paraId="7C3F3D76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DU-Rx or vice versa</w:t>
      </w:r>
    </w:p>
    <w:p w14:paraId="232A5790" w14:textId="23512D30" w:rsidR="00351AE1" w:rsidRP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simultaneous MT-Tx &amp; DU-Tx to simultaneous MT-Tx &amp; DU-Rx or vice versa</w:t>
      </w:r>
    </w:p>
    <w:p w14:paraId="23E2B91B" w14:textId="77777777" w:rsidR="00351AE1" w:rsidRDefault="00351AE1" w:rsidP="00D015E7">
      <w:pPr>
        <w:jc w:val="both"/>
        <w:rPr>
          <w:sz w:val="20"/>
          <w:szCs w:val="20"/>
        </w:rPr>
      </w:pPr>
    </w:p>
    <w:p w14:paraId="052A60F1" w14:textId="22068D33" w:rsidR="00D4606C" w:rsidRDefault="00351AE1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the above discussions, we have the following proposals:</w:t>
      </w:r>
    </w:p>
    <w:p w14:paraId="0DCEAB35" w14:textId="4C8AD078" w:rsidR="00351AE1" w:rsidRDefault="00351AE1" w:rsidP="00D015E7">
      <w:pPr>
        <w:jc w:val="both"/>
        <w:rPr>
          <w:sz w:val="20"/>
          <w:szCs w:val="20"/>
        </w:rPr>
      </w:pPr>
    </w:p>
    <w:p w14:paraId="046C58A0" w14:textId="03C647B1" w:rsidR="00351AE1" w:rsidRDefault="00351AE1" w:rsidP="00D015E7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 w:rsidR="0072636E">
        <w:rPr>
          <w:b/>
          <w:bCs/>
          <w:sz w:val="20"/>
          <w:szCs w:val="20"/>
        </w:rPr>
        <w:t>2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E4C02E5" w14:textId="6871C077" w:rsidR="00C4170C" w:rsidRDefault="00C4170C" w:rsidP="00D015E7">
      <w:pPr>
        <w:jc w:val="both"/>
        <w:rPr>
          <w:sz w:val="20"/>
          <w:szCs w:val="20"/>
        </w:rPr>
      </w:pPr>
    </w:p>
    <w:p w14:paraId="35183B4C" w14:textId="77777777" w:rsidR="00854A60" w:rsidRPr="009E7B88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9E7B88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221661F9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</w:t>
      </w:r>
      <w:r w:rsidR="00FF6C3F">
        <w:rPr>
          <w:sz w:val="20"/>
          <w:szCs w:val="20"/>
        </w:rPr>
        <w:t xml:space="preserve">views on </w:t>
      </w:r>
      <w:r w:rsidR="00765044">
        <w:rPr>
          <w:sz w:val="20"/>
          <w:szCs w:val="20"/>
        </w:rPr>
        <w:t>remaining aspects for IAB-MT’s UL PSD and triggering conditions for IAB-MT’s PHR report</w:t>
      </w:r>
      <w:r w:rsidR="00FF6C3F">
        <w:rPr>
          <w:sz w:val="20"/>
          <w:szCs w:val="20"/>
        </w:rPr>
        <w:t xml:space="preserve">. </w:t>
      </w:r>
      <w:r w:rsidRPr="0007782F">
        <w:rPr>
          <w:sz w:val="20"/>
          <w:szCs w:val="20"/>
        </w:rPr>
        <w:t xml:space="preserve">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15E78AD0" w14:textId="77777777" w:rsidR="00765044" w:rsidRPr="00601057" w:rsidRDefault="00765044" w:rsidP="00765044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6D2327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601057">
        <w:rPr>
          <w:sz w:val="20"/>
          <w:szCs w:val="20"/>
        </w:rPr>
        <w:t>IAB-MT reduces transmit power to meet the UL PSD limit</w:t>
      </w:r>
    </w:p>
    <w:p w14:paraId="6EC51CD6" w14:textId="77777777" w:rsidR="00765044" w:rsidRDefault="00765044" w:rsidP="00765044">
      <w:pPr>
        <w:pStyle w:val="ListParagraph"/>
        <w:numPr>
          <w:ilvl w:val="0"/>
          <w:numId w:val="43"/>
        </w:numPr>
        <w:jc w:val="both"/>
        <w:rPr>
          <w:sz w:val="20"/>
          <w:szCs w:val="20"/>
        </w:rPr>
      </w:pPr>
      <w:r w:rsidRPr="00601057">
        <w:rPr>
          <w:sz w:val="20"/>
          <w:szCs w:val="20"/>
        </w:rPr>
        <w:t>Alternatively, a TPC that results an UL PSD more than the threshold, implicitly indicates that simultaneous operation at the IAB-node is no longer allowed by IAB-parent</w:t>
      </w:r>
    </w:p>
    <w:p w14:paraId="214658A7" w14:textId="749496B8" w:rsidR="009A7779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609B2541" w14:textId="77777777" w:rsidR="00765044" w:rsidRDefault="00765044" w:rsidP="00765044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367073C" w14:textId="77777777" w:rsidR="00765044" w:rsidRPr="00450183" w:rsidRDefault="00765044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9E7B88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>References</w:t>
      </w:r>
    </w:p>
    <w:p w14:paraId="04E49CEC" w14:textId="0F557BB9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5D782712" w14:textId="1F81B650" w:rsidR="00B81718" w:rsidRPr="00410281" w:rsidRDefault="00B81718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r>
        <w:rPr>
          <w:bCs/>
          <w:sz w:val="20"/>
          <w:szCs w:val="20"/>
          <w:lang w:eastAsia="zh-CN"/>
        </w:rPr>
        <w:t>R1-</w:t>
      </w:r>
      <w:r w:rsidR="00057E5D" w:rsidRPr="00057E5D">
        <w:t xml:space="preserve"> </w:t>
      </w:r>
      <w:r w:rsidR="00057E5D" w:rsidRPr="00057E5D">
        <w:rPr>
          <w:bCs/>
          <w:sz w:val="20"/>
          <w:szCs w:val="20"/>
          <w:lang w:eastAsia="zh-CN"/>
        </w:rPr>
        <w:t>21</w:t>
      </w:r>
      <w:r w:rsidR="00D0272A">
        <w:rPr>
          <w:bCs/>
          <w:sz w:val="20"/>
          <w:szCs w:val="20"/>
          <w:lang w:eastAsia="zh-CN"/>
        </w:rPr>
        <w:t>1</w:t>
      </w:r>
      <w:r w:rsidR="003D18C6">
        <w:rPr>
          <w:bCs/>
          <w:sz w:val="20"/>
          <w:szCs w:val="20"/>
          <w:lang w:eastAsia="zh-CN"/>
        </w:rPr>
        <w:t>1893</w:t>
      </w:r>
      <w:r>
        <w:rPr>
          <w:bCs/>
          <w:sz w:val="20"/>
          <w:szCs w:val="20"/>
          <w:lang w:eastAsia="zh-CN"/>
        </w:rPr>
        <w:t>, “</w:t>
      </w:r>
      <w:r w:rsidRPr="00B81718">
        <w:rPr>
          <w:bCs/>
          <w:sz w:val="20"/>
          <w:szCs w:val="20"/>
          <w:lang w:eastAsia="zh-CN"/>
        </w:rPr>
        <w:t>Enhanced resource multiplexing within an IAB node</w:t>
      </w:r>
      <w:r>
        <w:rPr>
          <w:bCs/>
          <w:sz w:val="20"/>
          <w:szCs w:val="20"/>
          <w:lang w:eastAsia="zh-CN"/>
        </w:rPr>
        <w:t>”, Apple Inc.</w:t>
      </w:r>
    </w:p>
    <w:p w14:paraId="5936B27C" w14:textId="005C69C6" w:rsidR="0091063F" w:rsidRPr="00601057" w:rsidRDefault="0091063F" w:rsidP="00601057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601057">
        <w:rPr>
          <w:bCs/>
          <w:sz w:val="20"/>
          <w:szCs w:val="20"/>
          <w:lang w:eastAsia="zh-CN"/>
        </w:rPr>
        <w:t>6b</w:t>
      </w:r>
      <w:r w:rsidRPr="00410281">
        <w:rPr>
          <w:bCs/>
          <w:sz w:val="20"/>
          <w:szCs w:val="20"/>
          <w:lang w:eastAsia="zh-CN"/>
        </w:rPr>
        <w:t>-e final</w:t>
      </w: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51BCC" w14:textId="77777777" w:rsidR="00440912" w:rsidRDefault="00440912">
      <w:r>
        <w:separator/>
      </w:r>
    </w:p>
  </w:endnote>
  <w:endnote w:type="continuationSeparator" w:id="0">
    <w:p w14:paraId="4D91278E" w14:textId="77777777" w:rsidR="00440912" w:rsidRDefault="00440912">
      <w:r>
        <w:continuationSeparator/>
      </w:r>
    </w:p>
  </w:endnote>
  <w:endnote w:type="continuationNotice" w:id="1">
    <w:p w14:paraId="32A73233" w14:textId="77777777" w:rsidR="00440912" w:rsidRDefault="004409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CCD1" w14:textId="77777777" w:rsidR="00440912" w:rsidRDefault="00440912">
      <w:r>
        <w:separator/>
      </w:r>
    </w:p>
  </w:footnote>
  <w:footnote w:type="continuationSeparator" w:id="0">
    <w:p w14:paraId="2580953A" w14:textId="77777777" w:rsidR="00440912" w:rsidRDefault="00440912">
      <w:r>
        <w:continuationSeparator/>
      </w:r>
    </w:p>
  </w:footnote>
  <w:footnote w:type="continuationNotice" w:id="1">
    <w:p w14:paraId="29F45AB0" w14:textId="77777777" w:rsidR="00440912" w:rsidRDefault="004409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917384"/>
    <w:multiLevelType w:val="hybridMultilevel"/>
    <w:tmpl w:val="AC2E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F94"/>
    <w:multiLevelType w:val="hybridMultilevel"/>
    <w:tmpl w:val="D6423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66A6D"/>
    <w:multiLevelType w:val="hybridMultilevel"/>
    <w:tmpl w:val="6E2AD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D569B"/>
    <w:multiLevelType w:val="hybridMultilevel"/>
    <w:tmpl w:val="7B52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7D083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CE2C16"/>
    <w:multiLevelType w:val="hybridMultilevel"/>
    <w:tmpl w:val="3A8C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18"/>
  </w:num>
  <w:num w:numId="5">
    <w:abstractNumId w:val="11"/>
  </w:num>
  <w:num w:numId="6">
    <w:abstractNumId w:val="21"/>
  </w:num>
  <w:num w:numId="7">
    <w:abstractNumId w:val="30"/>
  </w:num>
  <w:num w:numId="8">
    <w:abstractNumId w:val="12"/>
  </w:num>
  <w:num w:numId="9">
    <w:abstractNumId w:val="26"/>
  </w:num>
  <w:num w:numId="10">
    <w:abstractNumId w:val="33"/>
  </w:num>
  <w:num w:numId="11">
    <w:abstractNumId w:val="16"/>
  </w:num>
  <w:num w:numId="12">
    <w:abstractNumId w:val="14"/>
  </w:num>
  <w:num w:numId="13">
    <w:abstractNumId w:val="3"/>
  </w:num>
  <w:num w:numId="14">
    <w:abstractNumId w:val="35"/>
  </w:num>
  <w:num w:numId="15">
    <w:abstractNumId w:val="15"/>
  </w:num>
  <w:num w:numId="16">
    <w:abstractNumId w:val="6"/>
  </w:num>
  <w:num w:numId="17">
    <w:abstractNumId w:val="28"/>
  </w:num>
  <w:num w:numId="18">
    <w:abstractNumId w:val="0"/>
  </w:num>
  <w:num w:numId="19">
    <w:abstractNumId w:val="7"/>
  </w:num>
  <w:num w:numId="20">
    <w:abstractNumId w:val="22"/>
  </w:num>
  <w:num w:numId="21">
    <w:abstractNumId w:val="13"/>
  </w:num>
  <w:num w:numId="22">
    <w:abstractNumId w:val="38"/>
  </w:num>
  <w:num w:numId="23">
    <w:abstractNumId w:val="20"/>
  </w:num>
  <w:num w:numId="24">
    <w:abstractNumId w:val="32"/>
  </w:num>
  <w:num w:numId="25">
    <w:abstractNumId w:val="1"/>
  </w:num>
  <w:num w:numId="26">
    <w:abstractNumId w:val="19"/>
  </w:num>
  <w:num w:numId="27">
    <w:abstractNumId w:val="27"/>
  </w:num>
  <w:num w:numId="28">
    <w:abstractNumId w:val="29"/>
  </w:num>
  <w:num w:numId="29">
    <w:abstractNumId w:val="4"/>
  </w:num>
  <w:num w:numId="30">
    <w:abstractNumId w:val="8"/>
  </w:num>
  <w:num w:numId="31">
    <w:abstractNumId w:val="25"/>
  </w:num>
  <w:num w:numId="32">
    <w:abstractNumId w:val="5"/>
  </w:num>
  <w:num w:numId="33">
    <w:abstractNumId w:val="10"/>
  </w:num>
  <w:num w:numId="34">
    <w:abstractNumId w:val="36"/>
  </w:num>
  <w:num w:numId="35">
    <w:abstractNumId w:val="34"/>
  </w:num>
  <w:num w:numId="36">
    <w:abstractNumId w:val="31"/>
  </w:num>
  <w:num w:numId="37">
    <w:abstractNumId w:val="37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3"/>
  </w:num>
  <w:num w:numId="4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57E5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1A8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20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2BA4"/>
    <w:rsid w:val="000A30AD"/>
    <w:rsid w:val="000A33F1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304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3E4D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056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692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97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084E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5EF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1AE0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2E13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BD5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A37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AE1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18C6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7D4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D2D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61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912"/>
    <w:rsid w:val="00440B5F"/>
    <w:rsid w:val="00440C07"/>
    <w:rsid w:val="004410DF"/>
    <w:rsid w:val="00441475"/>
    <w:rsid w:val="004418DE"/>
    <w:rsid w:val="00441A21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041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212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58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295E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5F5D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09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05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4CF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5FC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53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327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36E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B09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044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B3A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D7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A9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152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B3D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50E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31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573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E5D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830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62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779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4F1A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B88"/>
    <w:rsid w:val="009E7E2D"/>
    <w:rsid w:val="009F037A"/>
    <w:rsid w:val="009F08F3"/>
    <w:rsid w:val="009F0943"/>
    <w:rsid w:val="009F0B19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5FE8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2BCF"/>
    <w:rsid w:val="00A43532"/>
    <w:rsid w:val="00A43552"/>
    <w:rsid w:val="00A436F3"/>
    <w:rsid w:val="00A43750"/>
    <w:rsid w:val="00A4465B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5D9A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4E28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5B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0E2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718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A62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720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8D7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170C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4C0B"/>
    <w:rsid w:val="00C750E6"/>
    <w:rsid w:val="00C7521A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5D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72A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54A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0A8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0C9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3B1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8D2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1D7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4EF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0ED6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88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2FB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4E4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3F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60105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702</TotalTime>
  <Pages>2</Pages>
  <Words>825</Words>
  <Characters>4361</Characters>
  <Application>Microsoft Office Word</Application>
  <DocSecurity>0</DocSecurity>
  <Lines>103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5109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170</cp:revision>
  <cp:lastPrinted>2019-05-08T01:41:00Z</cp:lastPrinted>
  <dcterms:created xsi:type="dcterms:W3CDTF">2020-08-07T04:23:00Z</dcterms:created>
  <dcterms:modified xsi:type="dcterms:W3CDTF">2021-11-05T21:08:00Z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