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94A1F4C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bookmarkStart w:id="0" w:name="_GoBack"/>
      <w:bookmarkEnd w:id="0"/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</w:t>
      </w:r>
      <w:r w:rsidR="00076A42" w:rsidRPr="001E4399">
        <w:rPr>
          <w:rFonts w:hint="eastAsia"/>
          <w:b/>
          <w:sz w:val="24"/>
          <w:szCs w:val="24"/>
          <w:lang w:eastAsia="ko-KR"/>
        </w:rPr>
        <w:t>10</w:t>
      </w:r>
      <w:r w:rsidR="00076A42">
        <w:rPr>
          <w:b/>
          <w:sz w:val="24"/>
          <w:szCs w:val="24"/>
          <w:lang w:eastAsia="ko-KR"/>
        </w:rPr>
        <w:t>7</w:t>
      </w:r>
      <w:r w:rsidR="00E74280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076A42">
        <w:rPr>
          <w:b/>
          <w:sz w:val="24"/>
          <w:szCs w:val="24"/>
        </w:rPr>
        <w:t>21</w:t>
      </w:r>
      <w:r w:rsidR="00210AA8">
        <w:rPr>
          <w:b/>
          <w:sz w:val="24"/>
          <w:szCs w:val="24"/>
        </w:rPr>
        <w:t>11768</w:t>
      </w:r>
    </w:p>
    <w:p w14:paraId="02ED61BB" w14:textId="533D879D" w:rsidR="00154194" w:rsidRPr="001E4399" w:rsidRDefault="00710555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e-Meeting,</w:t>
      </w:r>
      <w:r w:rsidRPr="00D13718">
        <w:rPr>
          <w:b/>
          <w:bCs/>
          <w:noProof/>
          <w:sz w:val="24"/>
          <w:szCs w:val="24"/>
          <w:lang w:eastAsia="ko-KR"/>
        </w:rPr>
        <w:t xml:space="preserve"> </w:t>
      </w:r>
      <w:r w:rsidR="00076A42">
        <w:rPr>
          <w:b/>
          <w:bCs/>
          <w:sz w:val="24"/>
          <w:szCs w:val="24"/>
          <w:lang w:val="en-US" w:eastAsia="ko-KR"/>
        </w:rPr>
        <w:t>November</w:t>
      </w:r>
      <w:r w:rsidR="00076A42" w:rsidRPr="00CA79D7">
        <w:rPr>
          <w:b/>
          <w:bCs/>
          <w:sz w:val="24"/>
          <w:szCs w:val="24"/>
          <w:lang w:val="en-US" w:eastAsia="ko-KR"/>
        </w:rPr>
        <w:t xml:space="preserve"> </w:t>
      </w:r>
      <w:r w:rsidR="00A1648D" w:rsidRPr="00CA79D7">
        <w:rPr>
          <w:b/>
          <w:bCs/>
          <w:sz w:val="24"/>
          <w:szCs w:val="24"/>
          <w:lang w:val="en-US" w:eastAsia="ko-KR"/>
        </w:rPr>
        <w:t>1</w:t>
      </w:r>
      <w:r w:rsidR="00A1648D">
        <w:rPr>
          <w:b/>
          <w:bCs/>
          <w:sz w:val="24"/>
          <w:szCs w:val="24"/>
          <w:lang w:val="en-US" w:eastAsia="ko-KR"/>
        </w:rPr>
        <w:t>1</w:t>
      </w:r>
      <w:r w:rsidR="00A1648D" w:rsidRPr="00CA79D7">
        <w:rPr>
          <w:b/>
          <w:bCs/>
          <w:sz w:val="24"/>
          <w:szCs w:val="24"/>
          <w:vertAlign w:val="superscript"/>
          <w:lang w:val="en-US" w:eastAsia="ko-KR"/>
        </w:rPr>
        <w:t>th</w:t>
      </w:r>
      <w:r w:rsidR="00A1648D" w:rsidRPr="00CA79D7">
        <w:rPr>
          <w:b/>
          <w:bCs/>
          <w:sz w:val="24"/>
          <w:szCs w:val="24"/>
          <w:lang w:val="en-US" w:eastAsia="ko-KR"/>
        </w:rPr>
        <w:t xml:space="preserve"> – </w:t>
      </w:r>
      <w:r w:rsidR="00A1648D">
        <w:rPr>
          <w:b/>
          <w:bCs/>
          <w:sz w:val="24"/>
          <w:szCs w:val="24"/>
          <w:lang w:val="en-US" w:eastAsia="ko-KR"/>
        </w:rPr>
        <w:t>19</w:t>
      </w:r>
      <w:r w:rsidR="00A1648D" w:rsidRPr="00CA79D7">
        <w:rPr>
          <w:b/>
          <w:bCs/>
          <w:sz w:val="24"/>
          <w:szCs w:val="24"/>
          <w:vertAlign w:val="superscript"/>
          <w:lang w:val="en-US" w:eastAsia="ko-KR"/>
        </w:rPr>
        <w:t>th</w:t>
      </w:r>
      <w:r w:rsidR="00A1648D" w:rsidRPr="00CA79D7">
        <w:rPr>
          <w:b/>
          <w:bCs/>
          <w:sz w:val="24"/>
          <w:szCs w:val="24"/>
          <w:lang w:val="en-US" w:eastAsia="ko-KR"/>
        </w:rPr>
        <w:t>, 2021</w:t>
      </w:r>
    </w:p>
    <w:p w14:paraId="67CAF68F" w14:textId="1C5F9D7E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47090C">
        <w:rPr>
          <w:rFonts w:ascii="Arial" w:hAnsi="Arial" w:cs="Arial"/>
          <w:sz w:val="22"/>
        </w:rPr>
        <w:t>8.15.2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A7FC58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03589C">
        <w:rPr>
          <w:rFonts w:ascii="Arial" w:hAnsi="Arial" w:cs="Arial"/>
          <w:sz w:val="22"/>
          <w:lang w:eastAsia="zh-CN"/>
        </w:rPr>
        <w:t>T</w:t>
      </w:r>
      <w:r w:rsidR="003C0D4B" w:rsidRPr="001E4399">
        <w:rPr>
          <w:rFonts w:ascii="Arial" w:hAnsi="Arial" w:cs="Arial"/>
          <w:sz w:val="22"/>
          <w:lang w:eastAsia="zh-CN"/>
        </w:rPr>
        <w:t>iming relationship enhancements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15247F7B" w14:textId="5A379B0A" w:rsidR="005F7814" w:rsidRDefault="005F7814" w:rsidP="002B5C14">
      <w:pPr>
        <w:spacing w:before="120" w:after="120"/>
        <w:ind w:firstLineChars="0" w:firstLine="0"/>
        <w:rPr>
          <w:rFonts w:ascii="Times" w:hAnsi="Times" w:cs="Times"/>
          <w:lang w:eastAsia="x-none"/>
        </w:rPr>
      </w:pPr>
      <w:bookmarkStart w:id="1" w:name="_Hlk22834419"/>
      <w:r>
        <w:rPr>
          <w:rFonts w:ascii="Times" w:hAnsi="Times" w:cs="Times"/>
          <w:lang w:eastAsia="x-none"/>
        </w:rPr>
        <w:t xml:space="preserve">A WID on </w:t>
      </w:r>
      <w:r w:rsidRPr="005F7814">
        <w:rPr>
          <w:rFonts w:ascii="Times" w:hAnsi="Times" w:cs="Times"/>
          <w:lang w:eastAsia="x-none"/>
        </w:rPr>
        <w:t>NB-IoT/eMTC support for NTN</w:t>
      </w:r>
      <w:r>
        <w:rPr>
          <w:rFonts w:ascii="Times" w:hAnsi="Times" w:cs="Times"/>
          <w:lang w:eastAsia="x-none"/>
        </w:rPr>
        <w:t xml:space="preserve"> was approved in RAN#92-e [1]. One objective is related to </w:t>
      </w:r>
      <w:r w:rsidR="007B7171">
        <w:rPr>
          <w:rFonts w:ascii="Times" w:hAnsi="Times" w:cs="Times"/>
          <w:lang w:eastAsia="x-none"/>
        </w:rPr>
        <w:t>timing relationships enhancements.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14:paraId="12AB433E" w14:textId="7CF20277" w:rsidTr="007B7171">
        <w:tc>
          <w:tcPr>
            <w:tcW w:w="9737" w:type="dxa"/>
          </w:tcPr>
          <w:p w14:paraId="3D307CD2" w14:textId="5C1BD4E2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 xml:space="preserve">Specify the following </w:t>
            </w:r>
            <w:r w:rsidRPr="007B7171">
              <w:rPr>
                <w:rFonts w:ascii="Times" w:hAnsi="Times" w:cs="Times"/>
                <w:lang w:eastAsia="x-none"/>
              </w:rPr>
              <w:t>IoT NTN specific timing relationships enhancements according to Section 8 in TR 36.763:</w:t>
            </w:r>
          </w:p>
          <w:p w14:paraId="083155F7" w14:textId="77777777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  <w:t xml:space="preserve">Timing relationships for NB-IoT / eMTC: as listed in Section 6.6.3 in TR 36.763 </w:t>
            </w:r>
          </w:p>
          <w:p w14:paraId="67BB97C1" w14:textId="77777777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  <w:t>UL scheduling for FDD-HD: Use of UE-specific TA and/or K_offset to avoid UL-DL collisions in FDD-HD</w:t>
            </w:r>
          </w:p>
          <w:p w14:paraId="23F1EA03" w14:textId="72017BD0" w:rsid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  <w:t>Signalling aspects in UE-specific TA maintenance and reporting, techniques to reduce the signalling load and determination of the UE-specific TA.</w:t>
            </w:r>
          </w:p>
        </w:tc>
      </w:tr>
    </w:tbl>
    <w:bookmarkEnd w:id="1"/>
    <w:p w14:paraId="4FAA6900" w14:textId="57C595E0" w:rsidR="00890CB2" w:rsidRDefault="00890CB2" w:rsidP="00890CB2">
      <w:pPr>
        <w:spacing w:before="240" w:after="12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Agreements from RAN1#106bis-e: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90CB2" w14:paraId="4BCADD18" w14:textId="77777777" w:rsidTr="00890CB2">
        <w:tc>
          <w:tcPr>
            <w:tcW w:w="9737" w:type="dxa"/>
          </w:tcPr>
          <w:p w14:paraId="27194ECA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10F053CF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 xml:space="preserve">In IoT NTN, for a random access procedure initiated by a N/MPDCCH order, the UE shall delay the transmission of the random access preamble by </w:t>
            </w:r>
            <w:r w:rsidRPr="00920F6D">
              <w:rPr>
                <w:i/>
                <w:iCs/>
                <w:lang w:eastAsia="x-none"/>
              </w:rPr>
              <w:t>K</w:t>
            </w:r>
            <w:r w:rsidRPr="00920F6D">
              <w:rPr>
                <w:i/>
                <w:iCs/>
                <w:vertAlign w:val="subscript"/>
                <w:lang w:eastAsia="x-none"/>
              </w:rPr>
              <w:t>offset</w:t>
            </w:r>
            <w:r w:rsidRPr="00920F6D">
              <w:rPr>
                <w:lang w:eastAsia="x-none"/>
              </w:rPr>
              <w:t xml:space="preserve"> as compared to the current specification.</w:t>
            </w:r>
          </w:p>
          <w:p w14:paraId="6ECBD70E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1D063065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117B535C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For IoT NTN, with respect to the granularity, configuration, indication and update of K_Offset, the mechanisms concluded in NR-NTN shall be taken as baseline.</w:t>
            </w:r>
          </w:p>
          <w:p w14:paraId="43399A88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13EA3065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1A4F5621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For eMTC in IoT NTN, if the UE determines that a preamble retransmission is necessary, the choice of a suitable preamble retransmission subframe shall be delayed by Koffset as compared to current specifications.</w:t>
            </w:r>
          </w:p>
          <w:p w14:paraId="70A7F5BE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768B7E58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607AEDC7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For NB-IoT, if the UE has initiated an NPUSCH transmission using pre-configured uplink resources ending in subframe n, the UE shall start or restart to monitor the NPDCCH from DL subframe n+4+K_mac (where K_mac is defined as in NR-NTN).</w:t>
            </w:r>
          </w:p>
          <w:p w14:paraId="6700D637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2626DD8A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3C0DBDA4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For eMTC, if the UE has initiated an PUSCH transmission using pre-configured uplink resources ending in subframe n, the UE shall start or restart to monitor the MPDCCH from DL subframe n+4+K_mac (where K_mac is defined as in NR-NTN).</w:t>
            </w:r>
          </w:p>
          <w:p w14:paraId="7631137E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53C5BD96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64070439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Support PUR at least for GEO-based IoT NTN in Rel-17</w:t>
            </w:r>
          </w:p>
          <w:p w14:paraId="7C39EBA6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FFS: for NGSO-based IoT NTN.</w:t>
            </w:r>
          </w:p>
          <w:p w14:paraId="5512438D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</w:p>
          <w:p w14:paraId="38B668FE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920F6D">
              <w:rPr>
                <w:highlight w:val="green"/>
                <w:lang w:eastAsia="x-none"/>
              </w:rPr>
              <w:t>Agreement:</w:t>
            </w:r>
          </w:p>
          <w:p w14:paraId="48E699E9" w14:textId="77777777" w:rsidR="00890CB2" w:rsidRPr="00920F6D" w:rsidRDefault="00890CB2" w:rsidP="00890CB2">
            <w:pPr>
              <w:spacing w:before="0" w:after="0" w:line="240" w:lineRule="auto"/>
              <w:ind w:firstLineChars="0" w:firstLine="0"/>
            </w:pPr>
            <w:r w:rsidRPr="00920F6D">
              <w:t>NPDCCH monitoring restrictions have been identified for further checking to see if changes for NB-IoT need to be made for the following cases:</w:t>
            </w:r>
          </w:p>
          <w:p w14:paraId="51AB5DFA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lang w:eastAsia="x-none"/>
              </w:rPr>
            </w:pPr>
            <w:r w:rsidRPr="00920F6D">
              <w:rPr>
                <w:lang w:eastAsia="x-none"/>
              </w:rPr>
              <w:t>case 1: MTBG NPUSCH</w:t>
            </w:r>
          </w:p>
          <w:p w14:paraId="364133F6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lang w:eastAsia="x-none"/>
              </w:rPr>
            </w:pPr>
            <w:r w:rsidRPr="00920F6D">
              <w:rPr>
                <w:rFonts w:eastAsia="Times New Roman"/>
                <w:lang w:eastAsia="zh-CN"/>
              </w:rPr>
              <w:t>case 2: 2 NPUSCH HARQ processes scheduled</w:t>
            </w:r>
          </w:p>
          <w:p w14:paraId="7E732CAB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3: long single NPUSCH when MTBG or 2HARQ configured</w:t>
            </w:r>
          </w:p>
          <w:p w14:paraId="2385A731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4: single NPUSCH scheduled by DCI format N0 or RAR</w:t>
            </w:r>
          </w:p>
          <w:p w14:paraId="596BBB12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lastRenderedPageBreak/>
              <w:t>case 5: NPUSCH format 2 in response to DCI format N1</w:t>
            </w:r>
          </w:p>
          <w:p w14:paraId="14F48B31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6: NPRACH in response to PDCCH order</w:t>
            </w:r>
          </w:p>
          <w:p w14:paraId="048C8EA0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7: NPUSCH with same HARQ process when 2 HARQ configured</w:t>
            </w:r>
          </w:p>
          <w:p w14:paraId="1F484FF7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8: subframes after NPUSCH processing</w:t>
            </w:r>
          </w:p>
          <w:p w14:paraId="34308748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9: subframes after NPUSCH carrying Msg3</w:t>
            </w:r>
          </w:p>
          <w:p w14:paraId="44C292BF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10: NPRACH for SR for long NPRACH transmissions</w:t>
            </w:r>
          </w:p>
          <w:p w14:paraId="77848F10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case 11: NPRACH for SR for short NPRACH transmissions</w:t>
            </w:r>
          </w:p>
          <w:p w14:paraId="3371454F" w14:textId="77777777" w:rsidR="00890CB2" w:rsidRPr="00920F6D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FFS: the changes in each case</w:t>
            </w:r>
          </w:p>
          <w:p w14:paraId="7EDEFE33" w14:textId="4CA8B54D" w:rsidR="00890CB2" w:rsidRPr="00890CB2" w:rsidRDefault="00890CB2" w:rsidP="00890CB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Chars="0" w:firstLine="0"/>
              <w:rPr>
                <w:rFonts w:eastAsia="Times New Roman"/>
                <w:lang w:eastAsia="zh-CN"/>
              </w:rPr>
            </w:pPr>
            <w:r w:rsidRPr="00920F6D">
              <w:rPr>
                <w:rFonts w:eastAsia="Times New Roman"/>
                <w:lang w:eastAsia="zh-CN"/>
              </w:rPr>
              <w:t>FFS: additional cases</w:t>
            </w:r>
          </w:p>
        </w:tc>
      </w:tr>
    </w:tbl>
    <w:p w14:paraId="3F25AA51" w14:textId="309E144F" w:rsidR="00890CB2" w:rsidRPr="0031728F" w:rsidRDefault="00890CB2" w:rsidP="00890CB2">
      <w:pPr>
        <w:spacing w:before="240" w:after="120"/>
        <w:ind w:firstLineChars="0" w:firstLine="0"/>
        <w:rPr>
          <w:rFonts w:eastAsia="DengXian"/>
          <w:lang w:eastAsia="zh-CN"/>
        </w:rPr>
      </w:pPr>
      <w:r w:rsidRPr="00525224">
        <w:rPr>
          <w:rFonts w:eastAsia="DengXian"/>
          <w:lang w:eastAsia="zh-CN"/>
        </w:rPr>
        <w:lastRenderedPageBreak/>
        <w:t xml:space="preserve">This contribution </w:t>
      </w:r>
      <w:r>
        <w:rPr>
          <w:rFonts w:eastAsia="DengXian"/>
          <w:lang w:eastAsia="zh-CN"/>
        </w:rPr>
        <w:t xml:space="preserve">discusses remaining </w:t>
      </w:r>
      <w:r w:rsidRPr="00525224">
        <w:rPr>
          <w:rFonts w:eastAsia="DengXian"/>
          <w:lang w:eastAsia="zh-CN"/>
        </w:rPr>
        <w:t xml:space="preserve">aspects </w:t>
      </w:r>
      <w:r>
        <w:rPr>
          <w:rFonts w:eastAsia="DengXian"/>
          <w:lang w:eastAsia="zh-CN"/>
        </w:rPr>
        <w:t>of</w:t>
      </w:r>
      <w:r w:rsidRPr="00525224">
        <w:rPr>
          <w:rFonts w:eastAsia="DengXian"/>
          <w:lang w:eastAsia="zh-CN"/>
        </w:rPr>
        <w:t xml:space="preserve"> timing relationship enhancements</w:t>
      </w:r>
      <w:r>
        <w:rPr>
          <w:rFonts w:eastAsia="DengXian"/>
          <w:lang w:eastAsia="zh-CN"/>
        </w:rPr>
        <w:t xml:space="preserve"> for NTN IoT</w:t>
      </w:r>
      <w:r w:rsidRPr="00525224">
        <w:rPr>
          <w:rFonts w:eastAsia="DengXian"/>
          <w:lang w:eastAsia="zh-CN"/>
        </w:rPr>
        <w:t xml:space="preserve">. </w:t>
      </w:r>
    </w:p>
    <w:p w14:paraId="6A0410F2" w14:textId="4E7190D2" w:rsidR="003C36C0" w:rsidRPr="00000065" w:rsidRDefault="00890CB2" w:rsidP="00000065">
      <w:pPr>
        <w:pStyle w:val="Heading1"/>
      </w:pPr>
      <w:r>
        <w:t>Discussion</w:t>
      </w:r>
    </w:p>
    <w:p w14:paraId="152E89D3" w14:textId="741533FF" w:rsidR="0062290F" w:rsidRPr="009947CF" w:rsidRDefault="0062290F" w:rsidP="00890CB2">
      <w:pPr>
        <w:spacing w:before="0" w:after="0" w:line="240" w:lineRule="auto"/>
        <w:ind w:firstLineChars="0" w:firstLine="0"/>
        <w:rPr>
          <w:rFonts w:eastAsia="Times New Roman"/>
        </w:rPr>
      </w:pPr>
      <w:r w:rsidRPr="00237071">
        <w:rPr>
          <w:iCs/>
        </w:rPr>
        <w:t>In RAN1#106bis-e</w:t>
      </w:r>
      <w:r>
        <w:rPr>
          <w:iCs/>
        </w:rPr>
        <w:t xml:space="preserve"> [1]</w:t>
      </w:r>
      <w:r w:rsidRPr="00237071">
        <w:rPr>
          <w:iCs/>
        </w:rPr>
        <w:t xml:space="preserve"> it was discussed </w:t>
      </w:r>
      <w:r>
        <w:rPr>
          <w:iCs/>
        </w:rPr>
        <w:t xml:space="preserve">whether additional changes to the </w:t>
      </w:r>
      <w:r w:rsidR="00890CB2">
        <w:rPr>
          <w:iCs/>
        </w:rPr>
        <w:t xml:space="preserve">timing relationships are needed, and whether to introduce restrictions for PDCCH monitoring. </w:t>
      </w:r>
    </w:p>
    <w:p w14:paraId="3A4A2BF5" w14:textId="3C137362" w:rsidR="0062290F" w:rsidRDefault="0062290F" w:rsidP="005641AD">
      <w:pPr>
        <w:spacing w:before="0" w:after="0" w:line="240" w:lineRule="auto"/>
        <w:ind w:firstLineChars="0" w:firstLine="0"/>
        <w:rPr>
          <w:iCs/>
        </w:rPr>
      </w:pPr>
    </w:p>
    <w:p w14:paraId="7E3F22A5" w14:textId="6D13E687" w:rsidR="00FB3A20" w:rsidRDefault="001F466F" w:rsidP="0075503F">
      <w:pPr>
        <w:spacing w:before="0" w:after="0" w:line="240" w:lineRule="auto"/>
        <w:ind w:firstLineChars="0" w:firstLine="0"/>
      </w:pPr>
      <w:r>
        <w:t>For the timing relationships modified for IoT over NTN so far, when the tim</w:t>
      </w:r>
      <w:r w:rsidR="0075503F">
        <w:t xml:space="preserve">ing relationship is between UE </w:t>
      </w:r>
      <w:r>
        <w:t xml:space="preserve">reception </w:t>
      </w:r>
      <w:r w:rsidR="00C24C9B">
        <w:t xml:space="preserve">of a </w:t>
      </w:r>
      <w:r w:rsidR="00C24C9B" w:rsidRPr="00C366E0">
        <w:rPr>
          <w:u w:val="single"/>
        </w:rPr>
        <w:t xml:space="preserve">NPDSCH transmission that ends </w:t>
      </w:r>
      <w:r w:rsidRPr="00C366E0">
        <w:rPr>
          <w:u w:val="single"/>
        </w:rPr>
        <w:t xml:space="preserve">in a subframe </w:t>
      </w:r>
      <w:r w:rsidRPr="00C366E0">
        <w:rPr>
          <w:i/>
          <w:u w:val="single"/>
        </w:rPr>
        <w:t>n</w:t>
      </w:r>
      <w:r>
        <w:t xml:space="preserve"> and </w:t>
      </w:r>
      <w:r w:rsidR="0075503F">
        <w:t>UE</w:t>
      </w:r>
      <w:r>
        <w:t xml:space="preserve"> transmission</w:t>
      </w:r>
      <w:r w:rsidR="00441AC8">
        <w:t xml:space="preserve"> in subframe </w:t>
      </w:r>
      <w:r w:rsidR="00441AC8" w:rsidRPr="00441AC8">
        <w:rPr>
          <w:i/>
        </w:rPr>
        <w:t>n+k</w:t>
      </w:r>
      <w:r w:rsidR="00441AC8">
        <w:t xml:space="preserve">, for NTN the </w:t>
      </w:r>
      <w:r w:rsidR="0075503F">
        <w:t xml:space="preserve">UE </w:t>
      </w:r>
      <w:r w:rsidR="00441AC8">
        <w:t xml:space="preserve">transmission subframe was modified as </w:t>
      </w:r>
      <w:r w:rsidR="00441AC8" w:rsidRPr="00441AC8">
        <w:rPr>
          <w:i/>
        </w:rPr>
        <w:t>n+k+K_offset</w:t>
      </w:r>
      <w:r w:rsidR="00FB3A20">
        <w:t>. For example</w:t>
      </w:r>
      <w:r w:rsidR="00C24C9B">
        <w:t>,</w:t>
      </w:r>
      <w:r w:rsidR="00560431">
        <w:t xml:space="preserve"> the agreed change of the timing relationship for </w:t>
      </w:r>
      <w:r w:rsidR="00FB3A20">
        <w:t>the UE procedure to report ACK/NACK in TS 36.214, Clause 16.4.2</w:t>
      </w:r>
      <w:r w:rsidR="00560431">
        <w:t>. A similar logic can also be applied to other timing relation</w:t>
      </w:r>
      <w:r w:rsidR="00C366E0">
        <w:t>ships in TS 36.213 Clause 16.6 that are still under discussion.</w:t>
      </w:r>
    </w:p>
    <w:p w14:paraId="10BB03FE" w14:textId="140A004E" w:rsidR="00A6399A" w:rsidRDefault="00A6399A" w:rsidP="002B7F8F">
      <w:pPr>
        <w:pStyle w:val="B1"/>
        <w:spacing w:after="120" w:line="24" w:lineRule="atLeast"/>
        <w:ind w:left="0" w:firstLineChars="0" w:firstLine="0"/>
        <w:rPr>
          <w:rFonts w:ascii="Times New Roman" w:hAnsi="Times New Roman" w:cs="Times New Roman"/>
          <w:color w:val="auto"/>
        </w:rPr>
      </w:pPr>
    </w:p>
    <w:p w14:paraId="5769F1DE" w14:textId="77777777" w:rsidR="00C366E0" w:rsidRDefault="00135070" w:rsidP="005E0289">
      <w:pPr>
        <w:spacing w:after="120" w:line="24" w:lineRule="atLeast"/>
        <w:ind w:firstLineChars="0" w:firstLine="0"/>
      </w:pPr>
      <w:r>
        <w:t xml:space="preserve">In 16.6 of TS 36.213, the following </w:t>
      </w:r>
      <w:r w:rsidR="00C366E0">
        <w:t xml:space="preserve">text </w:t>
      </w:r>
      <w:r>
        <w:t>is captured for the monitoring of an NPDCCH candidate</w:t>
      </w:r>
      <w:r w:rsidR="00C366E0">
        <w:t xml:space="preserve"> when the </w:t>
      </w:r>
      <w:r w:rsidR="00C366E0" w:rsidRPr="000043B8">
        <w:rPr>
          <w:color w:val="000000" w:themeColor="text1"/>
        </w:rPr>
        <w:t xml:space="preserve">NB-IoT UE is configured with higher layer parameter </w:t>
      </w:r>
      <w:r w:rsidR="00C366E0" w:rsidRPr="000043B8">
        <w:rPr>
          <w:i/>
          <w:color w:val="000000" w:themeColor="text1"/>
        </w:rPr>
        <w:t>twoHARQ-ProcessesConfig</w:t>
      </w:r>
      <w:r w:rsidR="00C366E0" w:rsidRPr="000043B8">
        <w:rPr>
          <w:color w:val="000000" w:themeColor="text1"/>
        </w:rPr>
        <w:t xml:space="preserve"> or </w:t>
      </w:r>
      <w:r w:rsidR="00C366E0" w:rsidRPr="000043B8">
        <w:rPr>
          <w:rFonts w:eastAsia="DengXian"/>
          <w:i/>
          <w:color w:val="000000" w:themeColor="text1"/>
        </w:rPr>
        <w:t>npusch-MultiTB-Config</w:t>
      </w:r>
      <w:r>
        <w:t xml:space="preserve">. </w:t>
      </w:r>
    </w:p>
    <w:p w14:paraId="2FCA64D6" w14:textId="089DD077" w:rsidR="005E0289" w:rsidRPr="007527E6" w:rsidRDefault="00135070" w:rsidP="005E0289">
      <w:pPr>
        <w:spacing w:after="120" w:line="24" w:lineRule="atLeast"/>
        <w:ind w:firstLineChars="0" w:firstLine="0"/>
        <w:rPr>
          <w:i/>
        </w:rPr>
      </w:pPr>
      <w:r>
        <w:t xml:space="preserve">Regarding the timing relationship of the start of the NPUSCH format 1 transmission in subframe </w:t>
      </w:r>
      <w:r w:rsidRPr="000043B8">
        <w:rPr>
          <w:i/>
          <w:color w:val="000000" w:themeColor="text1"/>
        </w:rPr>
        <w:t>n+k</w:t>
      </w:r>
      <w:r w:rsidR="00C366E0">
        <w:rPr>
          <w:i/>
          <w:color w:val="000000" w:themeColor="text1"/>
        </w:rPr>
        <w:t xml:space="preserve"> </w:t>
      </w:r>
      <w:r w:rsidR="00C366E0" w:rsidRPr="00C366E0">
        <w:rPr>
          <w:color w:val="000000" w:themeColor="text1"/>
        </w:rPr>
        <w:t>(in the first paragraph)</w:t>
      </w:r>
      <w:r w:rsidRPr="00C366E0">
        <w:rPr>
          <w:color w:val="000000" w:themeColor="text1"/>
        </w:rPr>
        <w:t>,</w:t>
      </w:r>
      <w:r>
        <w:rPr>
          <w:color w:val="000000" w:themeColor="text1"/>
        </w:rPr>
        <w:t xml:space="preserve"> we </w:t>
      </w:r>
      <w:r>
        <w:t xml:space="preserve">don’t think there is a need to </w:t>
      </w:r>
      <w:r w:rsidR="00F25E27">
        <w:t>be modified</w:t>
      </w:r>
      <w:r>
        <w:t xml:space="preserve"> </w:t>
      </w:r>
      <w:r w:rsidR="000043B8">
        <w:t xml:space="preserve">with the </w:t>
      </w:r>
      <w:r w:rsidR="00C366E0">
        <w:t xml:space="preserve">addition of </w:t>
      </w:r>
      <w:r w:rsidR="007527E6" w:rsidRPr="00441AC8">
        <w:rPr>
          <w:i/>
        </w:rPr>
        <w:t>K_offset</w:t>
      </w:r>
      <w:r w:rsidR="007527E6">
        <w:t xml:space="preserve"> </w:t>
      </w:r>
      <w:r w:rsidR="00C366E0">
        <w:t xml:space="preserve">because </w:t>
      </w:r>
      <w:r w:rsidR="000043B8">
        <w:t xml:space="preserve">subframe </w:t>
      </w:r>
      <w:r w:rsidR="000043B8" w:rsidRPr="000043B8">
        <w:rPr>
          <w:i/>
        </w:rPr>
        <w:t>n</w:t>
      </w:r>
      <w:r w:rsidR="000043B8">
        <w:rPr>
          <w:i/>
        </w:rPr>
        <w:t xml:space="preserve"> </w:t>
      </w:r>
      <w:r w:rsidR="000043B8">
        <w:t xml:space="preserve">is </w:t>
      </w:r>
      <w:r w:rsidR="00E54957">
        <w:t xml:space="preserve">defined as the subframe </w:t>
      </w:r>
      <w:r w:rsidR="000043B8">
        <w:t xml:space="preserve">where the UE detects NPDCCH. </w:t>
      </w:r>
    </w:p>
    <w:p w14:paraId="1FD2B47B" w14:textId="2A7E6AD7" w:rsidR="005E0289" w:rsidRDefault="009C7553" w:rsidP="002E5526">
      <w:pPr>
        <w:spacing w:before="0" w:after="120" w:line="24" w:lineRule="atLeast"/>
        <w:ind w:firstLineChars="0" w:firstLine="0"/>
      </w:pPr>
      <w:r>
        <w:t>G</w:t>
      </w:r>
      <w:r w:rsidR="005E0289">
        <w:t xml:space="preserve">iven the large value of a TA in NTN </w:t>
      </w:r>
      <w:r w:rsidR="0097675E">
        <w:t>it might be beneficial</w:t>
      </w:r>
      <w:r w:rsidR="005E0289">
        <w:t xml:space="preserve"> to modify the starting subframe index and the last subframe index where the UE is not required to monitor NPDCCH. For example, the timing relationship below can be modified by</w:t>
      </w:r>
      <w:r w:rsidR="000F0F95">
        <w:t xml:space="preserve"> adding</w:t>
      </w:r>
      <w:r w:rsidR="00DE4564">
        <w:t xml:space="preserve"> a delay offset equal to </w:t>
      </w:r>
      <w:r w:rsidR="005E0289">
        <w:t>(</w:t>
      </w:r>
      <w:r w:rsidR="005E0289" w:rsidRPr="0097675E">
        <w:rPr>
          <w:i/>
        </w:rPr>
        <w:t>Koffset –</w:t>
      </w:r>
      <w:r w:rsidR="008C7700">
        <w:rPr>
          <w:i/>
        </w:rPr>
        <w:t xml:space="preserve"> n_</w:t>
      </w:r>
      <w:r w:rsidR="005E0289" w:rsidRPr="0097675E">
        <w:rPr>
          <w:i/>
        </w:rPr>
        <w:t>TA</w:t>
      </w:r>
      <w:r w:rsidR="005E0289">
        <w:t>)</w:t>
      </w:r>
      <w:r w:rsidR="00DE4564">
        <w:t xml:space="preserve"> or (</w:t>
      </w:r>
      <w:r w:rsidR="00DE4564" w:rsidRPr="0097675E">
        <w:rPr>
          <w:i/>
        </w:rPr>
        <w:t>–</w:t>
      </w:r>
      <w:r w:rsidR="00DE4564">
        <w:rPr>
          <w:i/>
        </w:rPr>
        <w:t xml:space="preserve"> n_</w:t>
      </w:r>
      <w:r w:rsidR="00DE4564" w:rsidRPr="0097675E">
        <w:rPr>
          <w:i/>
        </w:rPr>
        <w:t>TA</w:t>
      </w:r>
      <w:r w:rsidR="00DE4564">
        <w:t>)</w:t>
      </w:r>
      <w:r w:rsidR="0097675E">
        <w:t xml:space="preserve">: </w:t>
      </w:r>
      <w:r w:rsidR="0097675E" w:rsidRPr="000043B8">
        <w:rPr>
          <w:color w:val="000000" w:themeColor="text1"/>
        </w:rPr>
        <w:t xml:space="preserve">the UE is not required to monitor an NPDCCH candidate in any subframe starting from subframe </w:t>
      </w:r>
      <w:r w:rsidR="0097675E" w:rsidRPr="000043B8">
        <w:rPr>
          <w:i/>
          <w:color w:val="000000" w:themeColor="text1"/>
        </w:rPr>
        <w:t>n+1</w:t>
      </w:r>
      <w:r w:rsidR="0097675E" w:rsidRPr="000043B8">
        <w:rPr>
          <w:color w:val="000000" w:themeColor="text1"/>
        </w:rPr>
        <w:t xml:space="preserve"> to subframe </w:t>
      </w:r>
      <w:r w:rsidR="0097675E" w:rsidRPr="000043B8">
        <w:rPr>
          <w:i/>
          <w:color w:val="000000" w:themeColor="text1"/>
        </w:rPr>
        <w:t>n+k-1</w:t>
      </w:r>
      <w:r w:rsidR="0097675E">
        <w:rPr>
          <w:i/>
          <w:color w:val="000000" w:themeColor="text1"/>
        </w:rPr>
        <w:t>+Koffset –</w:t>
      </w:r>
      <w:r w:rsidR="008C7700">
        <w:rPr>
          <w:i/>
          <w:color w:val="000000" w:themeColor="text1"/>
        </w:rPr>
        <w:t xml:space="preserve"> n_</w:t>
      </w:r>
      <w:r w:rsidR="0097675E">
        <w:rPr>
          <w:i/>
          <w:color w:val="000000" w:themeColor="text1"/>
        </w:rPr>
        <w:t>TA</w:t>
      </w:r>
      <w:r w:rsidR="0097675E">
        <w:rPr>
          <w:color w:val="000000" w:themeColor="text1"/>
        </w:rPr>
        <w:t xml:space="preserve">. </w:t>
      </w:r>
      <w:r w:rsidR="00CE5DB9">
        <w:rPr>
          <w:color w:val="000000" w:themeColor="text1"/>
        </w:rPr>
        <w:t>However, i</w:t>
      </w:r>
      <w:r w:rsidR="0097675E">
        <w:rPr>
          <w:color w:val="000000" w:themeColor="text1"/>
        </w:rPr>
        <w:t xml:space="preserve">t needs to be taken under consideration that the </w:t>
      </w:r>
      <w:r w:rsidR="0041305D">
        <w:rPr>
          <w:i/>
        </w:rPr>
        <w:t>n_</w:t>
      </w:r>
      <w:r w:rsidR="0041305D" w:rsidRPr="0097675E">
        <w:rPr>
          <w:i/>
        </w:rPr>
        <w:t>TA</w:t>
      </w:r>
      <w:r w:rsidR="0041305D">
        <w:rPr>
          <w:color w:val="000000" w:themeColor="text1"/>
        </w:rPr>
        <w:t xml:space="preserve"> </w:t>
      </w:r>
      <w:r w:rsidR="0097675E">
        <w:rPr>
          <w:color w:val="000000" w:themeColor="text1"/>
        </w:rPr>
        <w:t>value applied by the UE</w:t>
      </w:r>
      <w:r w:rsidR="0097675E">
        <w:rPr>
          <w:rFonts w:eastAsiaTheme="minorEastAsia"/>
          <w:color w:val="000000" w:themeColor="text1"/>
          <w:lang w:eastAsia="zh-CN"/>
        </w:rPr>
        <w:t xml:space="preserve"> </w:t>
      </w:r>
      <w:r w:rsidR="000F0F95">
        <w:rPr>
          <w:rFonts w:eastAsiaTheme="minorEastAsia"/>
          <w:color w:val="000000" w:themeColor="text1"/>
          <w:lang w:eastAsia="zh-CN"/>
        </w:rPr>
        <w:t>is not</w:t>
      </w:r>
      <w:r w:rsidR="0097675E">
        <w:rPr>
          <w:rFonts w:eastAsiaTheme="minorEastAsia"/>
          <w:color w:val="000000" w:themeColor="text1"/>
          <w:lang w:eastAsia="zh-CN"/>
        </w:rPr>
        <w:t xml:space="preserve"> known by the eNB </w:t>
      </w:r>
      <w:r w:rsidR="001B4189">
        <w:rPr>
          <w:rFonts w:eastAsiaTheme="minorEastAsia"/>
          <w:color w:val="000000" w:themeColor="text1"/>
          <w:lang w:eastAsia="zh-CN"/>
        </w:rPr>
        <w:t>and</w:t>
      </w:r>
      <w:r w:rsidR="0097675E">
        <w:rPr>
          <w:rFonts w:eastAsiaTheme="minorEastAsia"/>
          <w:color w:val="000000" w:themeColor="text1"/>
          <w:lang w:eastAsia="zh-CN"/>
        </w:rPr>
        <w:t xml:space="preserve"> the UE </w:t>
      </w:r>
      <w:r w:rsidR="001B4189">
        <w:rPr>
          <w:rFonts w:eastAsiaTheme="minorEastAsia"/>
          <w:color w:val="000000" w:themeColor="text1"/>
          <w:lang w:eastAsia="zh-CN"/>
        </w:rPr>
        <w:t>needs to report</w:t>
      </w:r>
      <w:r w:rsidR="0097675E">
        <w:rPr>
          <w:rFonts w:eastAsiaTheme="minorEastAsia"/>
          <w:color w:val="000000" w:themeColor="text1"/>
          <w:lang w:eastAsia="zh-CN"/>
        </w:rPr>
        <w:t xml:space="preserve"> </w:t>
      </w:r>
      <w:r w:rsidR="0041305D">
        <w:rPr>
          <w:rFonts w:eastAsiaTheme="minorEastAsia"/>
          <w:color w:val="000000" w:themeColor="text1"/>
          <w:lang w:eastAsia="zh-CN"/>
        </w:rPr>
        <w:t>a UE-specific TA</w:t>
      </w:r>
      <w:r w:rsidR="0097675E">
        <w:rPr>
          <w:rFonts w:eastAsiaTheme="minorEastAsia"/>
          <w:color w:val="000000" w:themeColor="text1"/>
          <w:lang w:eastAsia="zh-CN"/>
        </w:rPr>
        <w:t xml:space="preserve">. </w:t>
      </w:r>
      <w:r w:rsidR="001B4189">
        <w:rPr>
          <w:rFonts w:eastAsiaTheme="minorEastAsia"/>
          <w:color w:val="000000" w:themeColor="text1"/>
          <w:lang w:eastAsia="zh-CN"/>
        </w:rPr>
        <w:t>There</w:t>
      </w:r>
      <w:r w:rsidR="0097675E">
        <w:rPr>
          <w:rFonts w:eastAsiaTheme="minorEastAsia"/>
          <w:color w:val="000000" w:themeColor="text1"/>
          <w:lang w:eastAsia="zh-CN"/>
        </w:rPr>
        <w:t xml:space="preserve"> </w:t>
      </w:r>
      <w:r w:rsidR="00CE5DB9">
        <w:rPr>
          <w:rFonts w:eastAsiaTheme="minorEastAsia"/>
          <w:color w:val="000000" w:themeColor="text1"/>
          <w:lang w:eastAsia="zh-CN"/>
        </w:rPr>
        <w:t>can</w:t>
      </w:r>
      <w:r w:rsidR="0097675E">
        <w:rPr>
          <w:rFonts w:eastAsiaTheme="minorEastAsia"/>
          <w:color w:val="000000" w:themeColor="text1"/>
          <w:lang w:eastAsia="zh-CN"/>
        </w:rPr>
        <w:t xml:space="preserve"> still be a different understanding between eNB and UE due to the granularity and periodicity of such UE reporting. </w:t>
      </w:r>
      <w:r w:rsidR="001B4189">
        <w:rPr>
          <w:rFonts w:eastAsiaTheme="minorEastAsia"/>
          <w:color w:val="000000" w:themeColor="text1"/>
          <w:lang w:eastAsia="zh-CN"/>
        </w:rPr>
        <w:t>Alternatively, the delay offset can be K_offset which is signaled by eNB. Overall</w:t>
      </w:r>
      <w:r w:rsidR="0097675E">
        <w:rPr>
          <w:rFonts w:eastAsiaTheme="minorEastAsia"/>
          <w:color w:val="000000" w:themeColor="text1"/>
          <w:lang w:eastAsia="zh-CN"/>
        </w:rPr>
        <w:t xml:space="preserve"> it is not clear that a change in the timing relationship for NPDCCH monitoring </w:t>
      </w:r>
      <w:r w:rsidR="00CE5DB9">
        <w:rPr>
          <w:rFonts w:eastAsiaTheme="minorEastAsia"/>
          <w:color w:val="000000" w:themeColor="text1"/>
          <w:lang w:eastAsia="zh-CN"/>
        </w:rPr>
        <w:t>would provide material benefit considering also the additional requirement of a UE-specific TA reporting</w:t>
      </w:r>
      <w:r w:rsidR="0019500D">
        <w:rPr>
          <w:rFonts w:eastAsiaTheme="minorEastAsia"/>
          <w:color w:val="000000" w:themeColor="text1"/>
          <w:lang w:eastAsia="zh-CN"/>
        </w:rPr>
        <w:t>.</w:t>
      </w:r>
      <w:r w:rsidR="0097675E">
        <w:rPr>
          <w:rFonts w:eastAsiaTheme="minorEastAsia"/>
          <w:color w:val="000000" w:themeColor="text1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E54957" w14:paraId="7076A1C0" w14:textId="77777777" w:rsidTr="00E54957">
        <w:tc>
          <w:tcPr>
            <w:tcW w:w="9737" w:type="dxa"/>
          </w:tcPr>
          <w:p w14:paraId="001D30F7" w14:textId="77777777" w:rsidR="00E54957" w:rsidRPr="007527E6" w:rsidRDefault="00E54957" w:rsidP="00E54957">
            <w:pPr>
              <w:ind w:firstLineChars="0" w:firstLine="0"/>
            </w:pPr>
            <w:r w:rsidRPr="007527E6">
              <w:t xml:space="preserve">For a NPDCCH UE-specific search space, if a NB-IoT UE is configured with higher layer parameter </w:t>
            </w:r>
            <w:r w:rsidRPr="007527E6">
              <w:rPr>
                <w:i/>
              </w:rPr>
              <w:t>twoHARQ-ProcessesConfig</w:t>
            </w:r>
            <w:r w:rsidRPr="007527E6">
              <w:t xml:space="preserve"> or </w:t>
            </w:r>
            <w:r w:rsidRPr="007527E6">
              <w:rPr>
                <w:rFonts w:eastAsia="DengXian"/>
                <w:i/>
              </w:rPr>
              <w:t>npusch-MultiTB-Config</w:t>
            </w:r>
            <w:r w:rsidRPr="007527E6">
              <w:rPr>
                <w:i/>
              </w:rPr>
              <w:t xml:space="preserve"> </w:t>
            </w:r>
            <w:r w:rsidRPr="007527E6">
              <w:t xml:space="preserve">and if the NB-IoT UE detects NPDCCH with DCI Format N0 ending in subframe </w:t>
            </w:r>
            <w:r w:rsidRPr="007527E6">
              <w:rPr>
                <w:i/>
              </w:rPr>
              <w:t>n</w:t>
            </w:r>
            <w:r w:rsidRPr="007527E6">
              <w:t xml:space="preserve">, and if the corresponding NPUSCH format 1 transmission starts from </w:t>
            </w:r>
            <w:r w:rsidRPr="007527E6">
              <w:rPr>
                <w:i/>
              </w:rPr>
              <w:t>n+k,</w:t>
            </w:r>
          </w:p>
          <w:p w14:paraId="7AEC349E" w14:textId="77777777" w:rsidR="00E54957" w:rsidRPr="007527E6" w:rsidRDefault="00E54957" w:rsidP="00E54957">
            <w:pPr>
              <w:pStyle w:val="B1"/>
              <w:numPr>
                <w:ilvl w:val="0"/>
                <w:numId w:val="49"/>
              </w:numPr>
              <w:ind w:firstLineChars="0"/>
              <w:rPr>
                <w:color w:val="auto"/>
              </w:rPr>
            </w:pPr>
            <w:r w:rsidRPr="007527E6">
              <w:rPr>
                <w:rFonts w:ascii="Times New Roman" w:hAnsi="Times New Roman" w:cs="Times New Roman"/>
                <w:color w:val="auto"/>
              </w:rPr>
              <w:t xml:space="preserve">if the corresponding </w:t>
            </w:r>
            <w:r w:rsidRPr="007527E6">
              <w:rPr>
                <w:rFonts w:ascii="Times New Roman" w:eastAsiaTheme="minorEastAsia" w:hAnsi="Times New Roman" w:cs="Times New Roman"/>
                <w:color w:val="auto"/>
                <w:lang w:eastAsia="zh-CN"/>
              </w:rPr>
              <w:t>NPDCCH with DCI format N0 with CRC scrambled by C-RNTI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 schedules </w:t>
            </w:r>
            <w:r w:rsidRPr="007527E6">
              <w:rPr>
                <w:rFonts w:ascii="Times New Roman" w:eastAsiaTheme="minorEastAsia" w:hAnsi="Times New Roman" w:cs="Times New Roman"/>
                <w:color w:val="auto"/>
                <w:lang w:eastAsia="zh-CN"/>
              </w:rPr>
              <w:t>two transport blocks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 as</w:t>
            </w:r>
            <w:r w:rsidRPr="007527E6">
              <w:rPr>
                <w:rFonts w:ascii="Times New Roman" w:eastAsia="SimSun" w:hAnsi="Times New Roman" w:cs="Times New Roman"/>
                <w:color w:val="auto"/>
                <w:lang w:eastAsia="zh-CN"/>
              </w:rPr>
              <w:t xml:space="preserve"> determined by the </w:t>
            </w:r>
            <w:r w:rsidRPr="007527E6">
              <w:rPr>
                <w:rFonts w:ascii="Times New Roman" w:hAnsi="Times New Roman" w:cs="Times New Roman"/>
                <w:color w:val="auto"/>
                <w:lang w:eastAsia="zh-CN"/>
              </w:rPr>
              <w:t>Number of scheduled TB for Unicast</w:t>
            </w:r>
            <w:r w:rsidRPr="007527E6">
              <w:rPr>
                <w:rFonts w:ascii="Times New Roman" w:eastAsia="SimSun" w:hAnsi="Times New Roman" w:cs="Times New Roman"/>
                <w:color w:val="auto"/>
                <w:lang w:eastAsia="zh-CN"/>
              </w:rPr>
              <w:t xml:space="preserve"> field if present, 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the UE is not required to monitor an NPDCCH candidate in any subframe starting from </w:t>
            </w:r>
            <w:r w:rsidRPr="00DE4564">
              <w:rPr>
                <w:rFonts w:ascii="Times New Roman" w:hAnsi="Times New Roman" w:cs="Times New Roman"/>
                <w:color w:val="auto"/>
                <w:highlight w:val="yellow"/>
              </w:rPr>
              <w:t xml:space="preserve">subframe </w:t>
            </w:r>
            <w:r w:rsidRPr="00DE4564">
              <w:rPr>
                <w:rFonts w:ascii="Times New Roman" w:hAnsi="Times New Roman" w:cs="Times New Roman"/>
                <w:i/>
                <w:color w:val="auto"/>
                <w:highlight w:val="yellow"/>
              </w:rPr>
              <w:t>n+1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 to s</w:t>
            </w:r>
            <w:r w:rsidRPr="00DE4564">
              <w:rPr>
                <w:rFonts w:ascii="Times New Roman" w:hAnsi="Times New Roman" w:cs="Times New Roman"/>
                <w:color w:val="auto"/>
                <w:highlight w:val="yellow"/>
              </w:rPr>
              <w:t xml:space="preserve">ubframe </w:t>
            </w:r>
            <w:r w:rsidRPr="00DE4564">
              <w:rPr>
                <w:rFonts w:ascii="Times New Roman" w:hAnsi="Times New Roman" w:cs="Times New Roman"/>
                <w:i/>
                <w:color w:val="auto"/>
                <w:highlight w:val="yellow"/>
              </w:rPr>
              <w:t>n+k-1</w:t>
            </w:r>
            <w:r w:rsidRPr="007527E6">
              <w:rPr>
                <w:rFonts w:ascii="Times New Roman" w:eastAsiaTheme="minorEastAsia" w:hAnsi="Times New Roman" w:cs="Times New Roman"/>
                <w:i/>
                <w:color w:val="auto"/>
                <w:lang w:eastAsia="zh-CN"/>
              </w:rPr>
              <w:t xml:space="preserve">, </w:t>
            </w:r>
            <w:r w:rsidRPr="007527E6">
              <w:rPr>
                <w:rFonts w:ascii="Times New Roman" w:eastAsiaTheme="minorEastAsia" w:hAnsi="Times New Roman" w:cs="Times New Roman"/>
                <w:color w:val="auto"/>
                <w:lang w:eastAsia="zh-CN"/>
              </w:rPr>
              <w:t xml:space="preserve">otherwise 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the UE is not required to monitor an NPDCCH candidate in any subframe starting from subframe </w:t>
            </w:r>
            <w:r w:rsidRPr="007527E6">
              <w:rPr>
                <w:rFonts w:ascii="Times New Roman" w:hAnsi="Times New Roman" w:cs="Times New Roman"/>
                <w:i/>
                <w:color w:val="auto"/>
              </w:rPr>
              <w:t>n+k-2</w:t>
            </w:r>
            <w:r w:rsidRPr="007527E6">
              <w:rPr>
                <w:rFonts w:ascii="Times New Roman" w:hAnsi="Times New Roman" w:cs="Times New Roman"/>
                <w:color w:val="auto"/>
              </w:rPr>
              <w:t xml:space="preserve"> to subframe </w:t>
            </w:r>
            <w:r w:rsidRPr="007527E6">
              <w:rPr>
                <w:rFonts w:ascii="Times New Roman" w:hAnsi="Times New Roman" w:cs="Times New Roman"/>
                <w:i/>
                <w:color w:val="auto"/>
              </w:rPr>
              <w:t>n+k-1</w:t>
            </w:r>
            <w:r w:rsidRPr="007527E6">
              <w:rPr>
                <w:rFonts w:ascii="Times New Roman" w:hAnsi="Times New Roman" w:cs="Times New Roman"/>
                <w:color w:val="auto"/>
              </w:rPr>
              <w:t>; and …</w:t>
            </w:r>
          </w:p>
          <w:p w14:paraId="554919FB" w14:textId="77777777" w:rsidR="00E54957" w:rsidRPr="007527E6" w:rsidRDefault="00E54957" w:rsidP="003C1730">
            <w:pPr>
              <w:spacing w:after="120" w:line="24" w:lineRule="atLeast"/>
              <w:ind w:firstLineChars="0" w:firstLine="0"/>
            </w:pPr>
          </w:p>
        </w:tc>
      </w:tr>
    </w:tbl>
    <w:p w14:paraId="2EDD538F" w14:textId="31B8014E" w:rsidR="006E5458" w:rsidRDefault="006E5458" w:rsidP="00E65D68">
      <w:pPr>
        <w:ind w:firstLineChars="0" w:firstLine="0"/>
      </w:pPr>
    </w:p>
    <w:p w14:paraId="2BAD0159" w14:textId="26A6E580" w:rsidR="006E5458" w:rsidRPr="0003158B" w:rsidRDefault="00E1254A" w:rsidP="0003158B">
      <w:pPr>
        <w:ind w:firstLineChars="0" w:firstLine="0"/>
        <w:rPr>
          <w:rFonts w:eastAsia="Times New Roman"/>
          <w:b/>
        </w:rPr>
      </w:pPr>
      <w:r>
        <w:rPr>
          <w:b/>
        </w:rPr>
        <w:t>Proposal</w:t>
      </w:r>
      <w:r w:rsidR="006E5458" w:rsidRPr="0003158B">
        <w:rPr>
          <w:b/>
        </w:rPr>
        <w:t xml:space="preserve">: </w:t>
      </w:r>
      <w:r w:rsidR="0019500D">
        <w:rPr>
          <w:b/>
        </w:rPr>
        <w:t xml:space="preserve">Further discuss the need and benefit of restricting </w:t>
      </w:r>
      <w:r w:rsidR="00E65D68">
        <w:rPr>
          <w:b/>
        </w:rPr>
        <w:t xml:space="preserve">NPDCCH monitoring for IoT over NTN. </w:t>
      </w:r>
    </w:p>
    <w:p w14:paraId="41FC1209" w14:textId="306962AC" w:rsidR="00A637FE" w:rsidRPr="006E5458" w:rsidRDefault="00A637FE" w:rsidP="009E16B4">
      <w:pPr>
        <w:spacing w:after="120" w:line="24" w:lineRule="atLeast"/>
        <w:ind w:firstLineChars="0" w:firstLine="0"/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lastRenderedPageBreak/>
        <w:t>Conclusion</w:t>
      </w:r>
    </w:p>
    <w:p w14:paraId="394B2E30" w14:textId="2850BF17" w:rsidR="00157BE0" w:rsidRPr="001E4399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34732">
        <w:rPr>
          <w:rFonts w:eastAsia="DengXian"/>
          <w:lang w:eastAsia="zh-CN"/>
        </w:rPr>
        <w:t xml:space="preserve"> for NTN IoT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0C4D2EAB" w14:textId="6B0DFEAA" w:rsidR="004119A9" w:rsidRDefault="004119A9" w:rsidP="003C1730">
      <w:pPr>
        <w:spacing w:after="120" w:line="24" w:lineRule="atLeast"/>
        <w:ind w:firstLineChars="0" w:firstLine="0"/>
        <w:rPr>
          <w:b/>
          <w:i/>
        </w:rPr>
      </w:pPr>
    </w:p>
    <w:p w14:paraId="12EFB77F" w14:textId="0A842EBC" w:rsidR="00E1254A" w:rsidRPr="00E1254A" w:rsidRDefault="00E1254A" w:rsidP="00E1254A">
      <w:pPr>
        <w:ind w:firstLineChars="0" w:firstLine="0"/>
        <w:rPr>
          <w:rFonts w:eastAsia="Times New Roman"/>
          <w:b/>
        </w:rPr>
      </w:pPr>
      <w:r>
        <w:rPr>
          <w:b/>
        </w:rPr>
        <w:t>Proposal</w:t>
      </w:r>
      <w:r w:rsidRPr="0003158B">
        <w:rPr>
          <w:b/>
        </w:rPr>
        <w:t xml:space="preserve">: </w:t>
      </w:r>
      <w:r w:rsidR="0019500D">
        <w:rPr>
          <w:b/>
        </w:rPr>
        <w:t>Further discuss the need and benefit of restricting NPDCCH monitoring for IoT over NTN</w:t>
      </w:r>
      <w:r>
        <w:rPr>
          <w:b/>
        </w:rPr>
        <w:t xml:space="preserve">. </w:t>
      </w:r>
    </w:p>
    <w:p w14:paraId="0F093445" w14:textId="77777777" w:rsidR="00A637FE" w:rsidRPr="00FD2BB7" w:rsidRDefault="00A637FE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4F3D63E3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-21</w:t>
      </w:r>
      <w:r>
        <w:rPr>
          <w:rFonts w:ascii="Times New Roman" w:hAnsi="Times New Roman" w:cs="Times New Roman"/>
          <w:color w:val="auto"/>
          <w:lang w:eastAsia="ko-KR"/>
        </w:rPr>
        <w:t>1601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574194">
        <w:rPr>
          <w:rFonts w:ascii="Times New Roman" w:hAnsi="Times New Roman" w:cs="Times New Roman"/>
          <w:color w:val="auto"/>
          <w:lang w:eastAsia="ko-KR"/>
        </w:rPr>
        <w:t>WID on NB-IoT/eMTC support for NTN</w:t>
      </w:r>
      <w:r>
        <w:rPr>
          <w:rFonts w:ascii="Times New Roman" w:hAnsi="Times New Roman" w:cs="Times New Roman"/>
          <w:color w:val="auto"/>
          <w:lang w:eastAsia="ko-KR"/>
        </w:rPr>
        <w:t>, RAN#92-e, June 2021.</w:t>
      </w:r>
    </w:p>
    <w:p w14:paraId="53FD49E5" w14:textId="55DA7CE3" w:rsidR="00177A0D" w:rsidRPr="00177A0D" w:rsidRDefault="00A637FE" w:rsidP="00E1254A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R1-21</w:t>
      </w:r>
      <w:r w:rsidR="0062290F">
        <w:rPr>
          <w:rFonts w:ascii="Times New Roman" w:hAnsi="Times New Roman" w:cs="Times New Roman"/>
          <w:color w:val="auto"/>
          <w:lang w:eastAsia="ko-KR"/>
        </w:rPr>
        <w:t>10534</w:t>
      </w:r>
      <w:r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A637FE">
        <w:rPr>
          <w:rFonts w:ascii="Times New Roman" w:hAnsi="Times New Roman" w:cs="Times New Roman"/>
          <w:color w:val="auto"/>
          <w:lang w:eastAsia="ko-KR"/>
        </w:rPr>
        <w:t>FL summary 6 of AI 8.15.2: Timing relationships for IoT-NTN</w:t>
      </w:r>
      <w:r>
        <w:rPr>
          <w:rFonts w:ascii="Times New Roman" w:hAnsi="Times New Roman" w:cs="Times New Roman"/>
          <w:color w:val="auto"/>
          <w:lang w:eastAsia="ko-KR"/>
        </w:rPr>
        <w:t>, RAN1#106</w:t>
      </w:r>
      <w:r w:rsidR="00C229D8">
        <w:rPr>
          <w:rFonts w:ascii="Times New Roman" w:hAnsi="Times New Roman" w:cs="Times New Roman"/>
          <w:color w:val="auto"/>
          <w:lang w:eastAsia="ko-KR"/>
        </w:rPr>
        <w:t>bis</w:t>
      </w:r>
      <w:r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C229D8">
        <w:rPr>
          <w:rFonts w:ascii="Times New Roman" w:hAnsi="Times New Roman" w:cs="Times New Roman"/>
          <w:color w:val="auto"/>
          <w:lang w:eastAsia="ko-KR"/>
        </w:rPr>
        <w:t xml:space="preserve">October </w:t>
      </w:r>
      <w:r>
        <w:rPr>
          <w:rFonts w:ascii="Times New Roman" w:hAnsi="Times New Roman" w:cs="Times New Roman"/>
          <w:color w:val="auto"/>
          <w:lang w:eastAsia="ko-KR"/>
        </w:rPr>
        <w:t>2021.</w:t>
      </w:r>
    </w:p>
    <w:sectPr w:rsidR="00177A0D" w:rsidRPr="00177A0D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E8187" w14:textId="77777777" w:rsidR="00FC146D" w:rsidRDefault="00FC146D" w:rsidP="007378B8">
      <w:r>
        <w:separator/>
      </w:r>
    </w:p>
  </w:endnote>
  <w:endnote w:type="continuationSeparator" w:id="0">
    <w:p w14:paraId="783E528E" w14:textId="77777777" w:rsidR="00FC146D" w:rsidRDefault="00FC146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9B5B3EE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37ECE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A8471" w14:textId="77777777" w:rsidR="00FC146D" w:rsidRDefault="00FC146D" w:rsidP="007378B8">
      <w:r>
        <w:separator/>
      </w:r>
    </w:p>
  </w:footnote>
  <w:footnote w:type="continuationSeparator" w:id="0">
    <w:p w14:paraId="1B73E503" w14:textId="77777777" w:rsidR="00FC146D" w:rsidRDefault="00FC146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DC393C"/>
    <w:multiLevelType w:val="hybridMultilevel"/>
    <w:tmpl w:val="E89661E6"/>
    <w:lvl w:ilvl="0" w:tplc="93161576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 w15:restartNumberingAfterBreak="0">
    <w:nsid w:val="05EB2FCE"/>
    <w:multiLevelType w:val="hybridMultilevel"/>
    <w:tmpl w:val="9FF85DF0"/>
    <w:lvl w:ilvl="0" w:tplc="652E130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8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58A06EB"/>
    <w:multiLevelType w:val="hybridMultilevel"/>
    <w:tmpl w:val="62E6B1A0"/>
    <w:lvl w:ilvl="0" w:tplc="8E000266"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8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862723A"/>
    <w:multiLevelType w:val="hybridMultilevel"/>
    <w:tmpl w:val="E0C43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76594B"/>
    <w:multiLevelType w:val="hybridMultilevel"/>
    <w:tmpl w:val="1116E80E"/>
    <w:lvl w:ilvl="0" w:tplc="CF660884"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57536F5"/>
    <w:multiLevelType w:val="hybridMultilevel"/>
    <w:tmpl w:val="A42EE29A"/>
    <w:lvl w:ilvl="0" w:tplc="B75A8DC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0148A7"/>
    <w:multiLevelType w:val="hybridMultilevel"/>
    <w:tmpl w:val="2A42B25C"/>
    <w:lvl w:ilvl="0" w:tplc="393AC716">
      <w:start w:val="5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3" w15:restartNumberingAfterBreak="0">
    <w:nsid w:val="64990D01"/>
    <w:multiLevelType w:val="hybridMultilevel"/>
    <w:tmpl w:val="890AD6BA"/>
    <w:lvl w:ilvl="0" w:tplc="EF202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16648C"/>
    <w:multiLevelType w:val="hybridMultilevel"/>
    <w:tmpl w:val="4DD65FC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5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9"/>
  </w:num>
  <w:num w:numId="3">
    <w:abstractNumId w:val="22"/>
  </w:num>
  <w:num w:numId="4">
    <w:abstractNumId w:val="36"/>
  </w:num>
  <w:num w:numId="5">
    <w:abstractNumId w:val="1"/>
  </w:num>
  <w:num w:numId="6">
    <w:abstractNumId w:val="13"/>
  </w:num>
  <w:num w:numId="7">
    <w:abstractNumId w:val="47"/>
  </w:num>
  <w:num w:numId="8">
    <w:abstractNumId w:val="3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41"/>
  </w:num>
  <w:num w:numId="12">
    <w:abstractNumId w:val="40"/>
  </w:num>
  <w:num w:numId="13">
    <w:abstractNumId w:val="6"/>
  </w:num>
  <w:num w:numId="14">
    <w:abstractNumId w:val="15"/>
  </w:num>
  <w:num w:numId="15">
    <w:abstractNumId w:val="29"/>
  </w:num>
  <w:num w:numId="16">
    <w:abstractNumId w:val="12"/>
  </w:num>
  <w:num w:numId="17">
    <w:abstractNumId w:val="10"/>
  </w:num>
  <w:num w:numId="18">
    <w:abstractNumId w:val="37"/>
  </w:num>
  <w:num w:numId="19">
    <w:abstractNumId w:val="31"/>
  </w:num>
  <w:num w:numId="20">
    <w:abstractNumId w:val="33"/>
  </w:num>
  <w:num w:numId="21">
    <w:abstractNumId w:val="32"/>
  </w:num>
  <w:num w:numId="22">
    <w:abstractNumId w:val="28"/>
  </w:num>
  <w:num w:numId="23">
    <w:abstractNumId w:val="11"/>
  </w:num>
  <w:num w:numId="24">
    <w:abstractNumId w:val="39"/>
  </w:num>
  <w:num w:numId="25">
    <w:abstractNumId w:val="20"/>
  </w:num>
  <w:num w:numId="26">
    <w:abstractNumId w:val="8"/>
  </w:num>
  <w:num w:numId="27">
    <w:abstractNumId w:val="4"/>
  </w:num>
  <w:num w:numId="28">
    <w:abstractNumId w:val="7"/>
  </w:num>
  <w:num w:numId="29">
    <w:abstractNumId w:val="46"/>
  </w:num>
  <w:num w:numId="30">
    <w:abstractNumId w:val="14"/>
  </w:num>
  <w:num w:numId="31">
    <w:abstractNumId w:val="30"/>
  </w:num>
  <w:num w:numId="32">
    <w:abstractNumId w:val="48"/>
  </w:num>
  <w:num w:numId="33">
    <w:abstractNumId w:val="19"/>
  </w:num>
  <w:num w:numId="34">
    <w:abstractNumId w:val="35"/>
  </w:num>
  <w:num w:numId="35">
    <w:abstractNumId w:val="38"/>
  </w:num>
  <w:num w:numId="36">
    <w:abstractNumId w:val="43"/>
  </w:num>
  <w:num w:numId="37">
    <w:abstractNumId w:val="45"/>
  </w:num>
  <w:num w:numId="38">
    <w:abstractNumId w:val="24"/>
  </w:num>
  <w:num w:numId="39">
    <w:abstractNumId w:val="23"/>
  </w:num>
  <w:num w:numId="40">
    <w:abstractNumId w:val="5"/>
  </w:num>
  <w:num w:numId="41">
    <w:abstractNumId w:val="9"/>
  </w:num>
  <w:num w:numId="42">
    <w:abstractNumId w:val="34"/>
  </w:num>
  <w:num w:numId="43">
    <w:abstractNumId w:val="44"/>
  </w:num>
  <w:num w:numId="44">
    <w:abstractNumId w:val="25"/>
  </w:num>
  <w:num w:numId="45">
    <w:abstractNumId w:val="42"/>
  </w:num>
  <w:num w:numId="46">
    <w:abstractNumId w:val="26"/>
  </w:num>
  <w:num w:numId="47">
    <w:abstractNumId w:val="27"/>
  </w:num>
  <w:num w:numId="48">
    <w:abstractNumId w:val="16"/>
  </w:num>
  <w:num w:numId="4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B8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61C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58B"/>
    <w:rsid w:val="00031752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A42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0F95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070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4F00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00D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189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66F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0AA8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AB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37ECE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B2D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7A7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550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B7F8F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CA7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526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28F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1A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B3E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BE1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41F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6B0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6ED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D26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ADE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05D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28B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732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AC8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0F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555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431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1AD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89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47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0F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04B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58"/>
    <w:rsid w:val="006E5485"/>
    <w:rsid w:val="006E55D9"/>
    <w:rsid w:val="006E55E3"/>
    <w:rsid w:val="006E5830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69E"/>
    <w:rsid w:val="007516A6"/>
    <w:rsid w:val="00751955"/>
    <w:rsid w:val="0075196F"/>
    <w:rsid w:val="007523F5"/>
    <w:rsid w:val="00752742"/>
    <w:rsid w:val="0075274B"/>
    <w:rsid w:val="007527E6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03F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3C52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85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1FD6"/>
    <w:rsid w:val="008322CE"/>
    <w:rsid w:val="008322E0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D9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CB2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00"/>
    <w:rsid w:val="008C776B"/>
    <w:rsid w:val="008D007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3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6B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5E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1F0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E83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553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BE9"/>
    <w:rsid w:val="00A10F49"/>
    <w:rsid w:val="00A10F63"/>
    <w:rsid w:val="00A1108D"/>
    <w:rsid w:val="00A110FC"/>
    <w:rsid w:val="00A11290"/>
    <w:rsid w:val="00A11651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48D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7FE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856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56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9D8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4C9B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6E0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4B2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DB9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9F2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AD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2DEB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10F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64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54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57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0A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68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685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246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E27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0F4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A20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46D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981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T2,l2,Head 2,List level 2,Guide 2,list 2,list 2,I2,X.X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mh2,Module heading 2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2 Char1,Header 2 Char,Header2 Char,22 Char,heading2 Char,2nd level Char,UNDERRUBRIK 1-2 Char,H21 Char,H22 Char,H23 Char,H24 Char,H25 Char,R2 Char,E2 Char,†berschrift 2 Char,õberschrift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62A9-8BDF-49FC-97EF-839A72DB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2</cp:revision>
  <dcterms:created xsi:type="dcterms:W3CDTF">2021-11-06T00:25:00Z</dcterms:created>
  <dcterms:modified xsi:type="dcterms:W3CDTF">2021-11-06T00:25:00Z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