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7938"/>
          <w:tab w:val="right" w:pos="9639"/>
        </w:tabs>
        <w:spacing w:beforeLines="0" w:afterLines="0" w:line="240" w:lineRule="auto"/>
        <w:ind w:right="2"/>
        <w:jc w:val="left"/>
        <w:rPr>
          <w:rFonts w:ascii="Arial" w:hAnsi="Arial" w:cs="Arial" w:eastAsiaTheme="minorEastAsia"/>
          <w:b/>
          <w:bCs/>
          <w:kern w:val="0"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eastAsia="Batang" w:cs="Arial"/>
          <w:b/>
          <w:bCs/>
          <w:kern w:val="0"/>
          <w:sz w:val="22"/>
          <w:szCs w:val="22"/>
          <w:lang w:val="en-GB" w:eastAsia="en-US"/>
        </w:rPr>
        <w:t>#107-e</w:t>
      </w:r>
      <w:r>
        <w:rPr>
          <w:rFonts w:ascii="Arial" w:hAnsi="Arial" w:eastAsia="Batang" w:cs="Arial"/>
          <w:b/>
          <w:bCs/>
          <w:kern w:val="0"/>
          <w:sz w:val="22"/>
          <w:szCs w:val="22"/>
          <w:lang w:val="en-GB" w:eastAsia="en-US"/>
        </w:rPr>
        <w:tab/>
      </w:r>
      <w:r>
        <w:rPr>
          <w:rFonts w:ascii="Arial" w:hAnsi="Arial" w:eastAsia="Batang" w:cs="Arial"/>
          <w:b/>
          <w:bCs/>
          <w:kern w:val="0"/>
          <w:sz w:val="22"/>
          <w:szCs w:val="22"/>
          <w:lang w:val="en-GB" w:eastAsia="en-US"/>
        </w:rPr>
        <w:tab/>
      </w:r>
      <w:r>
        <w:rPr>
          <w:rFonts w:ascii="Arial" w:hAnsi="Arial" w:eastAsia="Batang" w:cs="Arial"/>
          <w:b/>
          <w:bCs/>
          <w:kern w:val="0"/>
          <w:sz w:val="22"/>
          <w:szCs w:val="22"/>
          <w:lang w:val="en-GB" w:eastAsia="en-US"/>
        </w:rPr>
        <w:tab/>
      </w:r>
      <w:r>
        <w:rPr>
          <w:rFonts w:ascii="Arial" w:hAnsi="Arial" w:eastAsia="Batang" w:cs="Arial"/>
          <w:b/>
          <w:bCs/>
          <w:kern w:val="0"/>
          <w:sz w:val="22"/>
          <w:szCs w:val="22"/>
          <w:lang w:val="en-GB" w:eastAsia="en-US"/>
        </w:rPr>
        <w:t>R1-211</w:t>
      </w:r>
      <w:r>
        <w:rPr>
          <w:rFonts w:hint="eastAsia" w:ascii="Arial" w:hAnsi="Arial" w:cs="Arial" w:eastAsiaTheme="minorEastAsia"/>
          <w:b/>
          <w:bCs/>
          <w:kern w:val="0"/>
          <w:sz w:val="22"/>
          <w:szCs w:val="22"/>
          <w:lang w:val="en-GB"/>
        </w:rPr>
        <w:t>1640</w:t>
      </w:r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eastAsia="MS Mincho" w:cs="Arial"/>
          <w:b/>
          <w:bCs/>
          <w:kern w:val="0"/>
          <w:sz w:val="22"/>
          <w:szCs w:val="22"/>
          <w:lang w:val="en-GB" w:eastAsia="ja-JP"/>
        </w:rPr>
        <w:t>e-Meeting, November 11</w:t>
      </w:r>
      <w:r>
        <w:rPr>
          <w:rFonts w:ascii="Arial" w:hAnsi="Arial" w:eastAsia="MS Mincho" w:cs="Arial"/>
          <w:b/>
          <w:bCs/>
          <w:kern w:val="0"/>
          <w:sz w:val="22"/>
          <w:szCs w:val="22"/>
          <w:vertAlign w:val="superscript"/>
          <w:lang w:val="en-GB" w:eastAsia="ja-JP"/>
        </w:rPr>
        <w:t>th</w:t>
      </w:r>
      <w:r>
        <w:rPr>
          <w:rFonts w:ascii="Arial" w:hAnsi="Arial" w:eastAsia="MS Mincho" w:cs="Arial"/>
          <w:b/>
          <w:bCs/>
          <w:kern w:val="0"/>
          <w:sz w:val="22"/>
          <w:szCs w:val="22"/>
          <w:lang w:val="en-GB" w:eastAsia="ja-JP"/>
        </w:rPr>
        <w:t xml:space="preserve"> – 19</w:t>
      </w:r>
      <w:r>
        <w:rPr>
          <w:rFonts w:ascii="Arial" w:hAnsi="Arial" w:eastAsia="MS Mincho" w:cs="Arial"/>
          <w:b/>
          <w:bCs/>
          <w:kern w:val="0"/>
          <w:sz w:val="22"/>
          <w:szCs w:val="22"/>
          <w:vertAlign w:val="superscript"/>
          <w:lang w:val="en-GB" w:eastAsia="ja-JP"/>
        </w:rPr>
        <w:t>th</w:t>
      </w:r>
      <w:r>
        <w:rPr>
          <w:rFonts w:ascii="Arial" w:hAnsi="Arial" w:eastAsia="MS Mincho" w:cs="Arial"/>
          <w:b/>
          <w:bCs/>
          <w:kern w:val="0"/>
          <w:sz w:val="22"/>
          <w:szCs w:val="22"/>
          <w:lang w:val="en-GB" w:eastAsia="ja-JP"/>
        </w:rPr>
        <w:t>, 202</w:t>
      </w:r>
      <w:r>
        <w:rPr>
          <w:rFonts w:ascii="Arial" w:hAnsi="Arial" w:cs="Arial"/>
          <w:b/>
          <w:bCs/>
          <w:sz w:val="22"/>
          <w:szCs w:val="22"/>
        </w:rPr>
        <w:t>1</w:t>
      </w:r>
    </w:p>
    <w:tbl>
      <w:tblPr>
        <w:tblStyle w:val="2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7"/>
                <w:rFonts w:cs="Arial"/>
                <w:b/>
                <w:i/>
                <w:color w:val="FF0000"/>
              </w:rPr>
              <w:t>HELP</w:t>
            </w:r>
            <w:r>
              <w:rPr>
                <w:rStyle w:val="2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7"/>
                <w:rFonts w:cs="Arial"/>
                <w:i/>
              </w:rPr>
              <w:t>http://www.3gpp.org/Change-Requests</w:t>
            </w:r>
            <w:r>
              <w:rPr>
                <w:rStyle w:val="2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 xml:space="preserve">orrection on </w:t>
            </w:r>
            <w:r>
              <w:rPr>
                <w:rFonts w:hint="eastAsia" w:eastAsiaTheme="minorEastAsia"/>
                <w:lang w:eastAsia="zh-CN"/>
              </w:rPr>
              <w:t xml:space="preserve">SL </w:t>
            </w:r>
            <w:r>
              <w:rPr>
                <w:rFonts w:hint="eastAsia" w:eastAsia="宋体"/>
                <w:lang w:val="en-US" w:eastAsia="zh-CN"/>
              </w:rPr>
              <w:t>CSI-RS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RAN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</w:tcPr>
          <w:p>
            <w:pPr>
              <w:pStyle w:val="51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="宋体"/>
                <w:lang w:eastAsia="zh-CN"/>
              </w:rPr>
            </w:pPr>
            <w:r>
              <w:t>2021-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</w:tcPr>
          <w:p>
            <w:pPr>
              <w:pStyle w:val="51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7"/>
                <w:sz w:val="18"/>
              </w:rPr>
              <w:t>TR 21.900</w:t>
            </w:r>
            <w:r>
              <w:rPr>
                <w:rStyle w:val="2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TS 38.214, some descriptions of SL CSI-RS are not aligned with TS 38.331.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1. In section 8.5.2.2, the configuration for SL CSI-RS should support both one port and two ports, and the field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 sl-OneAntennaPort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has been included in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sl-CSI-RS-FreqAllocation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as in TS 38.331. So it can be removed.</w:t>
            </w:r>
          </w:p>
          <w:p>
            <w:pPr>
              <w:pStyle w:val="5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2. In section 8.5.3, the field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/>
                <w:i/>
                <w:iCs/>
                <w:lang w:val="en-US" w:eastAsia="zh-CN"/>
              </w:rPr>
              <w:t>sl-LatencyBound-CSI-Report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is not the same as in TS 38.331, so it can be changed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/>
                <w:i/>
                <w:iCs/>
                <w:lang w:val="en-US" w:eastAsia="zh-CN"/>
              </w:rPr>
              <w:t>sl-LatencyBoundCSI-Report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same as TS38.331.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 xml:space="preserve">Unclear specification for </w:t>
            </w:r>
            <w:r>
              <w:rPr>
                <w:rFonts w:hint="eastAsia" w:eastAsia="宋体"/>
                <w:lang w:val="en-US" w:eastAsia="zh-CN"/>
              </w:rPr>
              <w:t>SL CSI-RS configuration and reporting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Theme="minorEastAsia"/>
                <w:lang w:val="en-US" w:eastAsia="zh-CN"/>
              </w:rPr>
            </w:pPr>
            <w:bookmarkStart w:id="12" w:name="_GoBack"/>
            <w:bookmarkEnd w:id="12"/>
            <w:r>
              <w:rPr>
                <w:rFonts w:hint="eastAsia" w:eastAsiaTheme="minorEastAsia"/>
                <w:lang w:eastAsia="zh-CN"/>
              </w:rPr>
              <w:t>8.5.2.2 &amp; 8.5.3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</w:p>
        </w:tc>
      </w:tr>
    </w:tbl>
    <w:p>
      <w:pPr>
        <w:pStyle w:val="51"/>
        <w:spacing w:after="0"/>
        <w:rPr>
          <w:sz w:val="8"/>
          <w:szCs w:val="8"/>
        </w:rPr>
      </w:pPr>
    </w:p>
    <w:p>
      <w:pPr>
        <w:spacing w:before="120" w:after="120"/>
        <w:sectPr>
          <w:footerReference r:id="rId6" w:type="first"/>
          <w:footerReference r:id="rId4" w:type="default"/>
          <w:headerReference r:id="rId3" w:type="even"/>
          <w:foot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5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>
      <w:pPr>
        <w:pStyle w:val="5"/>
        <w:numPr>
          <w:ilvl w:val="2"/>
          <w:numId w:val="0"/>
        </w:numPr>
        <w:spacing w:after="120"/>
        <w:ind w:right="210"/>
      </w:pPr>
      <w:bookmarkStart w:id="0" w:name="_Toc36645625"/>
      <w:bookmarkStart w:id="1" w:name="_Toc83310260"/>
      <w:bookmarkStart w:id="2" w:name="_Toc29674394"/>
      <w:bookmarkStart w:id="3" w:name="_Toc29673401"/>
      <w:bookmarkStart w:id="4" w:name="_Toc29673260"/>
      <w:bookmarkStart w:id="5" w:name="_Toc45810675"/>
      <w:r>
        <w:t>8.5.2.2</w:t>
      </w:r>
      <w:r>
        <w:tab/>
      </w:r>
      <w:r>
        <w:t>Reference signal (CSI-RS)</w:t>
      </w:r>
      <w:bookmarkEnd w:id="0"/>
      <w:bookmarkEnd w:id="1"/>
      <w:bookmarkEnd w:id="2"/>
      <w:bookmarkEnd w:id="3"/>
      <w:bookmarkEnd w:id="4"/>
      <w:bookmarkEnd w:id="5"/>
    </w:p>
    <w:p>
      <w:pPr>
        <w:spacing w:before="120" w:after="120"/>
      </w:pPr>
      <w:r>
        <w:t xml:space="preserve">The UE can be configured with one CSI-RS pattern as indicated by the higher layer parameters </w:t>
      </w:r>
      <w:r>
        <w:rPr>
          <w:i/>
          <w:iCs/>
          <w:color w:val="000000" w:themeColor="text1"/>
        </w:rPr>
        <w:t xml:space="preserve">sl-CSI-RS-FreqAllocation, </w:t>
      </w:r>
      <w:r>
        <w:rPr>
          <w:i/>
          <w:iCs/>
          <w:strike/>
          <w:color w:val="FF0000"/>
        </w:rPr>
        <w:t>sl-OneAntennaPort,</w:t>
      </w:r>
      <w:r>
        <w:rPr>
          <w:i/>
          <w:iCs/>
          <w:color w:val="000000" w:themeColor="text1"/>
        </w:rPr>
        <w:t xml:space="preserve"> sl-CSI-RS-FirstSymbol </w:t>
      </w:r>
      <w:r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SL-CSI-RS-Config</w:t>
      </w:r>
      <w:r>
        <w:t>.</w:t>
      </w:r>
    </w:p>
    <w:p>
      <w:pPr>
        <w:pStyle w:val="35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>
      <w:pPr>
        <w:pStyle w:val="4"/>
        <w:numPr>
          <w:ilvl w:val="2"/>
          <w:numId w:val="0"/>
        </w:numPr>
        <w:spacing w:after="120"/>
        <w:ind w:right="210"/>
      </w:pPr>
      <w:bookmarkStart w:id="6" w:name="_Toc45810677"/>
      <w:bookmarkStart w:id="7" w:name="_Toc29673262"/>
      <w:bookmarkStart w:id="8" w:name="_Toc83310262"/>
      <w:bookmarkStart w:id="9" w:name="_Toc36645627"/>
      <w:bookmarkStart w:id="10" w:name="_Toc29674396"/>
      <w:bookmarkStart w:id="11" w:name="_Toc29673403"/>
      <w:r>
        <w:t>8.5.3</w:t>
      </w:r>
      <w:r>
        <w:tab/>
      </w:r>
      <w:r>
        <w:t>CSI reporting</w:t>
      </w:r>
      <w:bookmarkEnd w:id="6"/>
      <w:bookmarkEnd w:id="7"/>
      <w:bookmarkEnd w:id="8"/>
      <w:bookmarkEnd w:id="9"/>
      <w:bookmarkEnd w:id="10"/>
      <w:bookmarkEnd w:id="11"/>
    </w:p>
    <w:p>
      <w:pPr>
        <w:spacing w:before="120" w:after="120"/>
      </w:pPr>
      <w:r>
        <w:rPr>
          <w:color w:val="000000" w:themeColor="text1"/>
        </w:rPr>
        <w:t xml:space="preserve">The UE can be configured with one CSI reporting latency bound as indicated by the higher layer parameter </w:t>
      </w:r>
      <w:r>
        <w:rPr>
          <w:i/>
          <w:iCs/>
          <w:strike/>
          <w:color w:val="FF0000"/>
        </w:rPr>
        <w:t>sl-LatencyBound-CSI-Report</w:t>
      </w:r>
      <w:r>
        <w:rPr>
          <w:i/>
          <w:iCs/>
          <w:color w:val="FF0000"/>
        </w:rPr>
        <w:t>sl-LatencyBoundCSI-Report</w:t>
      </w:r>
      <w:r>
        <w:t>.</w:t>
      </w:r>
      <w:r>
        <w:rPr>
          <w:color w:val="000000" w:themeColor="text1"/>
        </w:rPr>
        <w:t xml:space="preserve"> </w:t>
      </w:r>
      <w:r>
        <w:t>CSI reporting is aperiodic and is described in [10, TS 38.321].</w:t>
      </w:r>
    </w:p>
    <w:p>
      <w:pPr>
        <w:pStyle w:val="35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>
      <w:pPr>
        <w:pStyle w:val="35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</w:p>
    <w:sectPr>
      <w:footerReference r:id="rId7" w:type="default"/>
      <w:pgSz w:w="11906" w:h="16838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6"/>
                  <w:spacing w:before="120" w:after="12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33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AB34B193"/>
    <w:multiLevelType w:val="singleLevel"/>
    <w:tmpl w:val="AB34B193"/>
    <w:lvl w:ilvl="0" w:tentative="0">
      <w:start w:val="1"/>
      <w:numFmt w:val="decimal"/>
      <w:pStyle w:val="29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 w:tentative="0">
      <w:start w:val="1"/>
      <w:numFmt w:val="decimal"/>
      <w:pStyle w:val="50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 w:tentative="0">
      <w:start w:val="1"/>
      <w:numFmt w:val="lowerRoman"/>
      <w:pStyle w:val="34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7">
    <w:nsid w:val="7DC436CD"/>
    <w:multiLevelType w:val="singleLevel"/>
    <w:tmpl w:val="7DC436CD"/>
    <w:lvl w:ilvl="0" w:tentative="0">
      <w:start w:val="1"/>
      <w:numFmt w:val="bullet"/>
      <w:pStyle w:val="31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hdrShapeDefaults>
    <o:shapelayout v:ext="edit">
      <o:idmap v:ext="edit" data="1"/>
    </o:shapelayout>
  </w:hdrShapeDefaults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72E8"/>
    <w:rsid w:val="00AB0E22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595A"/>
    <w:rsid w:val="00C3379B"/>
    <w:rsid w:val="00C3667F"/>
    <w:rsid w:val="00C43848"/>
    <w:rsid w:val="00C4386A"/>
    <w:rsid w:val="00C46392"/>
    <w:rsid w:val="00C50969"/>
    <w:rsid w:val="00C65519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9"/>
    <w:unhideWhenUsed/>
    <w:qFormat/>
    <w:uiPriority w:val="99"/>
    <w:pPr>
      <w:ind w:left="851"/>
    </w:pPr>
  </w:style>
  <w:style w:type="paragraph" w:styleId="9">
    <w:name w:val="List"/>
    <w:basedOn w:val="1"/>
    <w:unhideWhenUsed/>
    <w:qFormat/>
    <w:uiPriority w:val="99"/>
    <w:pPr>
      <w:ind w:left="568" w:hanging="284"/>
    </w:pPr>
  </w:style>
  <w:style w:type="paragraph" w:styleId="10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1">
    <w:name w:val="Document Map"/>
    <w:basedOn w:val="1"/>
    <w:link w:val="40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2">
    <w:name w:val="annotation text"/>
    <w:basedOn w:val="1"/>
    <w:link w:val="41"/>
    <w:semiHidden/>
    <w:unhideWhenUsed/>
    <w:qFormat/>
    <w:uiPriority w:val="99"/>
    <w:pPr>
      <w:jc w:val="left"/>
    </w:pPr>
  </w:style>
  <w:style w:type="paragraph" w:styleId="13">
    <w:name w:val="Body Text"/>
    <w:basedOn w:val="1"/>
    <w:unhideWhenUsed/>
    <w:qFormat/>
    <w:uiPriority w:val="99"/>
    <w:rPr>
      <w:rFonts w:ascii="Times" w:hAnsi="Times"/>
      <w:sz w:val="20"/>
    </w:r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9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qFormat/>
    <w:uiPriority w:val="0"/>
    <w:pPr>
      <w:widowControl w:val="0"/>
      <w:spacing w:after="200" w:line="276" w:lineRule="auto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18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1">
    <w:name w:val="List 4"/>
    <w:basedOn w:val="7"/>
    <w:qFormat/>
    <w:uiPriority w:val="0"/>
    <w:pPr>
      <w:ind w:left="1418"/>
    </w:pPr>
  </w:style>
  <w:style w:type="paragraph" w:styleId="22">
    <w:name w:val="annotation subject"/>
    <w:basedOn w:val="12"/>
    <w:next w:val="12"/>
    <w:link w:val="42"/>
    <w:semiHidden/>
    <w:unhideWhenUsed/>
    <w:qFormat/>
    <w:uiPriority w:val="99"/>
    <w:pPr>
      <w:spacing w:line="240" w:lineRule="auto"/>
      <w:jc w:val="both"/>
    </w:pPr>
    <w:rPr>
      <w:b/>
      <w:bCs/>
      <w:sz w:val="20"/>
    </w:rPr>
  </w:style>
  <w:style w:type="table" w:styleId="24">
    <w:name w:val="Table Grid"/>
    <w:basedOn w:val="23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Emphasis"/>
    <w:basedOn w:val="25"/>
    <w:qFormat/>
    <w:uiPriority w:val="20"/>
    <w:rPr>
      <w:i/>
      <w:iCs/>
    </w:rPr>
  </w:style>
  <w:style w:type="character" w:styleId="27">
    <w:name w:val="Hyperlink"/>
    <w:basedOn w:val="25"/>
    <w:unhideWhenUsed/>
    <w:qFormat/>
    <w:uiPriority w:val="99"/>
    <w:rPr>
      <w:color w:val="0000FF" w:themeColor="hyperlink"/>
      <w:u w:val="single"/>
    </w:rPr>
  </w:style>
  <w:style w:type="character" w:styleId="28">
    <w:name w:val="annotation reference"/>
    <w:basedOn w:val="25"/>
    <w:semiHidden/>
    <w:unhideWhenUsed/>
    <w:qFormat/>
    <w:uiPriority w:val="99"/>
    <w:rPr>
      <w:sz w:val="16"/>
      <w:szCs w:val="16"/>
    </w:rPr>
  </w:style>
  <w:style w:type="paragraph" w:customStyle="1" w:styleId="29">
    <w:name w:val="YJ-Observation"/>
    <w:basedOn w:val="30"/>
    <w:qFormat/>
    <w:uiPriority w:val="0"/>
    <w:pPr>
      <w:numPr>
        <w:ilvl w:val="0"/>
        <w:numId w:val="2"/>
      </w:numPr>
      <w:tabs>
        <w:tab w:val="left" w:pos="420"/>
      </w:tabs>
    </w:pPr>
  </w:style>
  <w:style w:type="paragraph" w:customStyle="1" w:styleId="30">
    <w:name w:val="YJ-Proposal"/>
    <w:basedOn w:val="1"/>
    <w:qFormat/>
    <w:uiPriority w:val="0"/>
    <w:pPr>
      <w:numPr>
        <w:ilvl w:val="0"/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sub-proposal"/>
    <w:basedOn w:val="30"/>
    <w:next w:val="1"/>
    <w:qFormat/>
    <w:uiPriority w:val="0"/>
    <w:pPr>
      <w:numPr>
        <w:numId w:val="4"/>
      </w:numPr>
      <w:tabs>
        <w:tab w:val="left" w:pos="420"/>
        <w:tab w:val="left" w:pos="807"/>
      </w:tabs>
      <w:ind w:left="862" w:leftChars="200" w:hanging="442" w:hangingChars="200"/>
    </w:pPr>
  </w:style>
  <w:style w:type="paragraph" w:customStyle="1" w:styleId="32">
    <w:name w:val="sub-observation"/>
    <w:basedOn w:val="31"/>
    <w:next w:val="1"/>
    <w:qFormat/>
    <w:uiPriority w:val="0"/>
  </w:style>
  <w:style w:type="paragraph" w:customStyle="1" w:styleId="33">
    <w:name w:val="3rd level proposal"/>
    <w:basedOn w:val="31"/>
    <w:next w:val="1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4">
    <w:name w:val="3rd level observation"/>
    <w:basedOn w:val="32"/>
    <w:qFormat/>
    <w:uiPriority w:val="0"/>
    <w:pPr>
      <w:numPr>
        <w:ilvl w:val="0"/>
        <w:numId w:val="6"/>
      </w:numPr>
      <w:ind w:left="1282" w:leftChars="400" w:hanging="442"/>
    </w:pPr>
  </w:style>
  <w:style w:type="paragraph" w:customStyle="1" w:styleId="35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36">
    <w:name w:val="List Paragraph"/>
    <w:basedOn w:val="1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样式2"/>
    <w:basedOn w:val="1"/>
    <w:qFormat/>
    <w:uiPriority w:val="0"/>
  </w:style>
  <w:style w:type="character" w:customStyle="1" w:styleId="39">
    <w:name w:val="批注框文本 Char"/>
    <w:basedOn w:val="25"/>
    <w:link w:val="15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0">
    <w:name w:val="文档结构图 Char"/>
    <w:basedOn w:val="25"/>
    <w:link w:val="11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1">
    <w:name w:val="批注文字 Char"/>
    <w:basedOn w:val="25"/>
    <w:link w:val="12"/>
    <w:semiHidden/>
    <w:qFormat/>
    <w:uiPriority w:val="99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2"/>
    <w:qFormat/>
    <w:uiPriority w:val="0"/>
    <w:rPr>
      <w:rFonts w:eastAsia="宋体"/>
      <w:kern w:val="2"/>
      <w:sz w:val="21"/>
    </w:rPr>
  </w:style>
  <w:style w:type="paragraph" w:customStyle="1" w:styleId="43">
    <w:name w:val="xmsonormal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Gulim" w:cs="Calibri"/>
      <w:kern w:val="0"/>
      <w:sz w:val="22"/>
      <w:szCs w:val="22"/>
    </w:rPr>
  </w:style>
  <w:style w:type="paragraph" w:customStyle="1" w:styleId="44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45">
    <w:name w:val="B2"/>
    <w:basedOn w:val="8"/>
    <w:qFormat/>
    <w:uiPriority w:val="0"/>
  </w:style>
  <w:style w:type="paragraph" w:customStyle="1" w:styleId="46">
    <w:name w:val="B3"/>
    <w:basedOn w:val="7"/>
    <w:qFormat/>
    <w:uiPriority w:val="0"/>
  </w:style>
  <w:style w:type="paragraph" w:customStyle="1" w:styleId="47">
    <w:name w:val="TAL"/>
    <w:basedOn w:val="1"/>
    <w:qFormat/>
    <w:uiPriority w:val="0"/>
    <w:pPr>
      <w:keepNext/>
      <w:keepLines/>
    </w:pPr>
    <w:rPr>
      <w:rFonts w:ascii="Arial" w:hAnsi="Arial" w:eastAsia="MS Mincho"/>
      <w:sz w:val="18"/>
    </w:rPr>
  </w:style>
  <w:style w:type="paragraph" w:customStyle="1" w:styleId="48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">
    <w:name w:val="B4"/>
    <w:basedOn w:val="21"/>
    <w:qFormat/>
    <w:uiPriority w:val="0"/>
  </w:style>
  <w:style w:type="paragraph" w:customStyle="1" w:styleId="50">
    <w:name w:val="YJ-Observation-2021"/>
    <w:basedOn w:val="1"/>
    <w:qFormat/>
    <w:uiPriority w:val="0"/>
    <w:pPr>
      <w:numPr>
        <w:ilvl w:val="0"/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5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B1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AD07EF-77C7-43EC-8991-EC16AFABB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2</Pages>
  <Words>412</Words>
  <Characters>2352</Characters>
  <Lines>19</Lines>
  <Paragraphs>5</Paragraphs>
  <TotalTime>4</TotalTime>
  <ScaleCrop>false</ScaleCrop>
  <LinksUpToDate>false</LinksUpToDate>
  <CharactersWithSpaces>2759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2021-11-04T08:37:00Z</dcterms:created>
  <dc:creator>ZTE</dc:creator>
  <cp:lastModifiedBy>10110645</cp:lastModifiedBy>
  <dcterms:modified xsi:type="dcterms:W3CDTF">2021-11-04T09:15:10Z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